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修改的行政规范性文件目录</w:t>
      </w:r>
    </w:p>
    <w:tbl>
      <w:tblPr>
        <w:tblStyle w:val="3"/>
        <w:tblW w:w="139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140"/>
        <w:gridCol w:w="3390"/>
        <w:gridCol w:w="2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序号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文件名称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</w:rPr>
              <w:t>发布日期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岐山县税收保障办法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2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17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17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pacing w:val="17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17"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/>
                <w:spacing w:val="17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岐山县地震灾情上报管理办法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jc w:val="both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63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岐山县食品药品安全举报投诉奖励办法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岐山县规范性文件监督管理办法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50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岐山县机动车停放服务收费管理暂行办法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8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8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/>
                <w:spacing w:val="28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27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6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岐山县专利申请资助奖励办法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-6"/>
                <w:sz w:val="28"/>
                <w:szCs w:val="28"/>
              </w:rPr>
              <w:t>104</w:t>
            </w:r>
            <w:r>
              <w:rPr>
                <w:rFonts w:hint="eastAsia" w:ascii="仿宋_GB2312" w:hAnsi="仿宋_GB2312" w:eastAsia="仿宋_GB2312"/>
                <w:spacing w:val="-6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岐山县临时救助实施细则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hint="eastAsia"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岐政办发〔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83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岐山县教育教学工作奖惩激励办法</w:t>
            </w:r>
          </w:p>
        </w:tc>
        <w:tc>
          <w:tcPr>
            <w:tcW w:w="3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岐政发〔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〕</w:t>
            </w:r>
            <w:r>
              <w:rPr>
                <w:rFonts w:ascii="仿宋_GB2312" w:hAnsi="仿宋_GB2312" w:eastAsia="仿宋_GB2312"/>
                <w:spacing w:val="20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/>
                <w:spacing w:val="20"/>
                <w:sz w:val="28"/>
                <w:szCs w:val="28"/>
              </w:rPr>
              <w:t>号</w:t>
            </w:r>
          </w:p>
        </w:tc>
        <w:tc>
          <w:tcPr>
            <w:tcW w:w="2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88" w:leftChars="-137"/>
              <w:jc w:val="center"/>
              <w:textAlignment w:val="auto"/>
              <w:rPr>
                <w:rFonts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2018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A7648"/>
    <w:rsid w:val="2D2A7648"/>
    <w:rsid w:val="39C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2020-06-04T03:29:00Z</dcterms:created>
  <dc:creator>MONSTER</dc:creator>
  <cp:lastModifiedBy>MONSTER</cp:lastModifiedBy>
  <dcterms:modified xsi:type="dcterms:W3CDTF">2020-06-04T03:30:42Z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