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40" w:rsidRPr="000E4940" w:rsidRDefault="000E4940" w:rsidP="000E4940">
      <w:pPr>
        <w:adjustRightInd w:val="0"/>
        <w:spacing w:line="240" w:lineRule="auto"/>
        <w:ind w:firstLineChars="0" w:firstLine="0"/>
        <w:jc w:val="center"/>
        <w:rPr>
          <w:rFonts w:eastAsia="黑体"/>
          <w:sz w:val="21"/>
          <w:szCs w:val="21"/>
        </w:rPr>
      </w:pPr>
      <w:bookmarkStart w:id="0" w:name="_Hlk21446836"/>
      <w:r w:rsidRPr="000E4940">
        <w:rPr>
          <w:rFonts w:eastAsia="黑体"/>
          <w:sz w:val="21"/>
          <w:szCs w:val="21"/>
        </w:rPr>
        <w:t>表</w:t>
      </w:r>
      <w:r w:rsidRPr="000E4940">
        <w:rPr>
          <w:rFonts w:eastAsia="黑体"/>
          <w:sz w:val="21"/>
          <w:szCs w:val="21"/>
        </w:rPr>
        <w:t xml:space="preserve">1 </w:t>
      </w:r>
      <w:bookmarkStart w:id="1" w:name="_Hlk21446754"/>
      <w:r w:rsidRPr="000E4940">
        <w:rPr>
          <w:rFonts w:eastAsia="黑体" w:hint="eastAsia"/>
          <w:sz w:val="21"/>
          <w:szCs w:val="21"/>
        </w:rPr>
        <w:t xml:space="preserve"> </w:t>
      </w:r>
      <w:r w:rsidRPr="000E4940">
        <w:rPr>
          <w:rFonts w:eastAsia="黑体"/>
          <w:sz w:val="21"/>
          <w:szCs w:val="21"/>
        </w:rPr>
        <w:t>岐山县</w:t>
      </w:r>
      <w:r w:rsidRPr="000E4940">
        <w:rPr>
          <w:rFonts w:eastAsia="黑体" w:hint="eastAsia"/>
          <w:sz w:val="21"/>
          <w:szCs w:val="21"/>
        </w:rPr>
        <w:t>凤鸣</w:t>
      </w:r>
      <w:r w:rsidRPr="000E4940">
        <w:rPr>
          <w:rFonts w:eastAsia="黑体"/>
          <w:sz w:val="21"/>
          <w:szCs w:val="21"/>
        </w:rPr>
        <w:t>城区基准地价表</w:t>
      </w:r>
      <w:bookmarkEnd w:id="1"/>
    </w:p>
    <w:p w:rsidR="000E4940" w:rsidRPr="000E4940" w:rsidRDefault="000E4940" w:rsidP="000E4940">
      <w:pPr>
        <w:adjustRightInd w:val="0"/>
        <w:spacing w:line="240" w:lineRule="auto"/>
        <w:ind w:firstLineChars="0" w:firstLine="0"/>
        <w:jc w:val="right"/>
        <w:rPr>
          <w:sz w:val="18"/>
          <w:szCs w:val="18"/>
        </w:rPr>
      </w:pPr>
      <w:r w:rsidRPr="000E4940">
        <w:rPr>
          <w:sz w:val="18"/>
          <w:szCs w:val="18"/>
        </w:rPr>
        <w:t>单位：元</w:t>
      </w:r>
      <w:r w:rsidRPr="000E4940">
        <w:rPr>
          <w:sz w:val="18"/>
          <w:szCs w:val="18"/>
        </w:rPr>
        <w:t>/m²</w:t>
      </w:r>
      <w:r w:rsidRPr="000E4940">
        <w:rPr>
          <w:sz w:val="18"/>
          <w:szCs w:val="18"/>
        </w:rPr>
        <w:t>（万元</w:t>
      </w:r>
      <w:r w:rsidRPr="000E4940">
        <w:rPr>
          <w:sz w:val="18"/>
          <w:szCs w:val="18"/>
        </w:rPr>
        <w:t>/</w:t>
      </w:r>
      <w:r w:rsidRPr="000E4940">
        <w:rPr>
          <w:sz w:val="18"/>
          <w:szCs w:val="18"/>
        </w:rPr>
        <w:t>亩）</w:t>
      </w:r>
    </w:p>
    <w:tbl>
      <w:tblPr>
        <w:tblW w:w="80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7"/>
        <w:gridCol w:w="1843"/>
        <w:gridCol w:w="1559"/>
        <w:gridCol w:w="1843"/>
        <w:gridCol w:w="1799"/>
      </w:tblGrid>
      <w:tr w:rsidR="000E4940" w:rsidRPr="000E4940" w:rsidTr="004F0B0E">
        <w:trPr>
          <w:trHeight w:val="631"/>
          <w:jc w:val="center"/>
        </w:trPr>
        <w:tc>
          <w:tcPr>
            <w:tcW w:w="1007"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级别</w:t>
            </w:r>
          </w:p>
        </w:tc>
        <w:tc>
          <w:tcPr>
            <w:tcW w:w="1843"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商业服务业用地</w:t>
            </w:r>
          </w:p>
        </w:tc>
        <w:tc>
          <w:tcPr>
            <w:tcW w:w="1559"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居住用地</w:t>
            </w:r>
          </w:p>
        </w:tc>
        <w:tc>
          <w:tcPr>
            <w:tcW w:w="1843"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公共管理与公共</w:t>
            </w:r>
          </w:p>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服务用地</w:t>
            </w:r>
          </w:p>
        </w:tc>
        <w:tc>
          <w:tcPr>
            <w:tcW w:w="1799"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工矿用地</w:t>
            </w:r>
          </w:p>
        </w:tc>
      </w:tr>
      <w:tr w:rsidR="000E4940" w:rsidRPr="000E4940" w:rsidTr="004F0B0E">
        <w:trPr>
          <w:trHeight w:val="585"/>
          <w:jc w:val="center"/>
        </w:trPr>
        <w:tc>
          <w:tcPr>
            <w:tcW w:w="1007"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927(61.8)</w:t>
            </w:r>
          </w:p>
        </w:tc>
        <w:tc>
          <w:tcPr>
            <w:tcW w:w="1559"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867(57.8)</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552(36.8)</w:t>
            </w:r>
          </w:p>
        </w:tc>
        <w:tc>
          <w:tcPr>
            <w:tcW w:w="1799"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w:t>
            </w:r>
          </w:p>
        </w:tc>
      </w:tr>
      <w:tr w:rsidR="000E4940" w:rsidRPr="000E4940" w:rsidTr="004F0B0E">
        <w:trPr>
          <w:trHeight w:val="585"/>
          <w:jc w:val="center"/>
        </w:trPr>
        <w:tc>
          <w:tcPr>
            <w:tcW w:w="1007"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II</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768(51.2)</w:t>
            </w:r>
          </w:p>
        </w:tc>
        <w:tc>
          <w:tcPr>
            <w:tcW w:w="1559"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720(48)</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489(32.6)</w:t>
            </w:r>
          </w:p>
        </w:tc>
        <w:tc>
          <w:tcPr>
            <w:tcW w:w="1799"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w:t>
            </w:r>
          </w:p>
        </w:tc>
      </w:tr>
      <w:tr w:rsidR="000E4940" w:rsidRPr="000E4940" w:rsidTr="004F0B0E">
        <w:trPr>
          <w:trHeight w:val="585"/>
          <w:jc w:val="center"/>
        </w:trPr>
        <w:tc>
          <w:tcPr>
            <w:tcW w:w="1007"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III</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618(41.2)</w:t>
            </w:r>
          </w:p>
        </w:tc>
        <w:tc>
          <w:tcPr>
            <w:tcW w:w="1559"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579(38.6)</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438(29.2)</w:t>
            </w:r>
          </w:p>
        </w:tc>
        <w:tc>
          <w:tcPr>
            <w:tcW w:w="1799"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333(22.2)</w:t>
            </w:r>
          </w:p>
        </w:tc>
      </w:tr>
      <w:tr w:rsidR="000E4940" w:rsidRPr="000E4940" w:rsidTr="004F0B0E">
        <w:trPr>
          <w:trHeight w:val="585"/>
          <w:jc w:val="center"/>
        </w:trPr>
        <w:tc>
          <w:tcPr>
            <w:tcW w:w="1007"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IV</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462(30.8)</w:t>
            </w:r>
          </w:p>
        </w:tc>
        <w:tc>
          <w:tcPr>
            <w:tcW w:w="1559"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435(29)</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378(25.2)</w:t>
            </w:r>
          </w:p>
        </w:tc>
        <w:tc>
          <w:tcPr>
            <w:tcW w:w="1799"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288(19.2)</w:t>
            </w:r>
          </w:p>
        </w:tc>
      </w:tr>
      <w:tr w:rsidR="00A51521" w:rsidRPr="000E4940" w:rsidTr="004F0B0E">
        <w:trPr>
          <w:trHeight w:val="585"/>
          <w:jc w:val="center"/>
        </w:trPr>
        <w:tc>
          <w:tcPr>
            <w:tcW w:w="1007" w:type="dxa"/>
            <w:vMerge w:val="restart"/>
            <w:shd w:val="clear" w:color="auto" w:fill="auto"/>
            <w:vAlign w:val="center"/>
          </w:tcPr>
          <w:p w:rsidR="00A51521" w:rsidRPr="000E4940" w:rsidRDefault="00A51521" w:rsidP="000E4940">
            <w:pPr>
              <w:widowControl/>
              <w:spacing w:line="240" w:lineRule="auto"/>
              <w:ind w:firstLineChars="0" w:firstLine="0"/>
              <w:jc w:val="left"/>
              <w:rPr>
                <w:kern w:val="0"/>
                <w:sz w:val="18"/>
                <w:szCs w:val="18"/>
              </w:rPr>
            </w:pPr>
            <w:r>
              <w:rPr>
                <w:rFonts w:hint="eastAsia"/>
                <w:kern w:val="0"/>
                <w:sz w:val="18"/>
                <w:szCs w:val="18"/>
              </w:rPr>
              <w:t>使用说明</w:t>
            </w:r>
          </w:p>
        </w:tc>
        <w:tc>
          <w:tcPr>
            <w:tcW w:w="7044" w:type="dxa"/>
            <w:gridSpan w:val="4"/>
            <w:shd w:val="clear" w:color="auto" w:fill="auto"/>
            <w:vAlign w:val="center"/>
          </w:tcPr>
          <w:p w:rsidR="00A51521" w:rsidRPr="000E4940" w:rsidRDefault="00A51521" w:rsidP="000877DB">
            <w:pPr>
              <w:widowControl/>
              <w:spacing w:line="240" w:lineRule="auto"/>
              <w:ind w:firstLineChars="0" w:firstLine="0"/>
              <w:jc w:val="left"/>
              <w:rPr>
                <w:b/>
                <w:kern w:val="0"/>
                <w:sz w:val="18"/>
                <w:szCs w:val="18"/>
              </w:rPr>
            </w:pPr>
            <w:r>
              <w:rPr>
                <w:rFonts w:hint="eastAsia"/>
                <w:b/>
                <w:kern w:val="0"/>
                <w:sz w:val="18"/>
                <w:szCs w:val="18"/>
              </w:rPr>
              <w:t>1</w:t>
            </w:r>
            <w:r>
              <w:rPr>
                <w:b/>
                <w:kern w:val="0"/>
                <w:sz w:val="18"/>
                <w:szCs w:val="18"/>
              </w:rPr>
              <w:t>.</w:t>
            </w:r>
            <w:r w:rsidRPr="000E4940">
              <w:rPr>
                <w:b/>
                <w:kern w:val="0"/>
                <w:sz w:val="18"/>
                <w:szCs w:val="18"/>
              </w:rPr>
              <w:t>基准地价内涵：</w:t>
            </w:r>
          </w:p>
          <w:p w:rsidR="00A51521" w:rsidRDefault="00A51521" w:rsidP="000877DB">
            <w:pPr>
              <w:widowControl/>
              <w:spacing w:line="240" w:lineRule="auto"/>
              <w:ind w:firstLineChars="0" w:firstLine="0"/>
              <w:jc w:val="left"/>
              <w:rPr>
                <w:kern w:val="0"/>
                <w:sz w:val="18"/>
                <w:szCs w:val="18"/>
              </w:rPr>
            </w:pPr>
            <w:r w:rsidRPr="000E4940">
              <w:rPr>
                <w:rFonts w:ascii="宋体" w:hAnsi="宋体" w:cs="宋体" w:hint="eastAsia"/>
                <w:kern w:val="0"/>
                <w:sz w:val="18"/>
                <w:szCs w:val="18"/>
              </w:rPr>
              <w:t>①</w:t>
            </w:r>
            <w:r w:rsidRPr="000E4940">
              <w:rPr>
                <w:kern w:val="0"/>
                <w:sz w:val="18"/>
                <w:szCs w:val="18"/>
              </w:rPr>
              <w:t>基准日：</w:t>
            </w:r>
            <w:r w:rsidRPr="000E4940">
              <w:rPr>
                <w:kern w:val="0"/>
                <w:sz w:val="18"/>
                <w:szCs w:val="18"/>
              </w:rPr>
              <w:t>2023</w:t>
            </w:r>
            <w:r w:rsidRPr="000E4940">
              <w:rPr>
                <w:kern w:val="0"/>
                <w:sz w:val="18"/>
                <w:szCs w:val="18"/>
              </w:rPr>
              <w:t>年</w:t>
            </w:r>
            <w:r w:rsidRPr="000E4940">
              <w:rPr>
                <w:kern w:val="0"/>
                <w:sz w:val="18"/>
                <w:szCs w:val="18"/>
              </w:rPr>
              <w:t>12</w:t>
            </w:r>
            <w:r w:rsidRPr="000E4940">
              <w:rPr>
                <w:kern w:val="0"/>
                <w:sz w:val="18"/>
                <w:szCs w:val="18"/>
              </w:rPr>
              <w:t>月</w:t>
            </w:r>
            <w:r w:rsidRPr="000E4940">
              <w:rPr>
                <w:kern w:val="0"/>
                <w:sz w:val="18"/>
                <w:szCs w:val="18"/>
              </w:rPr>
              <w:t>31</w:t>
            </w:r>
            <w:r w:rsidRPr="000E4940">
              <w:rPr>
                <w:kern w:val="0"/>
                <w:sz w:val="18"/>
                <w:szCs w:val="18"/>
              </w:rPr>
              <w:t>日；</w:t>
            </w:r>
          </w:p>
          <w:p w:rsidR="00A51521" w:rsidRPr="000877DB" w:rsidRDefault="00A51521" w:rsidP="000877DB">
            <w:pPr>
              <w:spacing w:line="340" w:lineRule="exact"/>
              <w:ind w:firstLineChars="0" w:firstLine="0"/>
              <w:jc w:val="left"/>
              <w:rPr>
                <w:kern w:val="0"/>
                <w:sz w:val="18"/>
                <w:szCs w:val="18"/>
              </w:rPr>
            </w:pPr>
            <w:r w:rsidRPr="000877DB">
              <w:rPr>
                <w:rFonts w:hint="eastAsia"/>
                <w:kern w:val="0"/>
                <w:sz w:val="18"/>
                <w:szCs w:val="18"/>
              </w:rPr>
              <w:t>②</w:t>
            </w:r>
            <w:r w:rsidRPr="000877DB">
              <w:rPr>
                <w:kern w:val="0"/>
                <w:sz w:val="18"/>
                <w:szCs w:val="18"/>
              </w:rPr>
              <w:t>土地用途：商业服务业用地、居住用地、公共管理与公共服务用地、工矿用地；</w:t>
            </w:r>
          </w:p>
          <w:p w:rsidR="00A51521" w:rsidRPr="000E4940" w:rsidRDefault="00A51521" w:rsidP="000877DB">
            <w:pPr>
              <w:widowControl/>
              <w:spacing w:line="240" w:lineRule="auto"/>
              <w:ind w:firstLineChars="0" w:firstLine="0"/>
              <w:jc w:val="left"/>
              <w:rPr>
                <w:kern w:val="0"/>
                <w:sz w:val="18"/>
                <w:szCs w:val="18"/>
              </w:rPr>
            </w:pPr>
            <w:r>
              <w:rPr>
                <w:rFonts w:hint="eastAsia"/>
                <w:kern w:val="0"/>
                <w:sz w:val="18"/>
                <w:szCs w:val="18"/>
              </w:rPr>
              <w:t>③</w:t>
            </w:r>
            <w:r w:rsidRPr="000E4940">
              <w:rPr>
                <w:kern w:val="0"/>
                <w:sz w:val="18"/>
                <w:szCs w:val="18"/>
              </w:rPr>
              <w:t>土地开发程度：</w:t>
            </w:r>
            <w:r w:rsidRPr="000E4940">
              <w:rPr>
                <w:kern w:val="0"/>
                <w:sz w:val="18"/>
                <w:szCs w:val="18"/>
              </w:rPr>
              <w:t>“</w:t>
            </w:r>
            <w:r w:rsidRPr="000E4940">
              <w:rPr>
                <w:kern w:val="0"/>
                <w:sz w:val="18"/>
                <w:szCs w:val="18"/>
              </w:rPr>
              <w:t>六通一平</w:t>
            </w:r>
            <w:r w:rsidRPr="000E4940">
              <w:rPr>
                <w:kern w:val="0"/>
                <w:sz w:val="18"/>
                <w:szCs w:val="18"/>
              </w:rPr>
              <w:t>”</w:t>
            </w:r>
            <w:r w:rsidRPr="000E4940">
              <w:rPr>
                <w:kern w:val="0"/>
                <w:sz w:val="18"/>
                <w:szCs w:val="18"/>
              </w:rPr>
              <w:t>（通路、通电、供水、排水、供气、通讯、场地平整）；</w:t>
            </w:r>
          </w:p>
          <w:p w:rsidR="00A51521" w:rsidRDefault="00A51521" w:rsidP="000877DB">
            <w:pPr>
              <w:widowControl/>
              <w:spacing w:line="240" w:lineRule="auto"/>
              <w:ind w:firstLineChars="0" w:firstLine="0"/>
              <w:jc w:val="left"/>
              <w:rPr>
                <w:kern w:val="0"/>
                <w:sz w:val="18"/>
                <w:szCs w:val="18"/>
              </w:rPr>
            </w:pPr>
            <w:r>
              <w:rPr>
                <w:rFonts w:hint="eastAsia"/>
                <w:kern w:val="0"/>
                <w:sz w:val="18"/>
                <w:szCs w:val="18"/>
              </w:rPr>
              <w:t>④</w:t>
            </w:r>
            <w:r w:rsidRPr="000E4940">
              <w:rPr>
                <w:kern w:val="0"/>
                <w:sz w:val="18"/>
                <w:szCs w:val="18"/>
              </w:rPr>
              <w:t>容积率：商业服务业用地</w:t>
            </w:r>
            <w:r w:rsidRPr="000E4940">
              <w:rPr>
                <w:kern w:val="0"/>
                <w:sz w:val="18"/>
                <w:szCs w:val="18"/>
              </w:rPr>
              <w:t>2.5</w:t>
            </w:r>
            <w:r w:rsidRPr="000E4940">
              <w:rPr>
                <w:kern w:val="0"/>
                <w:sz w:val="18"/>
                <w:szCs w:val="18"/>
              </w:rPr>
              <w:t>，居住用地</w:t>
            </w:r>
            <w:r w:rsidRPr="000E4940">
              <w:rPr>
                <w:kern w:val="0"/>
                <w:sz w:val="18"/>
                <w:szCs w:val="18"/>
              </w:rPr>
              <w:t>2.0</w:t>
            </w:r>
            <w:r w:rsidRPr="000E4940">
              <w:rPr>
                <w:kern w:val="0"/>
                <w:sz w:val="18"/>
                <w:szCs w:val="18"/>
              </w:rPr>
              <w:t>，工矿用地</w:t>
            </w:r>
            <w:r w:rsidRPr="000E4940">
              <w:rPr>
                <w:kern w:val="0"/>
                <w:sz w:val="18"/>
                <w:szCs w:val="18"/>
              </w:rPr>
              <w:t>1.2</w:t>
            </w:r>
            <w:r w:rsidRPr="000E4940">
              <w:rPr>
                <w:kern w:val="0"/>
                <w:sz w:val="18"/>
                <w:szCs w:val="18"/>
              </w:rPr>
              <w:t>，公共管理与公共服务用地</w:t>
            </w:r>
            <w:r w:rsidRPr="000E4940">
              <w:rPr>
                <w:kern w:val="0"/>
                <w:sz w:val="18"/>
                <w:szCs w:val="18"/>
              </w:rPr>
              <w:t>1.5</w:t>
            </w:r>
            <w:r w:rsidRPr="000E4940">
              <w:rPr>
                <w:kern w:val="0"/>
                <w:sz w:val="18"/>
                <w:szCs w:val="18"/>
              </w:rPr>
              <w:t>；</w:t>
            </w:r>
          </w:p>
          <w:p w:rsidR="00A51521" w:rsidRPr="000E4940" w:rsidRDefault="00A51521" w:rsidP="000877DB">
            <w:pPr>
              <w:widowControl/>
              <w:spacing w:line="240" w:lineRule="auto"/>
              <w:ind w:firstLineChars="0" w:firstLine="0"/>
              <w:jc w:val="left"/>
              <w:rPr>
                <w:kern w:val="0"/>
                <w:sz w:val="18"/>
                <w:szCs w:val="18"/>
              </w:rPr>
            </w:pPr>
            <w:r>
              <w:rPr>
                <w:rFonts w:hint="eastAsia"/>
                <w:kern w:val="0"/>
                <w:sz w:val="18"/>
                <w:szCs w:val="18"/>
              </w:rPr>
              <w:t>⑤</w:t>
            </w:r>
            <w:r>
              <w:rPr>
                <w:kern w:val="0"/>
                <w:sz w:val="18"/>
                <w:szCs w:val="18"/>
              </w:rPr>
              <w:t>土地使用年期：商业服务业用地</w:t>
            </w:r>
            <w:r w:rsidRPr="000E4940">
              <w:rPr>
                <w:kern w:val="0"/>
                <w:sz w:val="18"/>
                <w:szCs w:val="18"/>
              </w:rPr>
              <w:t>40</w:t>
            </w:r>
            <w:r>
              <w:rPr>
                <w:kern w:val="0"/>
                <w:sz w:val="18"/>
                <w:szCs w:val="18"/>
              </w:rPr>
              <w:t>年，居住用地</w:t>
            </w:r>
            <w:r w:rsidRPr="000E4940">
              <w:rPr>
                <w:kern w:val="0"/>
                <w:sz w:val="18"/>
                <w:szCs w:val="18"/>
              </w:rPr>
              <w:t>70</w:t>
            </w:r>
            <w:r w:rsidRPr="000E4940">
              <w:rPr>
                <w:kern w:val="0"/>
                <w:sz w:val="18"/>
                <w:szCs w:val="18"/>
              </w:rPr>
              <w:t>年，工矿用地</w:t>
            </w:r>
            <w:r w:rsidRPr="000E4940">
              <w:rPr>
                <w:kern w:val="0"/>
                <w:sz w:val="18"/>
                <w:szCs w:val="18"/>
              </w:rPr>
              <w:t>50</w:t>
            </w:r>
            <w:r>
              <w:rPr>
                <w:kern w:val="0"/>
                <w:sz w:val="18"/>
                <w:szCs w:val="18"/>
              </w:rPr>
              <w:t>年，公共管理与公共服务用地</w:t>
            </w:r>
            <w:r w:rsidRPr="000E4940">
              <w:rPr>
                <w:kern w:val="0"/>
                <w:sz w:val="18"/>
                <w:szCs w:val="18"/>
              </w:rPr>
              <w:t>50</w:t>
            </w:r>
            <w:r w:rsidRPr="000E4940">
              <w:rPr>
                <w:kern w:val="0"/>
                <w:sz w:val="18"/>
                <w:szCs w:val="18"/>
              </w:rPr>
              <w:t>年</w:t>
            </w:r>
            <w:r w:rsidRPr="000E4940">
              <w:rPr>
                <w:rFonts w:hint="eastAsia"/>
                <w:kern w:val="0"/>
                <w:sz w:val="18"/>
                <w:szCs w:val="18"/>
              </w:rPr>
              <w:t>；</w:t>
            </w:r>
          </w:p>
          <w:p w:rsidR="00A51521" w:rsidRPr="000E4940" w:rsidRDefault="00A51521" w:rsidP="000E4940">
            <w:pPr>
              <w:widowControl/>
              <w:spacing w:line="240" w:lineRule="auto"/>
              <w:ind w:firstLineChars="0" w:firstLine="0"/>
              <w:jc w:val="left"/>
              <w:rPr>
                <w:kern w:val="0"/>
                <w:sz w:val="18"/>
                <w:szCs w:val="18"/>
              </w:rPr>
            </w:pPr>
            <w:r>
              <w:rPr>
                <w:rFonts w:hint="eastAsia"/>
                <w:kern w:val="0"/>
                <w:sz w:val="18"/>
                <w:szCs w:val="18"/>
              </w:rPr>
              <w:t>⑥</w:t>
            </w:r>
            <w:r w:rsidRPr="000E4940">
              <w:rPr>
                <w:kern w:val="0"/>
                <w:sz w:val="18"/>
                <w:szCs w:val="18"/>
              </w:rPr>
              <w:t>权利状况：岐山县城镇范围内完整权利下的国有建设用地使用权出让价格</w:t>
            </w:r>
            <w:r w:rsidRPr="000E4940">
              <w:rPr>
                <w:rFonts w:hint="eastAsia"/>
                <w:kern w:val="0"/>
                <w:sz w:val="18"/>
                <w:szCs w:val="18"/>
              </w:rPr>
              <w:t>；</w:t>
            </w:r>
          </w:p>
          <w:p w:rsidR="00A51521" w:rsidRPr="000E4940" w:rsidRDefault="00A51521" w:rsidP="000E4940">
            <w:pPr>
              <w:widowControl/>
              <w:spacing w:line="240" w:lineRule="auto"/>
              <w:ind w:firstLineChars="0" w:firstLine="0"/>
              <w:jc w:val="left"/>
              <w:rPr>
                <w:kern w:val="0"/>
                <w:sz w:val="18"/>
                <w:szCs w:val="18"/>
              </w:rPr>
            </w:pPr>
            <w:r>
              <w:rPr>
                <w:rFonts w:hint="eastAsia"/>
                <w:kern w:val="0"/>
                <w:sz w:val="18"/>
                <w:szCs w:val="18"/>
              </w:rPr>
              <w:t>⑦</w:t>
            </w:r>
            <w:r w:rsidRPr="000E4940">
              <w:rPr>
                <w:rFonts w:hint="eastAsia"/>
                <w:kern w:val="0"/>
                <w:sz w:val="18"/>
                <w:szCs w:val="18"/>
              </w:rPr>
              <w:t>价格类型：地面价。</w:t>
            </w:r>
          </w:p>
        </w:tc>
      </w:tr>
      <w:tr w:rsidR="00A51521" w:rsidRPr="000E4940" w:rsidTr="004F0B0E">
        <w:trPr>
          <w:trHeight w:val="585"/>
          <w:jc w:val="center"/>
        </w:trPr>
        <w:tc>
          <w:tcPr>
            <w:tcW w:w="1007" w:type="dxa"/>
            <w:vMerge/>
            <w:shd w:val="clear" w:color="auto" w:fill="auto"/>
            <w:vAlign w:val="center"/>
          </w:tcPr>
          <w:p w:rsidR="00A51521" w:rsidRDefault="00A51521" w:rsidP="000E4940">
            <w:pPr>
              <w:widowControl/>
              <w:spacing w:line="240" w:lineRule="auto"/>
              <w:ind w:firstLineChars="0" w:firstLine="0"/>
              <w:jc w:val="left"/>
              <w:rPr>
                <w:kern w:val="0"/>
                <w:sz w:val="18"/>
                <w:szCs w:val="18"/>
              </w:rPr>
            </w:pPr>
          </w:p>
        </w:tc>
        <w:tc>
          <w:tcPr>
            <w:tcW w:w="7044" w:type="dxa"/>
            <w:gridSpan w:val="4"/>
            <w:shd w:val="clear" w:color="auto" w:fill="auto"/>
            <w:vAlign w:val="center"/>
          </w:tcPr>
          <w:p w:rsidR="00E96499" w:rsidRDefault="00A51521" w:rsidP="00A51521">
            <w:pPr>
              <w:spacing w:line="340" w:lineRule="exact"/>
              <w:ind w:firstLineChars="0" w:firstLine="0"/>
              <w:jc w:val="left"/>
              <w:rPr>
                <w:rFonts w:ascii="宋体" w:hAnsi="宋体" w:cs="宋体"/>
                <w:kern w:val="0"/>
                <w:sz w:val="18"/>
                <w:szCs w:val="18"/>
              </w:rPr>
            </w:pPr>
            <w:r w:rsidRPr="00A51521">
              <w:rPr>
                <w:rFonts w:hint="eastAsia"/>
                <w:b/>
                <w:kern w:val="0"/>
                <w:sz w:val="18"/>
                <w:szCs w:val="18"/>
              </w:rPr>
              <w:t>2.</w:t>
            </w:r>
            <w:r w:rsidRPr="00A51521">
              <w:rPr>
                <w:rFonts w:hint="eastAsia"/>
                <w:b/>
                <w:kern w:val="0"/>
                <w:sz w:val="18"/>
                <w:szCs w:val="18"/>
              </w:rPr>
              <w:t>土地用途分类：</w:t>
            </w:r>
            <w:r w:rsidRPr="001A7AD2">
              <w:rPr>
                <w:rFonts w:ascii="宋体" w:hAnsi="宋体" w:cs="宋体" w:hint="eastAsia"/>
                <w:kern w:val="0"/>
                <w:sz w:val="18"/>
                <w:szCs w:val="18"/>
              </w:rPr>
              <w:t>①商业服务业用地、居住用地、公共管理与公共服务用地及工矿用地参照三级类用途的修正系数计算相应基准地价；</w:t>
            </w:r>
          </w:p>
          <w:p w:rsidR="00E96499" w:rsidRDefault="00A51521" w:rsidP="00A5152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②仓储用地、交通运输用地中的铁路用地、公路用地、机场用地、港口码头用地、管道运输用地、城市轨道交通用地、城镇村道路用地</w:t>
            </w:r>
            <w:r w:rsidR="001A7AD2" w:rsidRPr="001A7AD2">
              <w:rPr>
                <w:rFonts w:ascii="宋体" w:hAnsi="宋体" w:cs="宋体" w:hint="eastAsia"/>
                <w:kern w:val="0"/>
                <w:sz w:val="18"/>
                <w:szCs w:val="18"/>
              </w:rPr>
              <w:t>及</w:t>
            </w:r>
            <w:r w:rsidRPr="001A7AD2">
              <w:rPr>
                <w:rFonts w:ascii="宋体" w:hAnsi="宋体" w:cs="宋体" w:hint="eastAsia"/>
                <w:kern w:val="0"/>
                <w:sz w:val="18"/>
                <w:szCs w:val="18"/>
              </w:rPr>
              <w:t>其他交通设施用地基准地价参照工矿用地进行修正后确定；</w:t>
            </w:r>
          </w:p>
          <w:p w:rsidR="00E96499" w:rsidRDefault="00A51521" w:rsidP="00A5152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③交通运输用地中的交通场站用地、公用设施用地、</w:t>
            </w:r>
            <w:r w:rsidRPr="001A7AD2">
              <w:rPr>
                <w:rFonts w:ascii="宋体" w:hAnsi="宋体" w:cs="宋体"/>
                <w:kern w:val="0"/>
                <w:sz w:val="18"/>
                <w:szCs w:val="18"/>
              </w:rPr>
              <w:t>绿地与开敞空间用地</w:t>
            </w:r>
            <w:r w:rsidRPr="001A7AD2">
              <w:rPr>
                <w:rFonts w:ascii="宋体" w:hAnsi="宋体" w:cs="宋体" w:hint="eastAsia"/>
                <w:kern w:val="0"/>
                <w:sz w:val="18"/>
                <w:szCs w:val="18"/>
              </w:rPr>
              <w:t>、特殊用地（除营利性殡葬用地外）基准地价参照公共管理与公共服务用地进行修正后确定</w:t>
            </w:r>
            <w:r w:rsidR="001A7AD2" w:rsidRPr="001A7AD2">
              <w:rPr>
                <w:rFonts w:ascii="宋体" w:hAnsi="宋体" w:cs="宋体" w:hint="eastAsia"/>
                <w:kern w:val="0"/>
                <w:sz w:val="18"/>
                <w:szCs w:val="18"/>
              </w:rPr>
              <w:t>；</w:t>
            </w:r>
          </w:p>
          <w:p w:rsidR="00A51521" w:rsidRPr="00A51521" w:rsidRDefault="00A51521" w:rsidP="00A51521">
            <w:pPr>
              <w:spacing w:line="340" w:lineRule="exact"/>
              <w:ind w:firstLineChars="0" w:firstLine="0"/>
              <w:jc w:val="left"/>
              <w:rPr>
                <w:color w:val="FF0000"/>
                <w:kern w:val="0"/>
                <w:sz w:val="18"/>
                <w:szCs w:val="18"/>
              </w:rPr>
            </w:pPr>
            <w:r w:rsidRPr="001A7AD2">
              <w:rPr>
                <w:rFonts w:ascii="宋体" w:hAnsi="宋体" w:cs="宋体" w:hint="eastAsia"/>
                <w:kern w:val="0"/>
                <w:sz w:val="18"/>
                <w:szCs w:val="18"/>
              </w:rPr>
              <w:t>④营利性殡葬用地参照商业服务业用地进行修正后确定</w:t>
            </w:r>
            <w:r w:rsidR="001A7AD2" w:rsidRPr="001A7AD2">
              <w:rPr>
                <w:rFonts w:ascii="宋体" w:hAnsi="宋体" w:cs="宋体" w:hint="eastAsia"/>
                <w:kern w:val="0"/>
                <w:sz w:val="18"/>
                <w:szCs w:val="18"/>
              </w:rPr>
              <w:t>。</w:t>
            </w:r>
          </w:p>
        </w:tc>
      </w:tr>
      <w:bookmarkEnd w:id="0"/>
    </w:tbl>
    <w:p w:rsidR="000E4940" w:rsidRDefault="000E4940" w:rsidP="000E4940">
      <w:pPr>
        <w:adjustRightInd w:val="0"/>
        <w:ind w:firstLineChars="0" w:firstLine="0"/>
        <w:jc w:val="center"/>
        <w:outlineLvl w:val="3"/>
        <w:sectPr w:rsidR="000E4940" w:rsidSect="000E494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0E4940" w:rsidRPr="000E4940" w:rsidRDefault="000E4940" w:rsidP="000E4940">
      <w:pPr>
        <w:adjustRightInd w:val="0"/>
        <w:spacing w:line="240" w:lineRule="auto"/>
        <w:ind w:firstLineChars="0" w:firstLine="0"/>
        <w:jc w:val="center"/>
        <w:rPr>
          <w:rFonts w:eastAsia="黑体"/>
          <w:sz w:val="21"/>
          <w:szCs w:val="21"/>
        </w:rPr>
      </w:pPr>
      <w:r w:rsidRPr="000E4940">
        <w:rPr>
          <w:rFonts w:eastAsia="黑体"/>
          <w:sz w:val="21"/>
          <w:szCs w:val="21"/>
        </w:rPr>
        <w:lastRenderedPageBreak/>
        <w:t>表</w:t>
      </w:r>
      <w:r w:rsidRPr="000E4940">
        <w:rPr>
          <w:rFonts w:eastAsia="黑体"/>
          <w:sz w:val="21"/>
          <w:szCs w:val="21"/>
        </w:rPr>
        <w:t xml:space="preserve">2 </w:t>
      </w:r>
      <w:r w:rsidRPr="000E4940">
        <w:rPr>
          <w:rFonts w:eastAsia="黑体" w:hint="eastAsia"/>
          <w:sz w:val="21"/>
          <w:szCs w:val="21"/>
        </w:rPr>
        <w:t xml:space="preserve"> </w:t>
      </w:r>
      <w:r w:rsidRPr="000E4940">
        <w:rPr>
          <w:rFonts w:eastAsia="黑体"/>
          <w:sz w:val="21"/>
          <w:szCs w:val="21"/>
        </w:rPr>
        <w:t>岐山县蔡家坡</w:t>
      </w:r>
      <w:r w:rsidRPr="000E4940">
        <w:rPr>
          <w:rFonts w:eastAsia="黑体" w:hint="eastAsia"/>
          <w:sz w:val="21"/>
          <w:szCs w:val="21"/>
        </w:rPr>
        <w:t>城区</w:t>
      </w:r>
      <w:r w:rsidRPr="000E4940">
        <w:rPr>
          <w:rFonts w:eastAsia="黑体"/>
          <w:sz w:val="21"/>
          <w:szCs w:val="21"/>
        </w:rPr>
        <w:t>基准地价表</w:t>
      </w:r>
    </w:p>
    <w:p w:rsidR="000E4940" w:rsidRPr="000E4940" w:rsidRDefault="000E4940" w:rsidP="000E4940">
      <w:pPr>
        <w:adjustRightInd w:val="0"/>
        <w:spacing w:line="240" w:lineRule="auto"/>
        <w:ind w:firstLineChars="0" w:firstLine="0"/>
        <w:jc w:val="right"/>
        <w:rPr>
          <w:sz w:val="18"/>
          <w:szCs w:val="18"/>
        </w:rPr>
      </w:pPr>
      <w:r w:rsidRPr="000E4940">
        <w:rPr>
          <w:sz w:val="18"/>
          <w:szCs w:val="18"/>
        </w:rPr>
        <w:t>单位：元</w:t>
      </w:r>
      <w:r w:rsidRPr="000E4940">
        <w:rPr>
          <w:sz w:val="18"/>
          <w:szCs w:val="18"/>
        </w:rPr>
        <w:t>/m²</w:t>
      </w:r>
      <w:r w:rsidRPr="000E4940">
        <w:rPr>
          <w:sz w:val="18"/>
          <w:szCs w:val="18"/>
        </w:rPr>
        <w:t>（万元</w:t>
      </w:r>
      <w:r w:rsidRPr="000E4940">
        <w:rPr>
          <w:sz w:val="18"/>
          <w:szCs w:val="18"/>
        </w:rPr>
        <w:t>/</w:t>
      </w:r>
      <w:r w:rsidRPr="000E4940">
        <w:rPr>
          <w:sz w:val="18"/>
          <w:szCs w:val="18"/>
        </w:rPr>
        <w:t>亩）</w:t>
      </w:r>
    </w:p>
    <w:tbl>
      <w:tblPr>
        <w:tblW w:w="7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1"/>
        <w:gridCol w:w="1843"/>
        <w:gridCol w:w="1701"/>
        <w:gridCol w:w="1701"/>
        <w:gridCol w:w="1731"/>
        <w:gridCol w:w="12"/>
      </w:tblGrid>
      <w:tr w:rsidR="000E4940" w:rsidRPr="000E4940" w:rsidTr="00982941">
        <w:trPr>
          <w:gridAfter w:val="1"/>
          <w:wAfter w:w="12" w:type="dxa"/>
          <w:trHeight w:val="631"/>
          <w:jc w:val="center"/>
        </w:trPr>
        <w:tc>
          <w:tcPr>
            <w:tcW w:w="951"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级别</w:t>
            </w:r>
          </w:p>
        </w:tc>
        <w:tc>
          <w:tcPr>
            <w:tcW w:w="1843"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商业服务业用地</w:t>
            </w:r>
          </w:p>
        </w:tc>
        <w:tc>
          <w:tcPr>
            <w:tcW w:w="1701"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居住用地</w:t>
            </w:r>
          </w:p>
        </w:tc>
        <w:tc>
          <w:tcPr>
            <w:tcW w:w="1701"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公共管理与公共服务用地</w:t>
            </w:r>
          </w:p>
        </w:tc>
        <w:tc>
          <w:tcPr>
            <w:tcW w:w="1731" w:type="dxa"/>
            <w:shd w:val="clear" w:color="auto" w:fill="auto"/>
            <w:vAlign w:val="center"/>
          </w:tcPr>
          <w:p w:rsidR="000E4940" w:rsidRPr="000E4940" w:rsidRDefault="000E4940" w:rsidP="000E4940">
            <w:pPr>
              <w:widowControl/>
              <w:spacing w:line="240" w:lineRule="auto"/>
              <w:ind w:firstLineChars="0" w:firstLine="0"/>
              <w:jc w:val="center"/>
              <w:rPr>
                <w:b/>
                <w:kern w:val="0"/>
                <w:sz w:val="18"/>
                <w:szCs w:val="18"/>
              </w:rPr>
            </w:pPr>
            <w:r w:rsidRPr="000E4940">
              <w:rPr>
                <w:b/>
                <w:kern w:val="0"/>
                <w:sz w:val="18"/>
                <w:szCs w:val="18"/>
              </w:rPr>
              <w:t>工矿用地</w:t>
            </w:r>
          </w:p>
        </w:tc>
      </w:tr>
      <w:tr w:rsidR="000E4940" w:rsidRPr="000E4940" w:rsidTr="00982941">
        <w:trPr>
          <w:gridAfter w:val="1"/>
          <w:wAfter w:w="12" w:type="dxa"/>
          <w:trHeight w:val="504"/>
          <w:jc w:val="center"/>
        </w:trPr>
        <w:tc>
          <w:tcPr>
            <w:tcW w:w="951"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939(62.6)</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882(58.8)</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546(36.4)</w:t>
            </w:r>
          </w:p>
        </w:tc>
        <w:tc>
          <w:tcPr>
            <w:tcW w:w="1731"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w:t>
            </w:r>
          </w:p>
        </w:tc>
      </w:tr>
      <w:tr w:rsidR="000E4940" w:rsidRPr="000E4940" w:rsidTr="00982941">
        <w:trPr>
          <w:gridAfter w:val="1"/>
          <w:wAfter w:w="12" w:type="dxa"/>
          <w:trHeight w:val="504"/>
          <w:jc w:val="center"/>
        </w:trPr>
        <w:tc>
          <w:tcPr>
            <w:tcW w:w="951"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II</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777(51.8)</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735(49)</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486(32.4)</w:t>
            </w:r>
          </w:p>
        </w:tc>
        <w:tc>
          <w:tcPr>
            <w:tcW w:w="1731"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w:t>
            </w:r>
          </w:p>
        </w:tc>
      </w:tr>
      <w:tr w:rsidR="000E4940" w:rsidRPr="000E4940" w:rsidTr="00982941">
        <w:trPr>
          <w:gridAfter w:val="1"/>
          <w:wAfter w:w="12" w:type="dxa"/>
          <w:trHeight w:val="504"/>
          <w:jc w:val="center"/>
        </w:trPr>
        <w:tc>
          <w:tcPr>
            <w:tcW w:w="951"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III</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624(41.6)</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588(39.2)</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423(28.2)</w:t>
            </w:r>
          </w:p>
        </w:tc>
        <w:tc>
          <w:tcPr>
            <w:tcW w:w="1731"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375(25)</w:t>
            </w:r>
          </w:p>
        </w:tc>
      </w:tr>
      <w:tr w:rsidR="000E4940" w:rsidRPr="000E4940" w:rsidTr="00982941">
        <w:trPr>
          <w:gridAfter w:val="1"/>
          <w:wAfter w:w="12" w:type="dxa"/>
          <w:trHeight w:val="504"/>
          <w:jc w:val="center"/>
        </w:trPr>
        <w:tc>
          <w:tcPr>
            <w:tcW w:w="951"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IV</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486(32.4)</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459(30.6)</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363(24.2)</w:t>
            </w:r>
          </w:p>
        </w:tc>
        <w:tc>
          <w:tcPr>
            <w:tcW w:w="1731"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333(22.2)</w:t>
            </w:r>
          </w:p>
        </w:tc>
      </w:tr>
      <w:tr w:rsidR="000E4940" w:rsidRPr="000E4940" w:rsidTr="00982941">
        <w:trPr>
          <w:gridAfter w:val="1"/>
          <w:wAfter w:w="12" w:type="dxa"/>
          <w:trHeight w:val="504"/>
          <w:jc w:val="center"/>
        </w:trPr>
        <w:tc>
          <w:tcPr>
            <w:tcW w:w="951" w:type="dxa"/>
            <w:shd w:val="clear" w:color="auto" w:fill="auto"/>
            <w:vAlign w:val="center"/>
          </w:tcPr>
          <w:p w:rsidR="000E4940" w:rsidRPr="000E4940" w:rsidRDefault="000E4940" w:rsidP="000E4940">
            <w:pPr>
              <w:widowControl/>
              <w:spacing w:line="240" w:lineRule="auto"/>
              <w:ind w:firstLineChars="0" w:firstLine="0"/>
              <w:jc w:val="center"/>
              <w:rPr>
                <w:kern w:val="0"/>
                <w:sz w:val="18"/>
                <w:szCs w:val="18"/>
              </w:rPr>
            </w:pPr>
            <w:r w:rsidRPr="000E4940">
              <w:rPr>
                <w:kern w:val="0"/>
                <w:sz w:val="18"/>
                <w:szCs w:val="18"/>
              </w:rPr>
              <w:t>V</w:t>
            </w:r>
            <w:r w:rsidRPr="000E4940">
              <w:rPr>
                <w:kern w:val="0"/>
                <w:sz w:val="18"/>
                <w:szCs w:val="18"/>
              </w:rPr>
              <w:t>级</w:t>
            </w:r>
          </w:p>
        </w:tc>
        <w:tc>
          <w:tcPr>
            <w:tcW w:w="1843"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396(26.4)</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378(25.2)</w:t>
            </w:r>
          </w:p>
        </w:tc>
        <w:tc>
          <w:tcPr>
            <w:tcW w:w="1701" w:type="dxa"/>
            <w:shd w:val="clear" w:color="auto" w:fill="auto"/>
            <w:noWrap/>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303(20.2)</w:t>
            </w:r>
          </w:p>
        </w:tc>
        <w:tc>
          <w:tcPr>
            <w:tcW w:w="1731" w:type="dxa"/>
            <w:shd w:val="clear" w:color="auto" w:fill="auto"/>
            <w:vAlign w:val="center"/>
          </w:tcPr>
          <w:p w:rsidR="000E4940" w:rsidRPr="000E4940" w:rsidRDefault="000E4940" w:rsidP="000E4940">
            <w:pPr>
              <w:widowControl/>
              <w:spacing w:line="240" w:lineRule="auto"/>
              <w:ind w:firstLineChars="0" w:firstLine="0"/>
              <w:jc w:val="center"/>
              <w:rPr>
                <w:kern w:val="0"/>
                <w:sz w:val="21"/>
                <w:szCs w:val="21"/>
              </w:rPr>
            </w:pPr>
            <w:r w:rsidRPr="000E4940">
              <w:rPr>
                <w:kern w:val="0"/>
                <w:sz w:val="21"/>
                <w:szCs w:val="21"/>
              </w:rPr>
              <w:t>273(18.2)</w:t>
            </w:r>
          </w:p>
        </w:tc>
      </w:tr>
      <w:tr w:rsidR="00982941" w:rsidRPr="000E4940" w:rsidTr="00982941">
        <w:trPr>
          <w:trHeight w:val="2804"/>
          <w:jc w:val="center"/>
        </w:trPr>
        <w:tc>
          <w:tcPr>
            <w:tcW w:w="951" w:type="dxa"/>
            <w:vMerge w:val="restart"/>
            <w:shd w:val="clear" w:color="auto" w:fill="auto"/>
            <w:vAlign w:val="center"/>
          </w:tcPr>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使用说明</w:t>
            </w:r>
          </w:p>
        </w:tc>
        <w:tc>
          <w:tcPr>
            <w:tcW w:w="6988" w:type="dxa"/>
            <w:gridSpan w:val="5"/>
            <w:shd w:val="clear" w:color="auto" w:fill="auto"/>
            <w:vAlign w:val="center"/>
          </w:tcPr>
          <w:p w:rsidR="00982941" w:rsidRPr="00982941" w:rsidRDefault="00982941" w:rsidP="00982941">
            <w:pPr>
              <w:widowControl/>
              <w:spacing w:line="240" w:lineRule="auto"/>
              <w:ind w:firstLineChars="0" w:firstLine="0"/>
              <w:jc w:val="left"/>
              <w:rPr>
                <w:b/>
                <w:kern w:val="0"/>
                <w:sz w:val="18"/>
                <w:szCs w:val="18"/>
              </w:rPr>
            </w:pPr>
            <w:r>
              <w:rPr>
                <w:rFonts w:hint="eastAsia"/>
                <w:b/>
                <w:kern w:val="0"/>
                <w:sz w:val="18"/>
                <w:szCs w:val="18"/>
              </w:rPr>
              <w:t>1</w:t>
            </w:r>
            <w:r>
              <w:rPr>
                <w:b/>
                <w:kern w:val="0"/>
                <w:sz w:val="18"/>
                <w:szCs w:val="18"/>
              </w:rPr>
              <w:t>.</w:t>
            </w:r>
            <w:r w:rsidRPr="00405FA6">
              <w:rPr>
                <w:b/>
                <w:kern w:val="0"/>
                <w:sz w:val="18"/>
                <w:szCs w:val="18"/>
              </w:rPr>
              <w:t>基准地价内涵：</w:t>
            </w:r>
            <w:r w:rsidRPr="000E4940">
              <w:rPr>
                <w:rFonts w:ascii="宋体" w:hAnsi="宋体" w:cs="宋体" w:hint="eastAsia"/>
                <w:kern w:val="0"/>
                <w:sz w:val="18"/>
                <w:szCs w:val="18"/>
              </w:rPr>
              <w:t>①</w:t>
            </w:r>
            <w:r w:rsidRPr="000E4940">
              <w:rPr>
                <w:kern w:val="0"/>
                <w:sz w:val="18"/>
                <w:szCs w:val="18"/>
              </w:rPr>
              <w:t>基准日：</w:t>
            </w:r>
            <w:r w:rsidRPr="000E4940">
              <w:rPr>
                <w:kern w:val="0"/>
                <w:sz w:val="18"/>
                <w:szCs w:val="18"/>
              </w:rPr>
              <w:t>2023</w:t>
            </w:r>
            <w:r w:rsidRPr="000E4940">
              <w:rPr>
                <w:kern w:val="0"/>
                <w:sz w:val="18"/>
                <w:szCs w:val="18"/>
              </w:rPr>
              <w:t>年</w:t>
            </w:r>
            <w:r w:rsidRPr="000E4940">
              <w:rPr>
                <w:kern w:val="0"/>
                <w:sz w:val="18"/>
                <w:szCs w:val="18"/>
              </w:rPr>
              <w:t>12</w:t>
            </w:r>
            <w:r w:rsidRPr="000E4940">
              <w:rPr>
                <w:kern w:val="0"/>
                <w:sz w:val="18"/>
                <w:szCs w:val="18"/>
              </w:rPr>
              <w:t>月</w:t>
            </w:r>
            <w:r w:rsidRPr="000E4940">
              <w:rPr>
                <w:kern w:val="0"/>
                <w:sz w:val="18"/>
                <w:szCs w:val="18"/>
              </w:rPr>
              <w:t>31</w:t>
            </w:r>
            <w:r w:rsidRPr="000E4940">
              <w:rPr>
                <w:kern w:val="0"/>
                <w:sz w:val="18"/>
                <w:szCs w:val="18"/>
              </w:rPr>
              <w:t>日；</w:t>
            </w:r>
          </w:p>
          <w:p w:rsidR="00982941" w:rsidRPr="00982941" w:rsidRDefault="00982941" w:rsidP="00982941">
            <w:pPr>
              <w:spacing w:line="340" w:lineRule="exact"/>
              <w:ind w:firstLineChars="0" w:firstLine="0"/>
              <w:jc w:val="left"/>
              <w:rPr>
                <w:kern w:val="0"/>
                <w:sz w:val="18"/>
                <w:szCs w:val="18"/>
              </w:rPr>
            </w:pPr>
            <w:r w:rsidRPr="000877DB">
              <w:rPr>
                <w:rFonts w:hint="eastAsia"/>
                <w:kern w:val="0"/>
                <w:sz w:val="18"/>
                <w:szCs w:val="18"/>
              </w:rPr>
              <w:t>②</w:t>
            </w:r>
            <w:r w:rsidRPr="000877DB">
              <w:rPr>
                <w:kern w:val="0"/>
                <w:sz w:val="18"/>
                <w:szCs w:val="18"/>
              </w:rPr>
              <w:t>土地用途：商业服务业用地、居住用地、公共管理与公共服务用地、工矿用地；</w:t>
            </w:r>
          </w:p>
          <w:p w:rsidR="00982941" w:rsidRPr="000E4940" w:rsidRDefault="00982941" w:rsidP="00982941">
            <w:pPr>
              <w:widowControl/>
              <w:spacing w:line="240" w:lineRule="auto"/>
              <w:ind w:firstLineChars="0" w:firstLine="0"/>
              <w:jc w:val="left"/>
              <w:rPr>
                <w:kern w:val="0"/>
                <w:sz w:val="18"/>
                <w:szCs w:val="18"/>
              </w:rPr>
            </w:pPr>
            <w:r>
              <w:rPr>
                <w:rFonts w:hint="eastAsia"/>
                <w:kern w:val="0"/>
                <w:sz w:val="18"/>
                <w:szCs w:val="18"/>
              </w:rPr>
              <w:t>③</w:t>
            </w:r>
            <w:r w:rsidRPr="000E4940">
              <w:rPr>
                <w:kern w:val="0"/>
                <w:sz w:val="18"/>
                <w:szCs w:val="18"/>
              </w:rPr>
              <w:t>土地开发程度：</w:t>
            </w:r>
            <w:r w:rsidRPr="000E4940">
              <w:rPr>
                <w:kern w:val="0"/>
                <w:sz w:val="18"/>
                <w:szCs w:val="18"/>
              </w:rPr>
              <w:t>“</w:t>
            </w:r>
            <w:r w:rsidRPr="000E4940">
              <w:rPr>
                <w:kern w:val="0"/>
                <w:sz w:val="18"/>
                <w:szCs w:val="18"/>
              </w:rPr>
              <w:t>六通一平</w:t>
            </w:r>
            <w:r w:rsidRPr="000E4940">
              <w:rPr>
                <w:kern w:val="0"/>
                <w:sz w:val="18"/>
                <w:szCs w:val="18"/>
              </w:rPr>
              <w:t>”</w:t>
            </w:r>
            <w:r w:rsidRPr="000E4940">
              <w:rPr>
                <w:kern w:val="0"/>
                <w:sz w:val="18"/>
                <w:szCs w:val="18"/>
              </w:rPr>
              <w:t>（通路、通电、供水、排水、供气、通讯、场地平整）；</w:t>
            </w:r>
          </w:p>
          <w:p w:rsidR="00982941" w:rsidRDefault="00982941" w:rsidP="00982941">
            <w:pPr>
              <w:widowControl/>
              <w:spacing w:line="240" w:lineRule="auto"/>
              <w:ind w:firstLineChars="0" w:firstLine="0"/>
              <w:jc w:val="left"/>
              <w:rPr>
                <w:kern w:val="0"/>
                <w:sz w:val="18"/>
                <w:szCs w:val="18"/>
              </w:rPr>
            </w:pPr>
            <w:r>
              <w:rPr>
                <w:rFonts w:hint="eastAsia"/>
                <w:kern w:val="0"/>
                <w:sz w:val="18"/>
                <w:szCs w:val="18"/>
              </w:rPr>
              <w:t>④</w:t>
            </w:r>
            <w:r w:rsidRPr="000E4940">
              <w:rPr>
                <w:kern w:val="0"/>
                <w:sz w:val="18"/>
                <w:szCs w:val="18"/>
              </w:rPr>
              <w:t>容积率：商业服务业用地</w:t>
            </w:r>
            <w:r w:rsidRPr="000E4940">
              <w:rPr>
                <w:kern w:val="0"/>
                <w:sz w:val="18"/>
                <w:szCs w:val="18"/>
              </w:rPr>
              <w:t>2.5</w:t>
            </w:r>
            <w:r w:rsidRPr="000E4940">
              <w:rPr>
                <w:kern w:val="0"/>
                <w:sz w:val="18"/>
                <w:szCs w:val="18"/>
              </w:rPr>
              <w:t>，居住用地</w:t>
            </w:r>
            <w:r w:rsidRPr="000E4940">
              <w:rPr>
                <w:kern w:val="0"/>
                <w:sz w:val="18"/>
                <w:szCs w:val="18"/>
              </w:rPr>
              <w:t>2.0</w:t>
            </w:r>
            <w:r w:rsidRPr="000E4940">
              <w:rPr>
                <w:kern w:val="0"/>
                <w:sz w:val="18"/>
                <w:szCs w:val="18"/>
              </w:rPr>
              <w:t>，工矿用地</w:t>
            </w:r>
            <w:r w:rsidRPr="000E4940">
              <w:rPr>
                <w:kern w:val="0"/>
                <w:sz w:val="18"/>
                <w:szCs w:val="18"/>
              </w:rPr>
              <w:t>1.2</w:t>
            </w:r>
            <w:r w:rsidRPr="000E4940">
              <w:rPr>
                <w:kern w:val="0"/>
                <w:sz w:val="18"/>
                <w:szCs w:val="18"/>
              </w:rPr>
              <w:t>，公共管理与公共服务用地</w:t>
            </w:r>
            <w:r w:rsidRPr="000E4940">
              <w:rPr>
                <w:kern w:val="0"/>
                <w:sz w:val="18"/>
                <w:szCs w:val="18"/>
              </w:rPr>
              <w:t>1.5</w:t>
            </w:r>
            <w:r w:rsidRPr="000E4940">
              <w:rPr>
                <w:kern w:val="0"/>
                <w:sz w:val="18"/>
                <w:szCs w:val="18"/>
              </w:rPr>
              <w:t>；</w:t>
            </w:r>
          </w:p>
          <w:p w:rsidR="00982941" w:rsidRPr="000E4940" w:rsidRDefault="00982941" w:rsidP="00982941">
            <w:pPr>
              <w:widowControl/>
              <w:spacing w:line="240" w:lineRule="auto"/>
              <w:ind w:firstLineChars="0" w:firstLine="0"/>
              <w:jc w:val="left"/>
              <w:rPr>
                <w:kern w:val="0"/>
                <w:sz w:val="18"/>
                <w:szCs w:val="18"/>
              </w:rPr>
            </w:pPr>
            <w:r>
              <w:rPr>
                <w:rFonts w:hint="eastAsia"/>
                <w:kern w:val="0"/>
                <w:sz w:val="18"/>
                <w:szCs w:val="18"/>
              </w:rPr>
              <w:t>⑤</w:t>
            </w:r>
            <w:r w:rsidRPr="000E4940">
              <w:rPr>
                <w:kern w:val="0"/>
                <w:sz w:val="18"/>
                <w:szCs w:val="18"/>
              </w:rPr>
              <w:t>土地使用年期：商业服务业用地</w:t>
            </w:r>
            <w:r w:rsidRPr="000E4940">
              <w:rPr>
                <w:kern w:val="0"/>
                <w:sz w:val="18"/>
                <w:szCs w:val="18"/>
              </w:rPr>
              <w:t>40</w:t>
            </w:r>
            <w:r w:rsidRPr="000E4940">
              <w:rPr>
                <w:kern w:val="0"/>
                <w:sz w:val="18"/>
                <w:szCs w:val="18"/>
              </w:rPr>
              <w:t>年，居住用地</w:t>
            </w:r>
            <w:r w:rsidRPr="000E4940">
              <w:rPr>
                <w:kern w:val="0"/>
                <w:sz w:val="18"/>
                <w:szCs w:val="18"/>
              </w:rPr>
              <w:t>70</w:t>
            </w:r>
            <w:r w:rsidRPr="000E4940">
              <w:rPr>
                <w:kern w:val="0"/>
                <w:sz w:val="18"/>
                <w:szCs w:val="18"/>
              </w:rPr>
              <w:t>年，工矿用地</w:t>
            </w:r>
            <w:r w:rsidRPr="000E4940">
              <w:rPr>
                <w:kern w:val="0"/>
                <w:sz w:val="18"/>
                <w:szCs w:val="18"/>
              </w:rPr>
              <w:t>50</w:t>
            </w:r>
            <w:r w:rsidRPr="000E4940">
              <w:rPr>
                <w:kern w:val="0"/>
                <w:sz w:val="18"/>
                <w:szCs w:val="18"/>
              </w:rPr>
              <w:t>年，公共管理与公共服务用地</w:t>
            </w:r>
            <w:r w:rsidRPr="000E4940">
              <w:rPr>
                <w:kern w:val="0"/>
                <w:sz w:val="18"/>
                <w:szCs w:val="18"/>
              </w:rPr>
              <w:t>50</w:t>
            </w:r>
            <w:r w:rsidRPr="000E4940">
              <w:rPr>
                <w:kern w:val="0"/>
                <w:sz w:val="18"/>
                <w:szCs w:val="18"/>
              </w:rPr>
              <w:t>年</w:t>
            </w:r>
            <w:r w:rsidRPr="000E4940">
              <w:rPr>
                <w:rFonts w:hint="eastAsia"/>
                <w:kern w:val="0"/>
                <w:sz w:val="18"/>
                <w:szCs w:val="18"/>
              </w:rPr>
              <w:t>；</w:t>
            </w:r>
          </w:p>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⑥</w:t>
            </w:r>
            <w:r w:rsidRPr="000E4940">
              <w:rPr>
                <w:kern w:val="0"/>
                <w:sz w:val="18"/>
                <w:szCs w:val="18"/>
              </w:rPr>
              <w:t>权利状况：岐山县城镇范围内完整权利下的国有建设用地使用权出让价格</w:t>
            </w:r>
            <w:r w:rsidRPr="000E4940">
              <w:rPr>
                <w:rFonts w:hint="eastAsia"/>
                <w:kern w:val="0"/>
                <w:sz w:val="18"/>
                <w:szCs w:val="18"/>
              </w:rPr>
              <w:t>；</w:t>
            </w:r>
          </w:p>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⑦</w:t>
            </w:r>
            <w:r w:rsidRPr="000E4940">
              <w:rPr>
                <w:rFonts w:hint="eastAsia"/>
                <w:kern w:val="0"/>
                <w:sz w:val="18"/>
                <w:szCs w:val="18"/>
              </w:rPr>
              <w:t>价格类型：地面价。</w:t>
            </w:r>
          </w:p>
        </w:tc>
      </w:tr>
      <w:tr w:rsidR="00982941" w:rsidRPr="000E4940" w:rsidTr="00982941">
        <w:trPr>
          <w:trHeight w:val="2804"/>
          <w:jc w:val="center"/>
        </w:trPr>
        <w:tc>
          <w:tcPr>
            <w:tcW w:w="951" w:type="dxa"/>
            <w:vMerge/>
            <w:shd w:val="clear" w:color="auto" w:fill="auto"/>
            <w:vAlign w:val="center"/>
          </w:tcPr>
          <w:p w:rsidR="00982941" w:rsidRPr="000E4940" w:rsidRDefault="00982941" w:rsidP="000E4940">
            <w:pPr>
              <w:widowControl/>
              <w:spacing w:line="240" w:lineRule="auto"/>
              <w:ind w:firstLineChars="0" w:firstLine="0"/>
              <w:jc w:val="left"/>
              <w:rPr>
                <w:kern w:val="0"/>
                <w:sz w:val="18"/>
                <w:szCs w:val="18"/>
              </w:rPr>
            </w:pPr>
          </w:p>
        </w:tc>
        <w:tc>
          <w:tcPr>
            <w:tcW w:w="6988" w:type="dxa"/>
            <w:gridSpan w:val="5"/>
            <w:shd w:val="clear" w:color="auto" w:fill="auto"/>
            <w:vAlign w:val="center"/>
          </w:tcPr>
          <w:p w:rsidR="00982941" w:rsidRDefault="00982941" w:rsidP="00982941">
            <w:pPr>
              <w:spacing w:line="340" w:lineRule="exact"/>
              <w:ind w:firstLineChars="0" w:firstLine="0"/>
              <w:jc w:val="left"/>
              <w:rPr>
                <w:rFonts w:ascii="宋体" w:hAnsi="宋体" w:cs="宋体"/>
                <w:kern w:val="0"/>
                <w:sz w:val="18"/>
                <w:szCs w:val="18"/>
              </w:rPr>
            </w:pPr>
            <w:r w:rsidRPr="00A51521">
              <w:rPr>
                <w:rFonts w:hint="eastAsia"/>
                <w:b/>
                <w:kern w:val="0"/>
                <w:sz w:val="18"/>
                <w:szCs w:val="18"/>
              </w:rPr>
              <w:t>2.</w:t>
            </w:r>
            <w:r w:rsidRPr="00A51521">
              <w:rPr>
                <w:rFonts w:hint="eastAsia"/>
                <w:b/>
                <w:kern w:val="0"/>
                <w:sz w:val="18"/>
                <w:szCs w:val="18"/>
              </w:rPr>
              <w:t>土地用途分类：</w:t>
            </w:r>
            <w:r w:rsidRPr="001A7AD2">
              <w:rPr>
                <w:rFonts w:ascii="宋体" w:hAnsi="宋体" w:cs="宋体" w:hint="eastAsia"/>
                <w:kern w:val="0"/>
                <w:sz w:val="18"/>
                <w:szCs w:val="18"/>
              </w:rPr>
              <w:t>①商业服务业用地、居住用地、公共管理与公共服务用地及工矿用地参照三级类用途的修正系数计算相应基准地价；</w:t>
            </w:r>
          </w:p>
          <w:p w:rsidR="00982941" w:rsidRDefault="00982941" w:rsidP="0098294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②仓储用地、交通运输用地中的铁路用地、公路用地、机场用地、港口码头用地、管道运输用地、城市轨道交通用地、城镇村道路用地及其他交通设施用地基准地价参照工矿用地进行修正后确定；</w:t>
            </w:r>
          </w:p>
          <w:p w:rsidR="00982941" w:rsidRDefault="00982941" w:rsidP="0098294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③交通运输用地中的交通场站用地、公用设施用地、</w:t>
            </w:r>
            <w:r w:rsidRPr="001A7AD2">
              <w:rPr>
                <w:rFonts w:ascii="宋体" w:hAnsi="宋体" w:cs="宋体"/>
                <w:kern w:val="0"/>
                <w:sz w:val="18"/>
                <w:szCs w:val="18"/>
              </w:rPr>
              <w:t>绿地与开敞空间用地</w:t>
            </w:r>
            <w:r w:rsidRPr="001A7AD2">
              <w:rPr>
                <w:rFonts w:ascii="宋体" w:hAnsi="宋体" w:cs="宋体" w:hint="eastAsia"/>
                <w:kern w:val="0"/>
                <w:sz w:val="18"/>
                <w:szCs w:val="18"/>
              </w:rPr>
              <w:t>、特殊用地（除营利性殡葬用地外）基准地价参照公共管理与公共服务用地进行修正后确定；</w:t>
            </w:r>
          </w:p>
          <w:p w:rsidR="00982941" w:rsidRPr="00405FA6" w:rsidRDefault="00982941" w:rsidP="00982941">
            <w:pPr>
              <w:widowControl/>
              <w:spacing w:line="240" w:lineRule="auto"/>
              <w:ind w:firstLineChars="0" w:firstLine="0"/>
              <w:jc w:val="left"/>
              <w:rPr>
                <w:b/>
                <w:kern w:val="0"/>
                <w:sz w:val="18"/>
                <w:szCs w:val="18"/>
              </w:rPr>
            </w:pPr>
            <w:r w:rsidRPr="001A7AD2">
              <w:rPr>
                <w:rFonts w:ascii="宋体" w:hAnsi="宋体" w:cs="宋体" w:hint="eastAsia"/>
                <w:kern w:val="0"/>
                <w:sz w:val="18"/>
                <w:szCs w:val="18"/>
              </w:rPr>
              <w:t>④营利性殡葬用地参照商业服务业用地进行修正后确定。</w:t>
            </w:r>
          </w:p>
        </w:tc>
      </w:tr>
    </w:tbl>
    <w:p w:rsidR="000E4940" w:rsidRDefault="000E4940" w:rsidP="000E4940">
      <w:pPr>
        <w:adjustRightInd w:val="0"/>
        <w:ind w:firstLineChars="0" w:firstLine="0"/>
        <w:jc w:val="center"/>
        <w:outlineLvl w:val="3"/>
        <w:sectPr w:rsidR="000E4940" w:rsidSect="000E4940">
          <w:pgSz w:w="11906" w:h="16838"/>
          <w:pgMar w:top="1440" w:right="1800" w:bottom="1440" w:left="1800" w:header="851" w:footer="992" w:gutter="0"/>
          <w:cols w:space="425"/>
          <w:docGrid w:type="lines" w:linePitch="312"/>
        </w:sectPr>
      </w:pPr>
    </w:p>
    <w:p w:rsidR="000E4940" w:rsidRPr="000E4940" w:rsidRDefault="000E4940" w:rsidP="000E4940">
      <w:pPr>
        <w:adjustRightInd w:val="0"/>
        <w:spacing w:line="240" w:lineRule="auto"/>
        <w:ind w:firstLineChars="0" w:firstLine="0"/>
        <w:jc w:val="center"/>
        <w:rPr>
          <w:rFonts w:eastAsia="黑体"/>
          <w:sz w:val="21"/>
          <w:szCs w:val="21"/>
        </w:rPr>
      </w:pPr>
      <w:r w:rsidRPr="000E4940">
        <w:rPr>
          <w:rFonts w:eastAsia="黑体"/>
          <w:sz w:val="21"/>
          <w:szCs w:val="21"/>
        </w:rPr>
        <w:lastRenderedPageBreak/>
        <w:t>表</w:t>
      </w:r>
      <w:r w:rsidRPr="000E4940">
        <w:rPr>
          <w:rFonts w:eastAsia="黑体"/>
          <w:sz w:val="21"/>
          <w:szCs w:val="21"/>
        </w:rPr>
        <w:t xml:space="preserve">3 </w:t>
      </w:r>
      <w:r w:rsidRPr="000E4940">
        <w:rPr>
          <w:rFonts w:eastAsia="黑体"/>
          <w:sz w:val="21"/>
          <w:szCs w:val="21"/>
        </w:rPr>
        <w:t>岐山县其他建制镇基准地价表</w:t>
      </w:r>
    </w:p>
    <w:p w:rsidR="000E4940" w:rsidRPr="000E4940" w:rsidRDefault="000E4940" w:rsidP="000E4940">
      <w:pPr>
        <w:adjustRightInd w:val="0"/>
        <w:spacing w:line="460" w:lineRule="exact"/>
        <w:ind w:firstLineChars="0" w:firstLine="0"/>
        <w:jc w:val="right"/>
        <w:rPr>
          <w:sz w:val="18"/>
          <w:szCs w:val="18"/>
        </w:rPr>
      </w:pPr>
      <w:r w:rsidRPr="000E4940">
        <w:rPr>
          <w:sz w:val="18"/>
          <w:szCs w:val="18"/>
        </w:rPr>
        <w:t>单位：元</w:t>
      </w:r>
      <w:r w:rsidRPr="000E4940">
        <w:rPr>
          <w:sz w:val="18"/>
          <w:szCs w:val="18"/>
        </w:rPr>
        <w:t>/m²</w:t>
      </w:r>
      <w:r w:rsidRPr="000E4940">
        <w:rPr>
          <w:sz w:val="18"/>
          <w:szCs w:val="18"/>
        </w:rPr>
        <w:t>（万元</w:t>
      </w:r>
      <w:r w:rsidRPr="000E4940">
        <w:rPr>
          <w:sz w:val="18"/>
          <w:szCs w:val="18"/>
        </w:rPr>
        <w:t>/</w:t>
      </w:r>
      <w:r w:rsidRPr="000E4940">
        <w:rPr>
          <w:sz w:val="18"/>
          <w:szCs w:val="18"/>
        </w:rPr>
        <w:t>亩）</w:t>
      </w:r>
    </w:p>
    <w:tbl>
      <w:tblPr>
        <w:tblW w:w="82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84"/>
        <w:gridCol w:w="17"/>
        <w:gridCol w:w="868"/>
        <w:gridCol w:w="1518"/>
        <w:gridCol w:w="1283"/>
        <w:gridCol w:w="1643"/>
        <w:gridCol w:w="1259"/>
      </w:tblGrid>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镇名</w:t>
            </w:r>
          </w:p>
        </w:tc>
        <w:tc>
          <w:tcPr>
            <w:tcW w:w="868" w:type="dxa"/>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级别</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商业服务业用地</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居住用地</w:t>
            </w:r>
          </w:p>
        </w:tc>
        <w:tc>
          <w:tcPr>
            <w:tcW w:w="1643" w:type="dxa"/>
            <w:shd w:val="clear" w:color="auto" w:fill="auto"/>
            <w:vAlign w:val="center"/>
          </w:tcPr>
          <w:p w:rsidR="008568A5" w:rsidRPr="000E4940" w:rsidRDefault="008568A5" w:rsidP="008568A5">
            <w:pPr>
              <w:widowControl/>
              <w:spacing w:line="280" w:lineRule="exact"/>
              <w:ind w:firstLineChars="0" w:firstLine="0"/>
              <w:jc w:val="center"/>
              <w:rPr>
                <w:b/>
                <w:kern w:val="0"/>
                <w:sz w:val="18"/>
                <w:szCs w:val="18"/>
              </w:rPr>
            </w:pPr>
            <w:r w:rsidRPr="000E4940">
              <w:rPr>
                <w:b/>
                <w:kern w:val="0"/>
                <w:sz w:val="18"/>
                <w:szCs w:val="18"/>
              </w:rPr>
              <w:t>公共管理与公共</w:t>
            </w:r>
          </w:p>
          <w:p w:rsidR="008568A5" w:rsidRPr="000E4940" w:rsidRDefault="008568A5" w:rsidP="008568A5">
            <w:pPr>
              <w:widowControl/>
              <w:spacing w:line="280" w:lineRule="exact"/>
              <w:ind w:firstLineChars="0" w:firstLine="0"/>
              <w:jc w:val="center"/>
              <w:rPr>
                <w:b/>
                <w:kern w:val="0"/>
                <w:sz w:val="18"/>
                <w:szCs w:val="18"/>
              </w:rPr>
            </w:pPr>
            <w:r w:rsidRPr="000E4940">
              <w:rPr>
                <w:b/>
                <w:kern w:val="0"/>
                <w:sz w:val="18"/>
                <w:szCs w:val="18"/>
              </w:rPr>
              <w:t>服务用地</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工矿用地</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proofErr w:type="gramStart"/>
            <w:r w:rsidRPr="000E4940">
              <w:rPr>
                <w:kern w:val="0"/>
                <w:sz w:val="18"/>
                <w:szCs w:val="18"/>
              </w:rPr>
              <w:t>益店镇</w:t>
            </w:r>
            <w:proofErr w:type="gramEnd"/>
          </w:p>
        </w:tc>
        <w:tc>
          <w:tcPr>
            <w:tcW w:w="868" w:type="dxa"/>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I</w:t>
            </w:r>
            <w:r w:rsidRPr="000E4940">
              <w:rPr>
                <w:kern w:val="0"/>
                <w:sz w:val="18"/>
                <w:szCs w:val="18"/>
              </w:rPr>
              <w:t>级</w:t>
            </w:r>
          </w:p>
        </w:tc>
        <w:tc>
          <w:tcPr>
            <w:tcW w:w="1518"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348</w:t>
            </w:r>
            <w:r>
              <w:rPr>
                <w:rFonts w:hint="eastAsia"/>
                <w:kern w:val="0"/>
                <w:sz w:val="18"/>
                <w:szCs w:val="18"/>
              </w:rPr>
              <w:t>（</w:t>
            </w:r>
            <w:r w:rsidRPr="000E4940">
              <w:rPr>
                <w:kern w:val="0"/>
                <w:sz w:val="18"/>
                <w:szCs w:val="18"/>
              </w:rPr>
              <w:t>23.2</w:t>
            </w:r>
            <w:r>
              <w:rPr>
                <w:rFonts w:hint="eastAsia"/>
                <w:kern w:val="0"/>
                <w:sz w:val="18"/>
                <w:szCs w:val="18"/>
              </w:rPr>
              <w:t>）</w:t>
            </w:r>
          </w:p>
        </w:tc>
        <w:tc>
          <w:tcPr>
            <w:tcW w:w="1283"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291</w:t>
            </w:r>
            <w:r>
              <w:rPr>
                <w:rFonts w:hint="eastAsia"/>
                <w:kern w:val="0"/>
                <w:sz w:val="18"/>
                <w:szCs w:val="18"/>
              </w:rPr>
              <w:t>（</w:t>
            </w:r>
            <w:r w:rsidRPr="000E4940">
              <w:rPr>
                <w:kern w:val="0"/>
                <w:sz w:val="18"/>
                <w:szCs w:val="18"/>
              </w:rPr>
              <w:t>19.4</w:t>
            </w:r>
            <w:r>
              <w:rPr>
                <w:rFonts w:hint="eastAsia"/>
                <w:kern w:val="0"/>
                <w:sz w:val="18"/>
                <w:szCs w:val="18"/>
              </w:rPr>
              <w:t>）</w:t>
            </w:r>
          </w:p>
        </w:tc>
        <w:tc>
          <w:tcPr>
            <w:tcW w:w="1643"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246</w:t>
            </w:r>
            <w:r>
              <w:rPr>
                <w:rFonts w:hint="eastAsia"/>
                <w:kern w:val="0"/>
                <w:sz w:val="18"/>
                <w:szCs w:val="18"/>
              </w:rPr>
              <w:t>（</w:t>
            </w:r>
            <w:r w:rsidRPr="000E4940">
              <w:rPr>
                <w:kern w:val="0"/>
                <w:sz w:val="18"/>
                <w:szCs w:val="18"/>
              </w:rPr>
              <w:t>16.4</w:t>
            </w:r>
            <w:r>
              <w:rPr>
                <w:rFonts w:hint="eastAsia"/>
                <w:kern w:val="0"/>
                <w:sz w:val="18"/>
                <w:szCs w:val="18"/>
              </w:rPr>
              <w:t>）</w:t>
            </w:r>
          </w:p>
        </w:tc>
        <w:tc>
          <w:tcPr>
            <w:tcW w:w="1259"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216</w:t>
            </w:r>
            <w:r>
              <w:rPr>
                <w:rFonts w:hint="eastAsia"/>
                <w:kern w:val="0"/>
                <w:sz w:val="18"/>
                <w:szCs w:val="18"/>
              </w:rPr>
              <w:t>（</w:t>
            </w:r>
            <w:r w:rsidRPr="000E4940">
              <w:rPr>
                <w:kern w:val="0"/>
                <w:sz w:val="18"/>
                <w:szCs w:val="18"/>
              </w:rPr>
              <w:t>14.4</w:t>
            </w:r>
            <w:r>
              <w:rPr>
                <w:rFonts w:hint="eastAsia"/>
                <w:kern w:val="0"/>
                <w:sz w:val="18"/>
                <w:szCs w:val="18"/>
              </w:rPr>
              <w:t>）</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青化镇</w:t>
            </w:r>
          </w:p>
        </w:tc>
        <w:tc>
          <w:tcPr>
            <w:tcW w:w="868"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300</w:t>
            </w:r>
            <w:r>
              <w:rPr>
                <w:rFonts w:hint="eastAsia"/>
                <w:kern w:val="0"/>
                <w:sz w:val="18"/>
                <w:szCs w:val="18"/>
              </w:rPr>
              <w:t>（</w:t>
            </w:r>
            <w:r w:rsidRPr="000E4940">
              <w:rPr>
                <w:kern w:val="0"/>
                <w:sz w:val="18"/>
                <w:szCs w:val="18"/>
              </w:rPr>
              <w:t>20</w:t>
            </w:r>
            <w:r>
              <w:rPr>
                <w:rFonts w:hint="eastAsia"/>
                <w:kern w:val="0"/>
                <w:sz w:val="18"/>
                <w:szCs w:val="18"/>
              </w:rPr>
              <w:t>）</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252</w:t>
            </w:r>
            <w:r>
              <w:rPr>
                <w:rFonts w:hint="eastAsia"/>
                <w:kern w:val="0"/>
                <w:sz w:val="18"/>
                <w:szCs w:val="18"/>
              </w:rPr>
              <w:t>（</w:t>
            </w:r>
            <w:r w:rsidRPr="000E4940">
              <w:rPr>
                <w:kern w:val="0"/>
                <w:sz w:val="18"/>
                <w:szCs w:val="18"/>
              </w:rPr>
              <w:t>16.8</w:t>
            </w:r>
            <w:r>
              <w:rPr>
                <w:rFonts w:hint="eastAsia"/>
                <w:kern w:val="0"/>
                <w:sz w:val="18"/>
                <w:szCs w:val="18"/>
              </w:rPr>
              <w:t>）</w:t>
            </w:r>
          </w:p>
        </w:tc>
        <w:tc>
          <w:tcPr>
            <w:tcW w:w="164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216</w:t>
            </w:r>
            <w:r>
              <w:rPr>
                <w:rFonts w:hint="eastAsia"/>
                <w:kern w:val="0"/>
                <w:sz w:val="18"/>
                <w:szCs w:val="18"/>
              </w:rPr>
              <w:t>（</w:t>
            </w:r>
            <w:r w:rsidRPr="000E4940">
              <w:rPr>
                <w:kern w:val="0"/>
                <w:sz w:val="18"/>
                <w:szCs w:val="18"/>
              </w:rPr>
              <w:t>14.4</w:t>
            </w:r>
            <w:r>
              <w:rPr>
                <w:rFonts w:hint="eastAsia"/>
                <w:kern w:val="0"/>
                <w:sz w:val="18"/>
                <w:szCs w:val="18"/>
              </w:rPr>
              <w:t>）</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198</w:t>
            </w:r>
            <w:r>
              <w:rPr>
                <w:rFonts w:hint="eastAsia"/>
                <w:kern w:val="0"/>
                <w:sz w:val="18"/>
                <w:szCs w:val="18"/>
              </w:rPr>
              <w:t>（</w:t>
            </w:r>
            <w:r w:rsidRPr="000E4940">
              <w:rPr>
                <w:kern w:val="0"/>
                <w:sz w:val="18"/>
                <w:szCs w:val="18"/>
              </w:rPr>
              <w:t>13.2</w:t>
            </w:r>
            <w:r>
              <w:rPr>
                <w:rFonts w:hint="eastAsia"/>
                <w:kern w:val="0"/>
                <w:sz w:val="18"/>
                <w:szCs w:val="18"/>
              </w:rPr>
              <w:t>）</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proofErr w:type="gramStart"/>
            <w:r w:rsidRPr="000E4940">
              <w:rPr>
                <w:kern w:val="0"/>
                <w:sz w:val="18"/>
                <w:szCs w:val="18"/>
              </w:rPr>
              <w:t>枣林镇</w:t>
            </w:r>
            <w:proofErr w:type="gramEnd"/>
          </w:p>
        </w:tc>
        <w:tc>
          <w:tcPr>
            <w:tcW w:w="868"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309</w:t>
            </w:r>
            <w:r>
              <w:rPr>
                <w:rFonts w:hint="eastAsia"/>
                <w:kern w:val="0"/>
                <w:sz w:val="18"/>
                <w:szCs w:val="18"/>
              </w:rPr>
              <w:t>（</w:t>
            </w:r>
            <w:r w:rsidRPr="000E4940">
              <w:rPr>
                <w:kern w:val="0"/>
                <w:sz w:val="18"/>
                <w:szCs w:val="18"/>
              </w:rPr>
              <w:t>20.6</w:t>
            </w:r>
            <w:r>
              <w:rPr>
                <w:rFonts w:hint="eastAsia"/>
                <w:kern w:val="0"/>
                <w:sz w:val="18"/>
                <w:szCs w:val="18"/>
              </w:rPr>
              <w:t>）</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279</w:t>
            </w:r>
            <w:r>
              <w:rPr>
                <w:rFonts w:hint="eastAsia"/>
                <w:kern w:val="0"/>
                <w:sz w:val="18"/>
                <w:szCs w:val="18"/>
              </w:rPr>
              <w:t>（</w:t>
            </w:r>
            <w:r w:rsidRPr="000E4940">
              <w:rPr>
                <w:kern w:val="0"/>
                <w:sz w:val="18"/>
                <w:szCs w:val="18"/>
              </w:rPr>
              <w:t>18.6</w:t>
            </w:r>
            <w:r>
              <w:rPr>
                <w:rFonts w:hint="eastAsia"/>
                <w:kern w:val="0"/>
                <w:sz w:val="18"/>
                <w:szCs w:val="18"/>
              </w:rPr>
              <w:t>）</w:t>
            </w:r>
          </w:p>
        </w:tc>
        <w:tc>
          <w:tcPr>
            <w:tcW w:w="164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231</w:t>
            </w:r>
            <w:r>
              <w:rPr>
                <w:rFonts w:hint="eastAsia"/>
                <w:kern w:val="0"/>
                <w:sz w:val="18"/>
                <w:szCs w:val="18"/>
              </w:rPr>
              <w:t>（</w:t>
            </w:r>
            <w:r w:rsidRPr="000E4940">
              <w:rPr>
                <w:kern w:val="0"/>
                <w:sz w:val="18"/>
                <w:szCs w:val="18"/>
              </w:rPr>
              <w:t>15.4</w:t>
            </w:r>
            <w:r>
              <w:rPr>
                <w:rFonts w:hint="eastAsia"/>
                <w:kern w:val="0"/>
                <w:sz w:val="18"/>
                <w:szCs w:val="18"/>
              </w:rPr>
              <w:t>）</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192</w:t>
            </w:r>
            <w:r>
              <w:rPr>
                <w:rFonts w:hint="eastAsia"/>
                <w:kern w:val="0"/>
                <w:sz w:val="18"/>
                <w:szCs w:val="18"/>
              </w:rPr>
              <w:t>（</w:t>
            </w:r>
            <w:r w:rsidRPr="000E4940">
              <w:rPr>
                <w:kern w:val="0"/>
                <w:sz w:val="18"/>
                <w:szCs w:val="18"/>
              </w:rPr>
              <w:t>12.8</w:t>
            </w:r>
            <w:r>
              <w:rPr>
                <w:rFonts w:hint="eastAsia"/>
                <w:kern w:val="0"/>
                <w:sz w:val="18"/>
                <w:szCs w:val="18"/>
              </w:rPr>
              <w:t>）</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蒲村镇</w:t>
            </w:r>
          </w:p>
        </w:tc>
        <w:tc>
          <w:tcPr>
            <w:tcW w:w="868"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297</w:t>
            </w:r>
            <w:r>
              <w:rPr>
                <w:rFonts w:hint="eastAsia"/>
                <w:kern w:val="0"/>
                <w:sz w:val="18"/>
                <w:szCs w:val="18"/>
              </w:rPr>
              <w:t>（</w:t>
            </w:r>
            <w:r w:rsidRPr="000E4940">
              <w:rPr>
                <w:kern w:val="0"/>
                <w:sz w:val="18"/>
                <w:szCs w:val="18"/>
              </w:rPr>
              <w:t>19.8</w:t>
            </w:r>
            <w:r>
              <w:rPr>
                <w:rFonts w:hint="eastAsia"/>
                <w:kern w:val="0"/>
                <w:sz w:val="18"/>
                <w:szCs w:val="18"/>
              </w:rPr>
              <w:t>）</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258</w:t>
            </w:r>
            <w:r>
              <w:rPr>
                <w:rFonts w:hint="eastAsia"/>
                <w:kern w:val="0"/>
                <w:sz w:val="18"/>
                <w:szCs w:val="18"/>
              </w:rPr>
              <w:t>（</w:t>
            </w:r>
            <w:r w:rsidRPr="000E4940">
              <w:rPr>
                <w:kern w:val="0"/>
                <w:sz w:val="18"/>
                <w:szCs w:val="18"/>
              </w:rPr>
              <w:t>17.2</w:t>
            </w:r>
            <w:r>
              <w:rPr>
                <w:rFonts w:hint="eastAsia"/>
                <w:kern w:val="0"/>
                <w:sz w:val="18"/>
                <w:szCs w:val="18"/>
              </w:rPr>
              <w:t>）</w:t>
            </w:r>
          </w:p>
        </w:tc>
        <w:tc>
          <w:tcPr>
            <w:tcW w:w="164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228</w:t>
            </w:r>
            <w:r>
              <w:rPr>
                <w:rFonts w:hint="eastAsia"/>
                <w:kern w:val="0"/>
                <w:sz w:val="18"/>
                <w:szCs w:val="18"/>
              </w:rPr>
              <w:t>（</w:t>
            </w:r>
            <w:r w:rsidRPr="000E4940">
              <w:rPr>
                <w:kern w:val="0"/>
                <w:sz w:val="18"/>
                <w:szCs w:val="18"/>
              </w:rPr>
              <w:t>15.2</w:t>
            </w:r>
            <w:r>
              <w:rPr>
                <w:rFonts w:hint="eastAsia"/>
                <w:kern w:val="0"/>
                <w:sz w:val="18"/>
                <w:szCs w:val="18"/>
              </w:rPr>
              <w:t>）</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204</w:t>
            </w:r>
            <w:r>
              <w:rPr>
                <w:rFonts w:hint="eastAsia"/>
                <w:kern w:val="0"/>
                <w:sz w:val="18"/>
                <w:szCs w:val="18"/>
              </w:rPr>
              <w:t>（</w:t>
            </w:r>
            <w:r w:rsidRPr="000E4940">
              <w:rPr>
                <w:kern w:val="0"/>
                <w:sz w:val="18"/>
                <w:szCs w:val="18"/>
              </w:rPr>
              <w:t>13.6</w:t>
            </w:r>
            <w:r>
              <w:rPr>
                <w:rFonts w:hint="eastAsia"/>
                <w:kern w:val="0"/>
                <w:sz w:val="18"/>
                <w:szCs w:val="18"/>
              </w:rPr>
              <w:t>）</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proofErr w:type="gramStart"/>
            <w:r w:rsidRPr="000E4940">
              <w:rPr>
                <w:kern w:val="0"/>
                <w:sz w:val="18"/>
                <w:szCs w:val="18"/>
              </w:rPr>
              <w:t>雍</w:t>
            </w:r>
            <w:proofErr w:type="gramEnd"/>
            <w:r w:rsidRPr="000E4940">
              <w:rPr>
                <w:kern w:val="0"/>
                <w:sz w:val="18"/>
                <w:szCs w:val="18"/>
              </w:rPr>
              <w:t>川镇</w:t>
            </w:r>
          </w:p>
        </w:tc>
        <w:tc>
          <w:tcPr>
            <w:tcW w:w="868"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300</w:t>
            </w:r>
            <w:r>
              <w:rPr>
                <w:rFonts w:hint="eastAsia"/>
                <w:kern w:val="0"/>
                <w:sz w:val="18"/>
                <w:szCs w:val="18"/>
              </w:rPr>
              <w:t>（</w:t>
            </w:r>
            <w:r w:rsidRPr="000E4940">
              <w:rPr>
                <w:kern w:val="0"/>
                <w:sz w:val="18"/>
                <w:szCs w:val="18"/>
              </w:rPr>
              <w:t>20</w:t>
            </w:r>
            <w:r>
              <w:rPr>
                <w:rFonts w:hint="eastAsia"/>
                <w:kern w:val="0"/>
                <w:sz w:val="18"/>
                <w:szCs w:val="18"/>
              </w:rPr>
              <w:t>）</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261</w:t>
            </w:r>
            <w:r>
              <w:rPr>
                <w:rFonts w:hint="eastAsia"/>
                <w:kern w:val="0"/>
                <w:sz w:val="18"/>
                <w:szCs w:val="18"/>
              </w:rPr>
              <w:t>（</w:t>
            </w:r>
            <w:r w:rsidRPr="000E4940">
              <w:rPr>
                <w:kern w:val="0"/>
                <w:sz w:val="18"/>
                <w:szCs w:val="18"/>
              </w:rPr>
              <w:t>17.4</w:t>
            </w:r>
            <w:r>
              <w:rPr>
                <w:rFonts w:hint="eastAsia"/>
                <w:kern w:val="0"/>
                <w:sz w:val="18"/>
                <w:szCs w:val="18"/>
              </w:rPr>
              <w:t>）</w:t>
            </w:r>
          </w:p>
        </w:tc>
        <w:tc>
          <w:tcPr>
            <w:tcW w:w="164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228</w:t>
            </w:r>
            <w:r>
              <w:rPr>
                <w:rFonts w:hint="eastAsia"/>
                <w:kern w:val="0"/>
                <w:sz w:val="18"/>
                <w:szCs w:val="18"/>
              </w:rPr>
              <w:t>（</w:t>
            </w:r>
            <w:r w:rsidRPr="000E4940">
              <w:rPr>
                <w:kern w:val="0"/>
                <w:sz w:val="18"/>
                <w:szCs w:val="18"/>
              </w:rPr>
              <w:t>15.2</w:t>
            </w:r>
            <w:r>
              <w:rPr>
                <w:rFonts w:hint="eastAsia"/>
                <w:kern w:val="0"/>
                <w:sz w:val="18"/>
                <w:szCs w:val="18"/>
              </w:rPr>
              <w:t>）</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195</w:t>
            </w:r>
            <w:r>
              <w:rPr>
                <w:rFonts w:hint="eastAsia"/>
                <w:kern w:val="0"/>
                <w:sz w:val="18"/>
                <w:szCs w:val="18"/>
              </w:rPr>
              <w:t>（</w:t>
            </w:r>
            <w:r w:rsidRPr="000E4940">
              <w:rPr>
                <w:kern w:val="0"/>
                <w:sz w:val="18"/>
                <w:szCs w:val="18"/>
              </w:rPr>
              <w:t>13</w:t>
            </w:r>
            <w:r>
              <w:rPr>
                <w:rFonts w:hint="eastAsia"/>
                <w:kern w:val="0"/>
                <w:sz w:val="18"/>
                <w:szCs w:val="18"/>
              </w:rPr>
              <w:t>）</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故郡镇</w:t>
            </w:r>
          </w:p>
        </w:tc>
        <w:tc>
          <w:tcPr>
            <w:tcW w:w="868"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279</w:t>
            </w:r>
            <w:r>
              <w:rPr>
                <w:rFonts w:hint="eastAsia"/>
                <w:kern w:val="0"/>
                <w:sz w:val="18"/>
                <w:szCs w:val="18"/>
              </w:rPr>
              <w:t>（</w:t>
            </w:r>
            <w:r w:rsidRPr="000E4940">
              <w:rPr>
                <w:kern w:val="0"/>
                <w:sz w:val="18"/>
                <w:szCs w:val="18"/>
              </w:rPr>
              <w:t>18.6</w:t>
            </w:r>
            <w:r>
              <w:rPr>
                <w:rFonts w:hint="eastAsia"/>
                <w:kern w:val="0"/>
                <w:sz w:val="18"/>
                <w:szCs w:val="18"/>
              </w:rPr>
              <w:t>）</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255</w:t>
            </w:r>
            <w:r>
              <w:rPr>
                <w:rFonts w:hint="eastAsia"/>
                <w:kern w:val="0"/>
                <w:sz w:val="18"/>
                <w:szCs w:val="18"/>
              </w:rPr>
              <w:t>（</w:t>
            </w:r>
            <w:r w:rsidRPr="000E4940">
              <w:rPr>
                <w:kern w:val="0"/>
                <w:sz w:val="18"/>
                <w:szCs w:val="18"/>
              </w:rPr>
              <w:t>17</w:t>
            </w:r>
            <w:r>
              <w:rPr>
                <w:rFonts w:hint="eastAsia"/>
                <w:kern w:val="0"/>
                <w:sz w:val="18"/>
                <w:szCs w:val="18"/>
              </w:rPr>
              <w:t>）</w:t>
            </w:r>
          </w:p>
        </w:tc>
        <w:tc>
          <w:tcPr>
            <w:tcW w:w="164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213</w:t>
            </w:r>
            <w:r>
              <w:rPr>
                <w:rFonts w:hint="eastAsia"/>
                <w:kern w:val="0"/>
                <w:sz w:val="18"/>
                <w:szCs w:val="18"/>
              </w:rPr>
              <w:t>（</w:t>
            </w:r>
            <w:r w:rsidRPr="000E4940">
              <w:rPr>
                <w:kern w:val="0"/>
                <w:sz w:val="18"/>
                <w:szCs w:val="18"/>
              </w:rPr>
              <w:t>14.2</w:t>
            </w:r>
            <w:r>
              <w:rPr>
                <w:rFonts w:hint="eastAsia"/>
                <w:kern w:val="0"/>
                <w:sz w:val="18"/>
                <w:szCs w:val="18"/>
              </w:rPr>
              <w:t>）</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186</w:t>
            </w:r>
            <w:r>
              <w:rPr>
                <w:rFonts w:hint="eastAsia"/>
                <w:kern w:val="0"/>
                <w:sz w:val="18"/>
                <w:szCs w:val="18"/>
              </w:rPr>
              <w:t>（</w:t>
            </w:r>
            <w:r w:rsidRPr="000E4940">
              <w:rPr>
                <w:kern w:val="0"/>
                <w:sz w:val="18"/>
                <w:szCs w:val="18"/>
              </w:rPr>
              <w:t>12.4</w:t>
            </w:r>
            <w:r>
              <w:rPr>
                <w:rFonts w:hint="eastAsia"/>
                <w:kern w:val="0"/>
                <w:sz w:val="18"/>
                <w:szCs w:val="18"/>
              </w:rPr>
              <w:t>）</w:t>
            </w:r>
          </w:p>
        </w:tc>
      </w:tr>
      <w:tr w:rsidR="008568A5" w:rsidRPr="000E4940" w:rsidTr="00982941">
        <w:trPr>
          <w:trHeight w:val="447"/>
          <w:jc w:val="center"/>
        </w:trPr>
        <w:tc>
          <w:tcPr>
            <w:tcW w:w="1701" w:type="dxa"/>
            <w:gridSpan w:val="2"/>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京当镇</w:t>
            </w:r>
          </w:p>
          <w:p w:rsidR="008568A5" w:rsidRPr="000E4940" w:rsidRDefault="008568A5" w:rsidP="008568A5">
            <w:pPr>
              <w:widowControl/>
              <w:spacing w:line="240" w:lineRule="auto"/>
              <w:ind w:firstLineChars="0" w:firstLine="0"/>
              <w:jc w:val="center"/>
              <w:rPr>
                <w:kern w:val="0"/>
                <w:sz w:val="18"/>
                <w:szCs w:val="18"/>
              </w:rPr>
            </w:pPr>
            <w:r w:rsidRPr="000E4940">
              <w:rPr>
                <w:rFonts w:hint="eastAsia"/>
                <w:kern w:val="0"/>
                <w:sz w:val="18"/>
                <w:szCs w:val="18"/>
              </w:rPr>
              <w:t>（含祝家庄社区）</w:t>
            </w:r>
          </w:p>
        </w:tc>
        <w:tc>
          <w:tcPr>
            <w:tcW w:w="868"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297</w:t>
            </w:r>
            <w:r>
              <w:rPr>
                <w:rFonts w:hint="eastAsia"/>
                <w:kern w:val="0"/>
                <w:sz w:val="18"/>
                <w:szCs w:val="18"/>
              </w:rPr>
              <w:t>（</w:t>
            </w:r>
            <w:r w:rsidRPr="000E4940">
              <w:rPr>
                <w:kern w:val="0"/>
                <w:sz w:val="18"/>
                <w:szCs w:val="18"/>
              </w:rPr>
              <w:t>19.8</w:t>
            </w:r>
            <w:r>
              <w:rPr>
                <w:rFonts w:hint="eastAsia"/>
                <w:kern w:val="0"/>
                <w:sz w:val="18"/>
                <w:szCs w:val="18"/>
              </w:rPr>
              <w:t>）</w:t>
            </w:r>
          </w:p>
        </w:tc>
        <w:tc>
          <w:tcPr>
            <w:tcW w:w="128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258</w:t>
            </w:r>
            <w:r>
              <w:rPr>
                <w:rFonts w:hint="eastAsia"/>
                <w:kern w:val="0"/>
                <w:sz w:val="18"/>
                <w:szCs w:val="18"/>
              </w:rPr>
              <w:t>（</w:t>
            </w:r>
            <w:r w:rsidRPr="000E4940">
              <w:rPr>
                <w:kern w:val="0"/>
                <w:sz w:val="18"/>
                <w:szCs w:val="18"/>
              </w:rPr>
              <w:t>17.2</w:t>
            </w:r>
            <w:r>
              <w:rPr>
                <w:rFonts w:hint="eastAsia"/>
                <w:kern w:val="0"/>
                <w:sz w:val="18"/>
                <w:szCs w:val="18"/>
              </w:rPr>
              <w:t>）</w:t>
            </w:r>
          </w:p>
        </w:tc>
        <w:tc>
          <w:tcPr>
            <w:tcW w:w="1643"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228</w:t>
            </w:r>
            <w:r>
              <w:rPr>
                <w:rFonts w:hint="eastAsia"/>
                <w:kern w:val="0"/>
                <w:sz w:val="18"/>
                <w:szCs w:val="18"/>
              </w:rPr>
              <w:t>（</w:t>
            </w:r>
            <w:r w:rsidRPr="000E4940">
              <w:rPr>
                <w:kern w:val="0"/>
                <w:sz w:val="18"/>
                <w:szCs w:val="18"/>
              </w:rPr>
              <w:t>15.2</w:t>
            </w:r>
            <w:r>
              <w:rPr>
                <w:rFonts w:hint="eastAsia"/>
                <w:kern w:val="0"/>
                <w:sz w:val="18"/>
                <w:szCs w:val="18"/>
              </w:rPr>
              <w:t>）</w:t>
            </w:r>
          </w:p>
        </w:tc>
        <w:tc>
          <w:tcPr>
            <w:tcW w:w="1259"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198</w:t>
            </w:r>
            <w:r>
              <w:rPr>
                <w:rFonts w:hint="eastAsia"/>
                <w:kern w:val="0"/>
                <w:sz w:val="18"/>
                <w:szCs w:val="18"/>
              </w:rPr>
              <w:t>（</w:t>
            </w:r>
            <w:r w:rsidRPr="000E4940">
              <w:rPr>
                <w:kern w:val="0"/>
                <w:sz w:val="18"/>
                <w:szCs w:val="18"/>
              </w:rPr>
              <w:t>13.2</w:t>
            </w:r>
            <w:r>
              <w:rPr>
                <w:rFonts w:hint="eastAsia"/>
                <w:kern w:val="0"/>
                <w:sz w:val="18"/>
                <w:szCs w:val="18"/>
              </w:rPr>
              <w:t>）</w:t>
            </w:r>
          </w:p>
        </w:tc>
      </w:tr>
      <w:tr w:rsidR="00982941" w:rsidRPr="000E4940" w:rsidTr="00982941">
        <w:trPr>
          <w:trHeight w:val="2306"/>
          <w:jc w:val="center"/>
        </w:trPr>
        <w:tc>
          <w:tcPr>
            <w:tcW w:w="1684" w:type="dxa"/>
            <w:vMerge w:val="restart"/>
            <w:vAlign w:val="center"/>
          </w:tcPr>
          <w:p w:rsidR="00982941" w:rsidRPr="000E4940" w:rsidRDefault="00982941" w:rsidP="00982941">
            <w:pPr>
              <w:widowControl/>
              <w:spacing w:line="240" w:lineRule="auto"/>
              <w:ind w:firstLineChars="0" w:firstLine="0"/>
              <w:jc w:val="center"/>
              <w:rPr>
                <w:kern w:val="0"/>
                <w:sz w:val="18"/>
                <w:szCs w:val="18"/>
              </w:rPr>
            </w:pPr>
            <w:r>
              <w:rPr>
                <w:rFonts w:hint="eastAsia"/>
                <w:kern w:val="0"/>
                <w:sz w:val="18"/>
                <w:szCs w:val="18"/>
              </w:rPr>
              <w:t>使用说明</w:t>
            </w:r>
          </w:p>
        </w:tc>
        <w:tc>
          <w:tcPr>
            <w:tcW w:w="6588" w:type="dxa"/>
            <w:gridSpan w:val="6"/>
            <w:vAlign w:val="center"/>
          </w:tcPr>
          <w:p w:rsidR="00982941" w:rsidRDefault="00982941" w:rsidP="00982941">
            <w:pPr>
              <w:widowControl/>
              <w:spacing w:line="240" w:lineRule="auto"/>
              <w:ind w:firstLineChars="0" w:firstLine="0"/>
              <w:jc w:val="left"/>
              <w:rPr>
                <w:kern w:val="0"/>
                <w:sz w:val="18"/>
                <w:szCs w:val="18"/>
              </w:rPr>
            </w:pPr>
            <w:r>
              <w:rPr>
                <w:rFonts w:hint="eastAsia"/>
                <w:b/>
                <w:kern w:val="0"/>
                <w:sz w:val="18"/>
                <w:szCs w:val="18"/>
              </w:rPr>
              <w:t>1</w:t>
            </w:r>
            <w:r>
              <w:rPr>
                <w:b/>
                <w:kern w:val="0"/>
                <w:sz w:val="18"/>
                <w:szCs w:val="18"/>
              </w:rPr>
              <w:t>.</w:t>
            </w:r>
            <w:r w:rsidRPr="000E4940">
              <w:rPr>
                <w:b/>
                <w:kern w:val="0"/>
                <w:sz w:val="18"/>
                <w:szCs w:val="18"/>
              </w:rPr>
              <w:t>基准地价内涵：</w:t>
            </w:r>
            <w:r w:rsidRPr="000E4940">
              <w:rPr>
                <w:rFonts w:ascii="宋体" w:hAnsi="宋体" w:cs="宋体" w:hint="eastAsia"/>
                <w:kern w:val="0"/>
                <w:sz w:val="18"/>
                <w:szCs w:val="18"/>
              </w:rPr>
              <w:t>①</w:t>
            </w:r>
            <w:r w:rsidRPr="000E4940">
              <w:rPr>
                <w:kern w:val="0"/>
                <w:sz w:val="18"/>
                <w:szCs w:val="18"/>
              </w:rPr>
              <w:t>基准日：</w:t>
            </w:r>
            <w:r w:rsidRPr="000E4940">
              <w:rPr>
                <w:kern w:val="0"/>
                <w:sz w:val="18"/>
                <w:szCs w:val="18"/>
              </w:rPr>
              <w:t>2023</w:t>
            </w:r>
            <w:r w:rsidRPr="000E4940">
              <w:rPr>
                <w:kern w:val="0"/>
                <w:sz w:val="18"/>
                <w:szCs w:val="18"/>
              </w:rPr>
              <w:t>年</w:t>
            </w:r>
            <w:r w:rsidRPr="000E4940">
              <w:rPr>
                <w:kern w:val="0"/>
                <w:sz w:val="18"/>
                <w:szCs w:val="18"/>
              </w:rPr>
              <w:t>12</w:t>
            </w:r>
            <w:r w:rsidRPr="000E4940">
              <w:rPr>
                <w:kern w:val="0"/>
                <w:sz w:val="18"/>
                <w:szCs w:val="18"/>
              </w:rPr>
              <w:t>月</w:t>
            </w:r>
            <w:r w:rsidRPr="000E4940">
              <w:rPr>
                <w:kern w:val="0"/>
                <w:sz w:val="18"/>
                <w:szCs w:val="18"/>
              </w:rPr>
              <w:t>31</w:t>
            </w:r>
            <w:r w:rsidRPr="000E4940">
              <w:rPr>
                <w:kern w:val="0"/>
                <w:sz w:val="18"/>
                <w:szCs w:val="18"/>
              </w:rPr>
              <w:t>日；</w:t>
            </w:r>
          </w:p>
          <w:p w:rsidR="00982941" w:rsidRPr="00982941" w:rsidRDefault="00982941" w:rsidP="00982941">
            <w:pPr>
              <w:spacing w:line="340" w:lineRule="exact"/>
              <w:ind w:firstLineChars="0" w:firstLine="0"/>
              <w:jc w:val="left"/>
              <w:rPr>
                <w:kern w:val="0"/>
                <w:sz w:val="18"/>
                <w:szCs w:val="18"/>
              </w:rPr>
            </w:pPr>
            <w:r w:rsidRPr="000877DB">
              <w:rPr>
                <w:rFonts w:hint="eastAsia"/>
                <w:kern w:val="0"/>
                <w:sz w:val="18"/>
                <w:szCs w:val="18"/>
              </w:rPr>
              <w:t>②</w:t>
            </w:r>
            <w:r w:rsidRPr="000877DB">
              <w:rPr>
                <w:kern w:val="0"/>
                <w:sz w:val="18"/>
                <w:szCs w:val="18"/>
              </w:rPr>
              <w:t>土地用途：商业服务业用地、居住用地、公共管理与公共服务用地、工矿用地；</w:t>
            </w:r>
          </w:p>
          <w:p w:rsidR="00982941" w:rsidRPr="000E4940" w:rsidRDefault="00982941" w:rsidP="00982941">
            <w:pPr>
              <w:widowControl/>
              <w:spacing w:line="240" w:lineRule="auto"/>
              <w:ind w:firstLineChars="0" w:firstLine="0"/>
              <w:jc w:val="left"/>
              <w:rPr>
                <w:kern w:val="0"/>
                <w:sz w:val="18"/>
                <w:szCs w:val="18"/>
              </w:rPr>
            </w:pPr>
            <w:r>
              <w:rPr>
                <w:rFonts w:hint="eastAsia"/>
                <w:kern w:val="0"/>
                <w:sz w:val="18"/>
                <w:szCs w:val="18"/>
              </w:rPr>
              <w:t>③</w:t>
            </w:r>
            <w:r w:rsidRPr="000E4940">
              <w:rPr>
                <w:kern w:val="0"/>
                <w:sz w:val="18"/>
                <w:szCs w:val="18"/>
              </w:rPr>
              <w:t>土地开发程度：</w:t>
            </w:r>
            <w:r w:rsidRPr="000E4940">
              <w:rPr>
                <w:kern w:val="0"/>
                <w:sz w:val="18"/>
                <w:szCs w:val="18"/>
              </w:rPr>
              <w:t>“</w:t>
            </w:r>
            <w:r w:rsidRPr="000E4940">
              <w:rPr>
                <w:kern w:val="0"/>
                <w:sz w:val="18"/>
                <w:szCs w:val="18"/>
              </w:rPr>
              <w:t>四通一平</w:t>
            </w:r>
            <w:r w:rsidRPr="000E4940">
              <w:rPr>
                <w:kern w:val="0"/>
                <w:sz w:val="18"/>
                <w:szCs w:val="18"/>
              </w:rPr>
              <w:t>”</w:t>
            </w:r>
            <w:r w:rsidRPr="000E4940">
              <w:rPr>
                <w:kern w:val="0"/>
                <w:sz w:val="18"/>
                <w:szCs w:val="18"/>
              </w:rPr>
              <w:t>（通路、通电、通讯、供水、场地平整）；</w:t>
            </w:r>
          </w:p>
          <w:p w:rsidR="00043EB7" w:rsidRDefault="00982941" w:rsidP="00982941">
            <w:pPr>
              <w:widowControl/>
              <w:spacing w:line="240" w:lineRule="auto"/>
              <w:ind w:firstLineChars="0" w:firstLine="0"/>
              <w:jc w:val="left"/>
              <w:rPr>
                <w:kern w:val="0"/>
                <w:sz w:val="18"/>
                <w:szCs w:val="18"/>
              </w:rPr>
            </w:pPr>
            <w:r>
              <w:rPr>
                <w:rFonts w:hint="eastAsia"/>
                <w:kern w:val="0"/>
                <w:sz w:val="18"/>
                <w:szCs w:val="18"/>
              </w:rPr>
              <w:t>④容积率：</w:t>
            </w:r>
            <w:r w:rsidRPr="000E4940">
              <w:rPr>
                <w:kern w:val="0"/>
                <w:sz w:val="18"/>
                <w:szCs w:val="18"/>
              </w:rPr>
              <w:t>商业服务业用地</w:t>
            </w:r>
            <w:r w:rsidRPr="000E4940">
              <w:rPr>
                <w:kern w:val="0"/>
                <w:sz w:val="18"/>
                <w:szCs w:val="18"/>
              </w:rPr>
              <w:t>1.6</w:t>
            </w:r>
            <w:r w:rsidRPr="000E4940">
              <w:rPr>
                <w:kern w:val="0"/>
                <w:sz w:val="18"/>
                <w:szCs w:val="18"/>
              </w:rPr>
              <w:t>，居住用地</w:t>
            </w:r>
            <w:r w:rsidRPr="000E4940">
              <w:rPr>
                <w:kern w:val="0"/>
                <w:sz w:val="18"/>
                <w:szCs w:val="18"/>
              </w:rPr>
              <w:t>1.6</w:t>
            </w:r>
            <w:r w:rsidRPr="000E4940">
              <w:rPr>
                <w:kern w:val="0"/>
                <w:sz w:val="18"/>
                <w:szCs w:val="18"/>
              </w:rPr>
              <w:t>，工矿用地</w:t>
            </w:r>
            <w:r w:rsidRPr="000E4940">
              <w:rPr>
                <w:kern w:val="0"/>
                <w:sz w:val="18"/>
                <w:szCs w:val="18"/>
              </w:rPr>
              <w:t>1.0</w:t>
            </w:r>
            <w:r w:rsidRPr="000E4940">
              <w:rPr>
                <w:kern w:val="0"/>
                <w:sz w:val="18"/>
                <w:szCs w:val="18"/>
              </w:rPr>
              <w:t>，公共管理与公共服务用地</w:t>
            </w:r>
            <w:r w:rsidRPr="000E4940">
              <w:rPr>
                <w:kern w:val="0"/>
                <w:sz w:val="18"/>
                <w:szCs w:val="18"/>
              </w:rPr>
              <w:t>1.2</w:t>
            </w:r>
            <w:r w:rsidRPr="000E4940">
              <w:rPr>
                <w:kern w:val="0"/>
                <w:sz w:val="18"/>
                <w:szCs w:val="18"/>
              </w:rPr>
              <w:t>；</w:t>
            </w:r>
          </w:p>
          <w:p w:rsidR="00982941" w:rsidRPr="000E4940" w:rsidRDefault="00982941" w:rsidP="00982941">
            <w:pPr>
              <w:widowControl/>
              <w:spacing w:line="240" w:lineRule="auto"/>
              <w:ind w:firstLineChars="0" w:firstLine="0"/>
              <w:jc w:val="left"/>
              <w:rPr>
                <w:kern w:val="0"/>
                <w:sz w:val="18"/>
                <w:szCs w:val="18"/>
              </w:rPr>
            </w:pPr>
            <w:r>
              <w:rPr>
                <w:rFonts w:hint="eastAsia"/>
                <w:kern w:val="0"/>
                <w:sz w:val="18"/>
                <w:szCs w:val="18"/>
              </w:rPr>
              <w:t>⑤</w:t>
            </w:r>
            <w:r w:rsidRPr="000E4940">
              <w:rPr>
                <w:kern w:val="0"/>
                <w:sz w:val="18"/>
                <w:szCs w:val="18"/>
              </w:rPr>
              <w:t>土地使用年期：商业服务业用地</w:t>
            </w:r>
            <w:r w:rsidRPr="000E4940">
              <w:rPr>
                <w:kern w:val="0"/>
                <w:sz w:val="18"/>
                <w:szCs w:val="18"/>
              </w:rPr>
              <w:t>40</w:t>
            </w:r>
            <w:r w:rsidRPr="000E4940">
              <w:rPr>
                <w:kern w:val="0"/>
                <w:sz w:val="18"/>
                <w:szCs w:val="18"/>
              </w:rPr>
              <w:t>年，居住用地</w:t>
            </w:r>
            <w:r w:rsidRPr="000E4940">
              <w:rPr>
                <w:kern w:val="0"/>
                <w:sz w:val="18"/>
                <w:szCs w:val="18"/>
              </w:rPr>
              <w:t>70</w:t>
            </w:r>
            <w:r w:rsidRPr="000E4940">
              <w:rPr>
                <w:kern w:val="0"/>
                <w:sz w:val="18"/>
                <w:szCs w:val="18"/>
              </w:rPr>
              <w:t>年，工矿用地</w:t>
            </w:r>
            <w:r w:rsidRPr="000E4940">
              <w:rPr>
                <w:kern w:val="0"/>
                <w:sz w:val="18"/>
                <w:szCs w:val="18"/>
              </w:rPr>
              <w:t>50</w:t>
            </w:r>
            <w:r w:rsidRPr="000E4940">
              <w:rPr>
                <w:kern w:val="0"/>
                <w:sz w:val="18"/>
                <w:szCs w:val="18"/>
              </w:rPr>
              <w:t>年，公共管理与公共服务用地</w:t>
            </w:r>
            <w:r w:rsidRPr="000E4940">
              <w:rPr>
                <w:kern w:val="0"/>
                <w:sz w:val="18"/>
                <w:szCs w:val="18"/>
              </w:rPr>
              <w:t>50</w:t>
            </w:r>
            <w:r w:rsidRPr="000E4940">
              <w:rPr>
                <w:kern w:val="0"/>
                <w:sz w:val="18"/>
                <w:szCs w:val="18"/>
              </w:rPr>
              <w:t>年；</w:t>
            </w:r>
          </w:p>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⑥</w:t>
            </w:r>
            <w:r w:rsidRPr="000E4940">
              <w:rPr>
                <w:kern w:val="0"/>
                <w:sz w:val="18"/>
                <w:szCs w:val="18"/>
              </w:rPr>
              <w:t>权利状况：岐山县城镇范围内完整权利下的国有建设用地使用权出让价格</w:t>
            </w:r>
            <w:r w:rsidRPr="000E4940">
              <w:rPr>
                <w:rFonts w:hint="eastAsia"/>
                <w:kern w:val="0"/>
                <w:sz w:val="18"/>
                <w:szCs w:val="18"/>
              </w:rPr>
              <w:t>；</w:t>
            </w:r>
          </w:p>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⑦</w:t>
            </w:r>
            <w:r w:rsidRPr="000E4940">
              <w:rPr>
                <w:rFonts w:hint="eastAsia"/>
                <w:kern w:val="0"/>
                <w:sz w:val="18"/>
                <w:szCs w:val="18"/>
              </w:rPr>
              <w:t>价格类型：地面价。</w:t>
            </w:r>
          </w:p>
        </w:tc>
      </w:tr>
      <w:tr w:rsidR="00982941" w:rsidRPr="000E4940" w:rsidTr="00982941">
        <w:trPr>
          <w:trHeight w:val="2798"/>
          <w:jc w:val="center"/>
        </w:trPr>
        <w:tc>
          <w:tcPr>
            <w:tcW w:w="1684" w:type="dxa"/>
            <w:vMerge/>
            <w:vAlign w:val="center"/>
          </w:tcPr>
          <w:p w:rsidR="00982941" w:rsidRPr="000E4940" w:rsidRDefault="00982941" w:rsidP="000E4940">
            <w:pPr>
              <w:widowControl/>
              <w:spacing w:line="240" w:lineRule="auto"/>
              <w:ind w:firstLineChars="0" w:firstLine="0"/>
              <w:jc w:val="left"/>
              <w:rPr>
                <w:kern w:val="0"/>
                <w:sz w:val="18"/>
                <w:szCs w:val="18"/>
              </w:rPr>
            </w:pPr>
          </w:p>
        </w:tc>
        <w:tc>
          <w:tcPr>
            <w:tcW w:w="6588" w:type="dxa"/>
            <w:gridSpan w:val="6"/>
            <w:vAlign w:val="center"/>
          </w:tcPr>
          <w:p w:rsidR="00982941" w:rsidRDefault="00982941" w:rsidP="00982941">
            <w:pPr>
              <w:spacing w:line="340" w:lineRule="exact"/>
              <w:ind w:firstLineChars="0" w:firstLine="0"/>
              <w:jc w:val="left"/>
              <w:rPr>
                <w:rFonts w:ascii="宋体" w:hAnsi="宋体" w:cs="宋体"/>
                <w:kern w:val="0"/>
                <w:sz w:val="18"/>
                <w:szCs w:val="18"/>
              </w:rPr>
            </w:pPr>
            <w:r w:rsidRPr="00A51521">
              <w:rPr>
                <w:rFonts w:hint="eastAsia"/>
                <w:b/>
                <w:kern w:val="0"/>
                <w:sz w:val="18"/>
                <w:szCs w:val="18"/>
              </w:rPr>
              <w:t>2.</w:t>
            </w:r>
            <w:r w:rsidRPr="00A51521">
              <w:rPr>
                <w:rFonts w:hint="eastAsia"/>
                <w:b/>
                <w:kern w:val="0"/>
                <w:sz w:val="18"/>
                <w:szCs w:val="18"/>
              </w:rPr>
              <w:t>土地用途分类：</w:t>
            </w:r>
            <w:r w:rsidRPr="001A7AD2">
              <w:rPr>
                <w:rFonts w:ascii="宋体" w:hAnsi="宋体" w:cs="宋体" w:hint="eastAsia"/>
                <w:kern w:val="0"/>
                <w:sz w:val="18"/>
                <w:szCs w:val="18"/>
              </w:rPr>
              <w:t>①商业服务业用地、居住用地、公共管理与公共服务用地及工矿用地参照三级类用途的修正系数计算相应基准地价；</w:t>
            </w:r>
          </w:p>
          <w:p w:rsidR="00982941" w:rsidRDefault="00982941" w:rsidP="0098294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②仓储用地、交通运输用地中的铁路用地、公路用地、机场用地、港口码头用地、管道运输用地、城市轨道交通用地、城镇村道路用地及其他交通设施用地基准地价参照工矿用地进行修正后确定；</w:t>
            </w:r>
          </w:p>
          <w:p w:rsidR="00982941" w:rsidRDefault="00982941" w:rsidP="0098294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③交通运输用地中的交通场站用地、公用设施用地、</w:t>
            </w:r>
            <w:r w:rsidRPr="001A7AD2">
              <w:rPr>
                <w:rFonts w:ascii="宋体" w:hAnsi="宋体" w:cs="宋体"/>
                <w:kern w:val="0"/>
                <w:sz w:val="18"/>
                <w:szCs w:val="18"/>
              </w:rPr>
              <w:t>绿地与开敞空间用地</w:t>
            </w:r>
            <w:r w:rsidRPr="001A7AD2">
              <w:rPr>
                <w:rFonts w:ascii="宋体" w:hAnsi="宋体" w:cs="宋体" w:hint="eastAsia"/>
                <w:kern w:val="0"/>
                <w:sz w:val="18"/>
                <w:szCs w:val="18"/>
              </w:rPr>
              <w:t>、特殊用地（除营利性殡葬用地外）基准地价参照公共管理与公共服务用地进行修正后确定；</w:t>
            </w:r>
          </w:p>
          <w:p w:rsidR="00982941" w:rsidRPr="000E4940" w:rsidRDefault="00982941" w:rsidP="00982941">
            <w:pPr>
              <w:widowControl/>
              <w:spacing w:line="240" w:lineRule="auto"/>
              <w:ind w:firstLineChars="0" w:firstLine="0"/>
              <w:jc w:val="left"/>
              <w:rPr>
                <w:b/>
                <w:kern w:val="0"/>
                <w:sz w:val="18"/>
                <w:szCs w:val="18"/>
              </w:rPr>
            </w:pPr>
            <w:r w:rsidRPr="001A7AD2">
              <w:rPr>
                <w:rFonts w:ascii="宋体" w:hAnsi="宋体" w:cs="宋体" w:hint="eastAsia"/>
                <w:kern w:val="0"/>
                <w:sz w:val="18"/>
                <w:szCs w:val="18"/>
              </w:rPr>
              <w:t>④营利性殡葬用地参照商业服务业用地进行修正后确定。</w:t>
            </w:r>
          </w:p>
        </w:tc>
      </w:tr>
    </w:tbl>
    <w:p w:rsidR="000E4940" w:rsidRDefault="000E4940" w:rsidP="000E4940">
      <w:pPr>
        <w:adjustRightInd w:val="0"/>
        <w:ind w:firstLineChars="0" w:firstLine="0"/>
        <w:jc w:val="center"/>
        <w:outlineLvl w:val="3"/>
        <w:sectPr w:rsidR="000E4940" w:rsidSect="000E4940">
          <w:pgSz w:w="11906" w:h="16838"/>
          <w:pgMar w:top="1440" w:right="1800" w:bottom="1440" w:left="1800" w:header="851" w:footer="992" w:gutter="0"/>
          <w:cols w:space="425"/>
          <w:docGrid w:type="lines" w:linePitch="312"/>
        </w:sectPr>
      </w:pPr>
    </w:p>
    <w:p w:rsidR="000E4940" w:rsidRPr="000E4940" w:rsidRDefault="000E4940" w:rsidP="000E4940">
      <w:pPr>
        <w:adjustRightInd w:val="0"/>
        <w:spacing w:line="240" w:lineRule="auto"/>
        <w:ind w:firstLineChars="0" w:firstLine="0"/>
        <w:jc w:val="center"/>
        <w:rPr>
          <w:rFonts w:eastAsia="黑体"/>
          <w:sz w:val="21"/>
          <w:szCs w:val="21"/>
        </w:rPr>
      </w:pPr>
      <w:r w:rsidRPr="000E4940">
        <w:rPr>
          <w:rFonts w:eastAsia="黑体"/>
          <w:sz w:val="21"/>
          <w:szCs w:val="21"/>
        </w:rPr>
        <w:lastRenderedPageBreak/>
        <w:t>表</w:t>
      </w:r>
      <w:r w:rsidRPr="000E4940">
        <w:rPr>
          <w:rFonts w:eastAsia="黑体"/>
          <w:sz w:val="21"/>
          <w:szCs w:val="21"/>
        </w:rPr>
        <w:t xml:space="preserve">4 </w:t>
      </w:r>
      <w:r>
        <w:rPr>
          <w:rFonts w:eastAsia="黑体"/>
          <w:sz w:val="21"/>
          <w:szCs w:val="21"/>
        </w:rPr>
        <w:t xml:space="preserve"> </w:t>
      </w:r>
      <w:r w:rsidRPr="000E4940">
        <w:rPr>
          <w:rFonts w:eastAsia="黑体"/>
          <w:sz w:val="21"/>
          <w:szCs w:val="21"/>
        </w:rPr>
        <w:t>岐山县凤</w:t>
      </w:r>
      <w:proofErr w:type="gramStart"/>
      <w:r w:rsidRPr="000E4940">
        <w:rPr>
          <w:rFonts w:eastAsia="黑体"/>
          <w:sz w:val="21"/>
          <w:szCs w:val="21"/>
        </w:rPr>
        <w:t>鸣工业</w:t>
      </w:r>
      <w:proofErr w:type="gramEnd"/>
      <w:r w:rsidRPr="000E4940">
        <w:rPr>
          <w:rFonts w:eastAsia="黑体"/>
          <w:sz w:val="21"/>
          <w:szCs w:val="21"/>
        </w:rPr>
        <w:t>园基准地价表</w:t>
      </w:r>
    </w:p>
    <w:p w:rsidR="000E4940" w:rsidRPr="000E4940" w:rsidRDefault="000E4940" w:rsidP="000E4940">
      <w:pPr>
        <w:adjustRightInd w:val="0"/>
        <w:spacing w:line="240" w:lineRule="auto"/>
        <w:ind w:right="420" w:firstLineChars="0" w:firstLine="0"/>
        <w:jc w:val="right"/>
        <w:rPr>
          <w:sz w:val="18"/>
          <w:szCs w:val="18"/>
        </w:rPr>
      </w:pPr>
      <w:r w:rsidRPr="000E4940">
        <w:rPr>
          <w:sz w:val="18"/>
          <w:szCs w:val="18"/>
        </w:rPr>
        <w:t>单位：元</w:t>
      </w:r>
      <w:r w:rsidRPr="000E4940">
        <w:rPr>
          <w:sz w:val="18"/>
          <w:szCs w:val="18"/>
        </w:rPr>
        <w:t>/m²</w:t>
      </w:r>
      <w:r w:rsidRPr="000E4940">
        <w:rPr>
          <w:sz w:val="18"/>
          <w:szCs w:val="18"/>
        </w:rPr>
        <w:t>（万元</w:t>
      </w:r>
      <w:r w:rsidRPr="000E4940">
        <w:rPr>
          <w:sz w:val="18"/>
          <w:szCs w:val="18"/>
        </w:rPr>
        <w:t>/</w:t>
      </w:r>
      <w:r w:rsidRPr="000E4940">
        <w:rPr>
          <w:sz w:val="18"/>
          <w:szCs w:val="18"/>
        </w:rPr>
        <w:t>亩）</w:t>
      </w:r>
    </w:p>
    <w:tbl>
      <w:tblPr>
        <w:tblW w:w="80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5"/>
        <w:gridCol w:w="750"/>
        <w:gridCol w:w="1518"/>
        <w:gridCol w:w="1694"/>
        <w:gridCol w:w="1312"/>
        <w:gridCol w:w="1326"/>
      </w:tblGrid>
      <w:tr w:rsidR="008568A5" w:rsidRPr="000E4940" w:rsidTr="00043EB7">
        <w:trPr>
          <w:trHeight w:val="605"/>
          <w:jc w:val="center"/>
        </w:trPr>
        <w:tc>
          <w:tcPr>
            <w:tcW w:w="1415"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镇名</w:t>
            </w:r>
          </w:p>
        </w:tc>
        <w:tc>
          <w:tcPr>
            <w:tcW w:w="750" w:type="dxa"/>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级别</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商业服务业用地</w:t>
            </w:r>
          </w:p>
        </w:tc>
        <w:tc>
          <w:tcPr>
            <w:tcW w:w="1694"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居住用地</w:t>
            </w:r>
          </w:p>
        </w:tc>
        <w:tc>
          <w:tcPr>
            <w:tcW w:w="1312" w:type="dxa"/>
            <w:shd w:val="clear" w:color="auto" w:fill="auto"/>
            <w:vAlign w:val="center"/>
          </w:tcPr>
          <w:p w:rsidR="008568A5" w:rsidRPr="000E4940" w:rsidRDefault="008568A5" w:rsidP="008568A5">
            <w:pPr>
              <w:widowControl/>
              <w:spacing w:line="240" w:lineRule="exact"/>
              <w:ind w:firstLineChars="0" w:firstLine="0"/>
              <w:jc w:val="center"/>
              <w:rPr>
                <w:b/>
                <w:kern w:val="0"/>
                <w:sz w:val="18"/>
                <w:szCs w:val="18"/>
              </w:rPr>
            </w:pPr>
            <w:r w:rsidRPr="000E4940">
              <w:rPr>
                <w:b/>
                <w:kern w:val="0"/>
                <w:sz w:val="18"/>
                <w:szCs w:val="18"/>
              </w:rPr>
              <w:t>公共管理与公共服务用地</w:t>
            </w:r>
          </w:p>
        </w:tc>
        <w:tc>
          <w:tcPr>
            <w:tcW w:w="1326" w:type="dxa"/>
            <w:shd w:val="clear" w:color="auto" w:fill="auto"/>
            <w:vAlign w:val="center"/>
          </w:tcPr>
          <w:p w:rsidR="008568A5" w:rsidRPr="000E4940" w:rsidRDefault="008568A5" w:rsidP="008568A5">
            <w:pPr>
              <w:widowControl/>
              <w:spacing w:line="240" w:lineRule="auto"/>
              <w:ind w:firstLineChars="0" w:firstLine="0"/>
              <w:jc w:val="center"/>
              <w:rPr>
                <w:b/>
                <w:kern w:val="0"/>
                <w:sz w:val="18"/>
                <w:szCs w:val="18"/>
              </w:rPr>
            </w:pPr>
            <w:r w:rsidRPr="000E4940">
              <w:rPr>
                <w:b/>
                <w:kern w:val="0"/>
                <w:sz w:val="18"/>
                <w:szCs w:val="18"/>
              </w:rPr>
              <w:t>工矿用地</w:t>
            </w:r>
          </w:p>
        </w:tc>
      </w:tr>
      <w:tr w:rsidR="008568A5" w:rsidRPr="000E4940" w:rsidTr="00043EB7">
        <w:trPr>
          <w:trHeight w:val="605"/>
          <w:jc w:val="center"/>
        </w:trPr>
        <w:tc>
          <w:tcPr>
            <w:tcW w:w="1415"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proofErr w:type="gramStart"/>
            <w:r w:rsidRPr="000E4940">
              <w:rPr>
                <w:kern w:val="0"/>
                <w:sz w:val="18"/>
                <w:szCs w:val="18"/>
              </w:rPr>
              <w:t>科创产业</w:t>
            </w:r>
            <w:proofErr w:type="gramEnd"/>
            <w:r w:rsidRPr="000E4940">
              <w:rPr>
                <w:kern w:val="0"/>
                <w:sz w:val="18"/>
                <w:szCs w:val="18"/>
              </w:rPr>
              <w:t>园</w:t>
            </w:r>
          </w:p>
        </w:tc>
        <w:tc>
          <w:tcPr>
            <w:tcW w:w="750" w:type="dxa"/>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I</w:t>
            </w:r>
            <w:r w:rsidRPr="000E4940">
              <w:rPr>
                <w:kern w:val="0"/>
                <w:sz w:val="18"/>
                <w:szCs w:val="18"/>
              </w:rPr>
              <w:t>级</w:t>
            </w:r>
          </w:p>
        </w:tc>
        <w:tc>
          <w:tcPr>
            <w:tcW w:w="1518"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366</w:t>
            </w:r>
            <w:r>
              <w:rPr>
                <w:rFonts w:hint="eastAsia"/>
                <w:kern w:val="0"/>
                <w:sz w:val="18"/>
                <w:szCs w:val="18"/>
              </w:rPr>
              <w:t>（</w:t>
            </w:r>
            <w:r w:rsidRPr="000E4940">
              <w:rPr>
                <w:kern w:val="0"/>
                <w:sz w:val="18"/>
                <w:szCs w:val="18"/>
              </w:rPr>
              <w:t>24.4</w:t>
            </w:r>
            <w:r>
              <w:rPr>
                <w:rFonts w:hint="eastAsia"/>
                <w:kern w:val="0"/>
                <w:sz w:val="18"/>
                <w:szCs w:val="18"/>
              </w:rPr>
              <w:t>）</w:t>
            </w:r>
          </w:p>
        </w:tc>
        <w:tc>
          <w:tcPr>
            <w:tcW w:w="1694"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bookmarkStart w:id="2" w:name="_GoBack"/>
            <w:bookmarkEnd w:id="2"/>
            <w:r w:rsidRPr="000E4940">
              <w:rPr>
                <w:kern w:val="0"/>
                <w:sz w:val="18"/>
                <w:szCs w:val="18"/>
              </w:rPr>
              <w:t>-</w:t>
            </w:r>
          </w:p>
        </w:tc>
        <w:tc>
          <w:tcPr>
            <w:tcW w:w="1312"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300</w:t>
            </w:r>
            <w:r>
              <w:rPr>
                <w:rFonts w:hint="eastAsia"/>
                <w:kern w:val="0"/>
                <w:sz w:val="18"/>
                <w:szCs w:val="18"/>
              </w:rPr>
              <w:t>（</w:t>
            </w:r>
            <w:r w:rsidRPr="000E4940">
              <w:rPr>
                <w:kern w:val="0"/>
                <w:sz w:val="18"/>
                <w:szCs w:val="18"/>
              </w:rPr>
              <w:t>20</w:t>
            </w:r>
            <w:r>
              <w:rPr>
                <w:rFonts w:hint="eastAsia"/>
                <w:kern w:val="0"/>
                <w:sz w:val="18"/>
                <w:szCs w:val="18"/>
              </w:rPr>
              <w:t>）</w:t>
            </w:r>
          </w:p>
        </w:tc>
        <w:tc>
          <w:tcPr>
            <w:tcW w:w="1326" w:type="dxa"/>
            <w:shd w:val="clear" w:color="auto" w:fill="auto"/>
            <w:vAlign w:val="center"/>
          </w:tcPr>
          <w:p w:rsidR="008568A5" w:rsidRPr="000E4940" w:rsidRDefault="008568A5" w:rsidP="008568A5">
            <w:pPr>
              <w:spacing w:line="240" w:lineRule="auto"/>
              <w:ind w:firstLineChars="0" w:firstLine="0"/>
              <w:jc w:val="center"/>
              <w:rPr>
                <w:kern w:val="0"/>
                <w:sz w:val="18"/>
                <w:szCs w:val="18"/>
              </w:rPr>
            </w:pPr>
            <w:r w:rsidRPr="000E4940">
              <w:rPr>
                <w:kern w:val="0"/>
                <w:sz w:val="18"/>
                <w:szCs w:val="18"/>
              </w:rPr>
              <w:t>261</w:t>
            </w:r>
            <w:r>
              <w:rPr>
                <w:rFonts w:hint="eastAsia"/>
                <w:kern w:val="0"/>
                <w:sz w:val="18"/>
                <w:szCs w:val="18"/>
              </w:rPr>
              <w:t>（</w:t>
            </w:r>
            <w:r w:rsidRPr="000E4940">
              <w:rPr>
                <w:kern w:val="0"/>
                <w:sz w:val="18"/>
                <w:szCs w:val="18"/>
              </w:rPr>
              <w:t>17.4</w:t>
            </w:r>
            <w:r>
              <w:rPr>
                <w:rFonts w:hint="eastAsia"/>
                <w:kern w:val="0"/>
                <w:sz w:val="18"/>
                <w:szCs w:val="18"/>
              </w:rPr>
              <w:t>）</w:t>
            </w:r>
          </w:p>
        </w:tc>
      </w:tr>
      <w:tr w:rsidR="008568A5" w:rsidRPr="000E4940" w:rsidTr="00043EB7">
        <w:trPr>
          <w:trHeight w:val="605"/>
          <w:jc w:val="center"/>
        </w:trPr>
        <w:tc>
          <w:tcPr>
            <w:tcW w:w="1415"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食品产业园</w:t>
            </w:r>
          </w:p>
        </w:tc>
        <w:tc>
          <w:tcPr>
            <w:tcW w:w="750"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366</w:t>
            </w:r>
            <w:r>
              <w:rPr>
                <w:rFonts w:hint="eastAsia"/>
                <w:kern w:val="0"/>
                <w:sz w:val="18"/>
                <w:szCs w:val="18"/>
              </w:rPr>
              <w:t>（</w:t>
            </w:r>
            <w:r w:rsidRPr="000E4940">
              <w:rPr>
                <w:kern w:val="0"/>
                <w:sz w:val="18"/>
                <w:szCs w:val="18"/>
              </w:rPr>
              <w:t>24.4</w:t>
            </w:r>
            <w:r>
              <w:rPr>
                <w:rFonts w:hint="eastAsia"/>
                <w:kern w:val="0"/>
                <w:sz w:val="18"/>
                <w:szCs w:val="18"/>
              </w:rPr>
              <w:t>）</w:t>
            </w:r>
          </w:p>
        </w:tc>
        <w:tc>
          <w:tcPr>
            <w:tcW w:w="1694"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w:t>
            </w:r>
          </w:p>
        </w:tc>
        <w:tc>
          <w:tcPr>
            <w:tcW w:w="1312"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300</w:t>
            </w:r>
            <w:r>
              <w:rPr>
                <w:rFonts w:hint="eastAsia"/>
                <w:kern w:val="0"/>
                <w:sz w:val="18"/>
                <w:szCs w:val="18"/>
              </w:rPr>
              <w:t>（</w:t>
            </w:r>
            <w:r w:rsidRPr="000E4940">
              <w:rPr>
                <w:kern w:val="0"/>
                <w:sz w:val="18"/>
                <w:szCs w:val="18"/>
              </w:rPr>
              <w:t>20</w:t>
            </w:r>
            <w:r>
              <w:rPr>
                <w:rFonts w:hint="eastAsia"/>
                <w:kern w:val="0"/>
                <w:sz w:val="18"/>
                <w:szCs w:val="18"/>
              </w:rPr>
              <w:t>）</w:t>
            </w:r>
          </w:p>
        </w:tc>
        <w:tc>
          <w:tcPr>
            <w:tcW w:w="1326"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261</w:t>
            </w:r>
            <w:r>
              <w:rPr>
                <w:rFonts w:hint="eastAsia"/>
                <w:kern w:val="0"/>
                <w:sz w:val="18"/>
                <w:szCs w:val="18"/>
              </w:rPr>
              <w:t>（</w:t>
            </w:r>
            <w:r w:rsidRPr="000E4940">
              <w:rPr>
                <w:kern w:val="0"/>
                <w:sz w:val="18"/>
                <w:szCs w:val="18"/>
              </w:rPr>
              <w:t>17.4</w:t>
            </w:r>
            <w:r>
              <w:rPr>
                <w:rFonts w:hint="eastAsia"/>
                <w:kern w:val="0"/>
                <w:sz w:val="18"/>
                <w:szCs w:val="18"/>
              </w:rPr>
              <w:t>）</w:t>
            </w:r>
          </w:p>
        </w:tc>
      </w:tr>
      <w:tr w:rsidR="008568A5" w:rsidRPr="000E4940" w:rsidTr="00043EB7">
        <w:trPr>
          <w:trHeight w:val="605"/>
          <w:jc w:val="center"/>
        </w:trPr>
        <w:tc>
          <w:tcPr>
            <w:tcW w:w="1415"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新材料产业园</w:t>
            </w:r>
          </w:p>
        </w:tc>
        <w:tc>
          <w:tcPr>
            <w:tcW w:w="750" w:type="dxa"/>
            <w:vAlign w:val="center"/>
          </w:tcPr>
          <w:p w:rsidR="008568A5" w:rsidRPr="008568A5" w:rsidRDefault="008568A5" w:rsidP="008568A5">
            <w:pPr>
              <w:spacing w:line="240" w:lineRule="auto"/>
              <w:ind w:firstLineChars="0" w:firstLine="0"/>
              <w:jc w:val="center"/>
              <w:rPr>
                <w:kern w:val="0"/>
                <w:sz w:val="18"/>
                <w:szCs w:val="18"/>
              </w:rPr>
            </w:pPr>
            <w:r w:rsidRPr="003D22F3">
              <w:rPr>
                <w:kern w:val="0"/>
                <w:sz w:val="18"/>
                <w:szCs w:val="18"/>
              </w:rPr>
              <w:t>I</w:t>
            </w:r>
            <w:r w:rsidRPr="003D22F3">
              <w:rPr>
                <w:kern w:val="0"/>
                <w:sz w:val="18"/>
                <w:szCs w:val="18"/>
              </w:rPr>
              <w:t>级</w:t>
            </w:r>
          </w:p>
        </w:tc>
        <w:tc>
          <w:tcPr>
            <w:tcW w:w="1518"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297</w:t>
            </w:r>
            <w:r>
              <w:rPr>
                <w:rFonts w:hint="eastAsia"/>
                <w:kern w:val="0"/>
                <w:sz w:val="18"/>
                <w:szCs w:val="18"/>
              </w:rPr>
              <w:t>（</w:t>
            </w:r>
            <w:r w:rsidRPr="000E4940">
              <w:rPr>
                <w:kern w:val="0"/>
                <w:sz w:val="18"/>
                <w:szCs w:val="18"/>
              </w:rPr>
              <w:t>19.8</w:t>
            </w:r>
            <w:r>
              <w:rPr>
                <w:rFonts w:hint="eastAsia"/>
                <w:kern w:val="0"/>
                <w:sz w:val="18"/>
                <w:szCs w:val="18"/>
              </w:rPr>
              <w:t>）</w:t>
            </w:r>
          </w:p>
        </w:tc>
        <w:tc>
          <w:tcPr>
            <w:tcW w:w="1694"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258</w:t>
            </w:r>
            <w:r>
              <w:rPr>
                <w:rFonts w:hint="eastAsia"/>
                <w:kern w:val="0"/>
                <w:sz w:val="18"/>
                <w:szCs w:val="18"/>
              </w:rPr>
              <w:t>（</w:t>
            </w:r>
            <w:r w:rsidRPr="000E4940">
              <w:rPr>
                <w:kern w:val="0"/>
                <w:sz w:val="18"/>
                <w:szCs w:val="18"/>
              </w:rPr>
              <w:t>17.2</w:t>
            </w:r>
            <w:r>
              <w:rPr>
                <w:rFonts w:hint="eastAsia"/>
                <w:kern w:val="0"/>
                <w:sz w:val="18"/>
                <w:szCs w:val="18"/>
              </w:rPr>
              <w:t>）</w:t>
            </w:r>
          </w:p>
        </w:tc>
        <w:tc>
          <w:tcPr>
            <w:tcW w:w="1312"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234</w:t>
            </w:r>
            <w:r>
              <w:rPr>
                <w:rFonts w:hint="eastAsia"/>
                <w:kern w:val="0"/>
                <w:sz w:val="18"/>
                <w:szCs w:val="18"/>
              </w:rPr>
              <w:t>（</w:t>
            </w:r>
            <w:r w:rsidRPr="000E4940">
              <w:rPr>
                <w:kern w:val="0"/>
                <w:sz w:val="18"/>
                <w:szCs w:val="18"/>
              </w:rPr>
              <w:t>15.6</w:t>
            </w:r>
            <w:r>
              <w:rPr>
                <w:rFonts w:hint="eastAsia"/>
                <w:kern w:val="0"/>
                <w:sz w:val="18"/>
                <w:szCs w:val="18"/>
              </w:rPr>
              <w:t>）</w:t>
            </w:r>
          </w:p>
        </w:tc>
        <w:tc>
          <w:tcPr>
            <w:tcW w:w="1326" w:type="dxa"/>
            <w:shd w:val="clear" w:color="auto" w:fill="auto"/>
            <w:vAlign w:val="center"/>
          </w:tcPr>
          <w:p w:rsidR="008568A5" w:rsidRPr="000E4940" w:rsidRDefault="008568A5" w:rsidP="008568A5">
            <w:pPr>
              <w:widowControl/>
              <w:spacing w:line="240" w:lineRule="auto"/>
              <w:ind w:firstLineChars="0" w:firstLine="0"/>
              <w:jc w:val="center"/>
              <w:rPr>
                <w:kern w:val="0"/>
                <w:sz w:val="18"/>
                <w:szCs w:val="18"/>
              </w:rPr>
            </w:pPr>
            <w:r w:rsidRPr="000E4940">
              <w:rPr>
                <w:kern w:val="0"/>
                <w:sz w:val="18"/>
                <w:szCs w:val="18"/>
              </w:rPr>
              <w:t>231</w:t>
            </w:r>
            <w:r>
              <w:rPr>
                <w:rFonts w:hint="eastAsia"/>
                <w:kern w:val="0"/>
                <w:sz w:val="18"/>
                <w:szCs w:val="18"/>
              </w:rPr>
              <w:t>（</w:t>
            </w:r>
            <w:r w:rsidRPr="000E4940">
              <w:rPr>
                <w:kern w:val="0"/>
                <w:sz w:val="18"/>
                <w:szCs w:val="18"/>
              </w:rPr>
              <w:t>15.4</w:t>
            </w:r>
            <w:r>
              <w:rPr>
                <w:rFonts w:hint="eastAsia"/>
                <w:kern w:val="0"/>
                <w:sz w:val="18"/>
                <w:szCs w:val="18"/>
              </w:rPr>
              <w:t>）</w:t>
            </w:r>
          </w:p>
        </w:tc>
      </w:tr>
      <w:tr w:rsidR="00982941" w:rsidRPr="000E4940" w:rsidTr="00982941">
        <w:trPr>
          <w:trHeight w:val="2855"/>
          <w:jc w:val="center"/>
        </w:trPr>
        <w:tc>
          <w:tcPr>
            <w:tcW w:w="1415" w:type="dxa"/>
            <w:vMerge w:val="restart"/>
            <w:vAlign w:val="center"/>
          </w:tcPr>
          <w:p w:rsidR="00982941" w:rsidRPr="000E4940" w:rsidRDefault="00982941" w:rsidP="00982941">
            <w:pPr>
              <w:widowControl/>
              <w:spacing w:line="240" w:lineRule="auto"/>
              <w:ind w:firstLineChars="0" w:firstLine="0"/>
              <w:jc w:val="center"/>
              <w:rPr>
                <w:kern w:val="0"/>
                <w:sz w:val="18"/>
                <w:szCs w:val="18"/>
              </w:rPr>
            </w:pPr>
            <w:r>
              <w:rPr>
                <w:rFonts w:hint="eastAsia"/>
                <w:kern w:val="0"/>
                <w:sz w:val="18"/>
                <w:szCs w:val="18"/>
              </w:rPr>
              <w:t>使用说明</w:t>
            </w:r>
          </w:p>
        </w:tc>
        <w:tc>
          <w:tcPr>
            <w:tcW w:w="6600" w:type="dxa"/>
            <w:gridSpan w:val="5"/>
            <w:vAlign w:val="center"/>
          </w:tcPr>
          <w:p w:rsidR="00982941" w:rsidRPr="00982941" w:rsidRDefault="00982941" w:rsidP="00982941">
            <w:pPr>
              <w:widowControl/>
              <w:spacing w:line="240" w:lineRule="auto"/>
              <w:ind w:firstLineChars="0" w:firstLine="0"/>
              <w:jc w:val="left"/>
              <w:rPr>
                <w:b/>
                <w:kern w:val="0"/>
                <w:sz w:val="18"/>
                <w:szCs w:val="18"/>
              </w:rPr>
            </w:pPr>
            <w:r>
              <w:rPr>
                <w:rFonts w:hint="eastAsia"/>
                <w:b/>
                <w:kern w:val="0"/>
                <w:sz w:val="18"/>
                <w:szCs w:val="18"/>
              </w:rPr>
              <w:t>1</w:t>
            </w:r>
            <w:r>
              <w:rPr>
                <w:b/>
                <w:kern w:val="0"/>
                <w:sz w:val="18"/>
                <w:szCs w:val="18"/>
              </w:rPr>
              <w:t>.</w:t>
            </w:r>
            <w:r w:rsidRPr="000E4940">
              <w:rPr>
                <w:b/>
                <w:kern w:val="0"/>
                <w:sz w:val="18"/>
                <w:szCs w:val="18"/>
              </w:rPr>
              <w:t>基准地价内涵：</w:t>
            </w:r>
            <w:r w:rsidRPr="000E4940">
              <w:rPr>
                <w:rFonts w:ascii="宋体" w:hAnsi="宋体" w:cs="宋体" w:hint="eastAsia"/>
                <w:kern w:val="0"/>
                <w:sz w:val="18"/>
                <w:szCs w:val="18"/>
              </w:rPr>
              <w:t>①</w:t>
            </w:r>
            <w:r w:rsidRPr="000E4940">
              <w:rPr>
                <w:kern w:val="0"/>
                <w:sz w:val="18"/>
                <w:szCs w:val="18"/>
              </w:rPr>
              <w:t>基准日：</w:t>
            </w:r>
            <w:r w:rsidRPr="000E4940">
              <w:rPr>
                <w:kern w:val="0"/>
                <w:sz w:val="18"/>
                <w:szCs w:val="18"/>
              </w:rPr>
              <w:t>2023</w:t>
            </w:r>
            <w:r w:rsidRPr="000E4940">
              <w:rPr>
                <w:kern w:val="0"/>
                <w:sz w:val="18"/>
                <w:szCs w:val="18"/>
              </w:rPr>
              <w:t>年</w:t>
            </w:r>
            <w:r w:rsidRPr="000E4940">
              <w:rPr>
                <w:kern w:val="0"/>
                <w:sz w:val="18"/>
                <w:szCs w:val="18"/>
              </w:rPr>
              <w:t>12</w:t>
            </w:r>
            <w:r w:rsidRPr="000E4940">
              <w:rPr>
                <w:kern w:val="0"/>
                <w:sz w:val="18"/>
                <w:szCs w:val="18"/>
              </w:rPr>
              <w:t>月</w:t>
            </w:r>
            <w:r w:rsidRPr="000E4940">
              <w:rPr>
                <w:kern w:val="0"/>
                <w:sz w:val="18"/>
                <w:szCs w:val="18"/>
              </w:rPr>
              <w:t>31</w:t>
            </w:r>
            <w:r w:rsidRPr="000E4940">
              <w:rPr>
                <w:kern w:val="0"/>
                <w:sz w:val="18"/>
                <w:szCs w:val="18"/>
              </w:rPr>
              <w:t>日；</w:t>
            </w:r>
          </w:p>
          <w:p w:rsidR="00982941" w:rsidRPr="00982941" w:rsidRDefault="00982941" w:rsidP="00982941">
            <w:pPr>
              <w:spacing w:line="340" w:lineRule="exact"/>
              <w:ind w:firstLineChars="0" w:firstLine="0"/>
              <w:jc w:val="left"/>
              <w:rPr>
                <w:kern w:val="0"/>
                <w:sz w:val="18"/>
                <w:szCs w:val="18"/>
              </w:rPr>
            </w:pPr>
            <w:r w:rsidRPr="000877DB">
              <w:rPr>
                <w:rFonts w:hint="eastAsia"/>
                <w:kern w:val="0"/>
                <w:sz w:val="18"/>
                <w:szCs w:val="18"/>
              </w:rPr>
              <w:t>②</w:t>
            </w:r>
            <w:r w:rsidRPr="000877DB">
              <w:rPr>
                <w:kern w:val="0"/>
                <w:sz w:val="18"/>
                <w:szCs w:val="18"/>
              </w:rPr>
              <w:t>土地用途：商业服务业用地、居住用地、公共管理与公共服务用地、工矿用地；</w:t>
            </w:r>
          </w:p>
          <w:p w:rsidR="00982941" w:rsidRPr="000E4940" w:rsidRDefault="00982941" w:rsidP="00982941">
            <w:pPr>
              <w:widowControl/>
              <w:spacing w:line="240" w:lineRule="auto"/>
              <w:ind w:firstLineChars="0" w:firstLine="0"/>
              <w:jc w:val="left"/>
              <w:rPr>
                <w:kern w:val="0"/>
                <w:sz w:val="18"/>
                <w:szCs w:val="18"/>
              </w:rPr>
            </w:pPr>
            <w:r>
              <w:rPr>
                <w:rFonts w:hint="eastAsia"/>
                <w:kern w:val="0"/>
                <w:sz w:val="18"/>
                <w:szCs w:val="18"/>
              </w:rPr>
              <w:t>③</w:t>
            </w:r>
            <w:r w:rsidRPr="000E4940">
              <w:rPr>
                <w:kern w:val="0"/>
                <w:sz w:val="18"/>
                <w:szCs w:val="18"/>
              </w:rPr>
              <w:t>土地开发程度：</w:t>
            </w:r>
            <w:r w:rsidRPr="000E4940">
              <w:rPr>
                <w:kern w:val="0"/>
                <w:sz w:val="18"/>
                <w:szCs w:val="18"/>
              </w:rPr>
              <w:t>“</w:t>
            </w:r>
            <w:r w:rsidRPr="000E4940">
              <w:rPr>
                <w:kern w:val="0"/>
                <w:sz w:val="18"/>
                <w:szCs w:val="18"/>
              </w:rPr>
              <w:t>四通一平</w:t>
            </w:r>
            <w:r w:rsidRPr="000E4940">
              <w:rPr>
                <w:kern w:val="0"/>
                <w:sz w:val="18"/>
                <w:szCs w:val="18"/>
              </w:rPr>
              <w:t>”</w:t>
            </w:r>
            <w:r w:rsidRPr="000E4940">
              <w:rPr>
                <w:kern w:val="0"/>
                <w:sz w:val="18"/>
                <w:szCs w:val="18"/>
              </w:rPr>
              <w:t>（通路、通电、通讯、供水、场地平整）；</w:t>
            </w:r>
          </w:p>
          <w:p w:rsidR="00982941" w:rsidRPr="000E4940" w:rsidRDefault="00982941" w:rsidP="00982941">
            <w:pPr>
              <w:widowControl/>
              <w:spacing w:line="240" w:lineRule="auto"/>
              <w:ind w:firstLineChars="0" w:firstLine="0"/>
              <w:jc w:val="left"/>
              <w:rPr>
                <w:kern w:val="0"/>
                <w:sz w:val="18"/>
                <w:szCs w:val="18"/>
              </w:rPr>
            </w:pPr>
            <w:r>
              <w:rPr>
                <w:rFonts w:hint="eastAsia"/>
                <w:kern w:val="0"/>
                <w:sz w:val="18"/>
                <w:szCs w:val="18"/>
              </w:rPr>
              <w:t>④容积率：</w:t>
            </w:r>
            <w:r w:rsidRPr="000E4940">
              <w:rPr>
                <w:kern w:val="0"/>
                <w:sz w:val="18"/>
                <w:szCs w:val="18"/>
              </w:rPr>
              <w:t>商业服务业用地</w:t>
            </w:r>
            <w:r w:rsidRPr="000E4940">
              <w:rPr>
                <w:kern w:val="0"/>
                <w:sz w:val="18"/>
                <w:szCs w:val="18"/>
              </w:rPr>
              <w:t>1.6</w:t>
            </w:r>
            <w:r w:rsidRPr="000E4940">
              <w:rPr>
                <w:kern w:val="0"/>
                <w:sz w:val="18"/>
                <w:szCs w:val="18"/>
              </w:rPr>
              <w:t>，公共管理与公共服务用地</w:t>
            </w:r>
            <w:r w:rsidRPr="000E4940">
              <w:rPr>
                <w:kern w:val="0"/>
                <w:sz w:val="18"/>
                <w:szCs w:val="18"/>
              </w:rPr>
              <w:t>1.2</w:t>
            </w:r>
            <w:r w:rsidRPr="000E4940">
              <w:rPr>
                <w:kern w:val="0"/>
                <w:sz w:val="18"/>
                <w:szCs w:val="18"/>
              </w:rPr>
              <w:t>；</w:t>
            </w:r>
            <w:r>
              <w:rPr>
                <w:rFonts w:hint="eastAsia"/>
                <w:kern w:val="0"/>
                <w:sz w:val="18"/>
                <w:szCs w:val="18"/>
              </w:rPr>
              <w:t>新材料产业园</w:t>
            </w:r>
            <w:r w:rsidRPr="000E4940">
              <w:rPr>
                <w:kern w:val="0"/>
                <w:sz w:val="18"/>
                <w:szCs w:val="18"/>
              </w:rPr>
              <w:t>居住用地</w:t>
            </w:r>
            <w:r w:rsidRPr="000E4940">
              <w:rPr>
                <w:kern w:val="0"/>
                <w:sz w:val="18"/>
                <w:szCs w:val="18"/>
              </w:rPr>
              <w:t>1.3</w:t>
            </w:r>
            <w:r w:rsidRPr="000E4940">
              <w:rPr>
                <w:kern w:val="0"/>
                <w:sz w:val="18"/>
                <w:szCs w:val="18"/>
              </w:rPr>
              <w:t>；</w:t>
            </w:r>
            <w:proofErr w:type="gramStart"/>
            <w:r w:rsidRPr="000E4940">
              <w:rPr>
                <w:kern w:val="0"/>
                <w:sz w:val="18"/>
                <w:szCs w:val="18"/>
              </w:rPr>
              <w:t>科创</w:t>
            </w:r>
            <w:r>
              <w:rPr>
                <w:rFonts w:hint="eastAsia"/>
                <w:kern w:val="0"/>
                <w:sz w:val="18"/>
                <w:szCs w:val="18"/>
              </w:rPr>
              <w:t>产业</w:t>
            </w:r>
            <w:proofErr w:type="gramEnd"/>
            <w:r>
              <w:rPr>
                <w:rFonts w:hint="eastAsia"/>
                <w:kern w:val="0"/>
                <w:sz w:val="18"/>
                <w:szCs w:val="18"/>
              </w:rPr>
              <w:t>园</w:t>
            </w:r>
            <w:r w:rsidRPr="000E4940">
              <w:rPr>
                <w:kern w:val="0"/>
                <w:sz w:val="18"/>
                <w:szCs w:val="18"/>
              </w:rPr>
              <w:t>和新材料</w:t>
            </w:r>
            <w:r>
              <w:rPr>
                <w:rFonts w:hint="eastAsia"/>
                <w:kern w:val="0"/>
                <w:sz w:val="18"/>
                <w:szCs w:val="18"/>
              </w:rPr>
              <w:t>产业园</w:t>
            </w:r>
            <w:r w:rsidRPr="000E4940">
              <w:rPr>
                <w:kern w:val="0"/>
                <w:sz w:val="18"/>
                <w:szCs w:val="18"/>
              </w:rPr>
              <w:t>工矿用地</w:t>
            </w:r>
            <w:r w:rsidRPr="000E4940">
              <w:rPr>
                <w:kern w:val="0"/>
                <w:sz w:val="18"/>
                <w:szCs w:val="18"/>
              </w:rPr>
              <w:t>1.0</w:t>
            </w:r>
            <w:r w:rsidRPr="000E4940">
              <w:rPr>
                <w:kern w:val="0"/>
                <w:sz w:val="18"/>
                <w:szCs w:val="18"/>
              </w:rPr>
              <w:t>、食品</w:t>
            </w:r>
            <w:r>
              <w:rPr>
                <w:rFonts w:hint="eastAsia"/>
                <w:kern w:val="0"/>
                <w:sz w:val="18"/>
                <w:szCs w:val="18"/>
              </w:rPr>
              <w:t>产业园</w:t>
            </w:r>
            <w:r w:rsidRPr="000E4940">
              <w:rPr>
                <w:kern w:val="0"/>
                <w:sz w:val="18"/>
                <w:szCs w:val="18"/>
              </w:rPr>
              <w:t>工矿用地</w:t>
            </w:r>
            <w:r w:rsidRPr="000E4940">
              <w:rPr>
                <w:kern w:val="0"/>
                <w:sz w:val="18"/>
                <w:szCs w:val="18"/>
              </w:rPr>
              <w:t>0.8</w:t>
            </w:r>
            <w:r w:rsidRPr="000E4940">
              <w:rPr>
                <w:kern w:val="0"/>
                <w:sz w:val="18"/>
                <w:szCs w:val="18"/>
              </w:rPr>
              <w:t>；</w:t>
            </w:r>
            <w:r>
              <w:rPr>
                <w:rFonts w:hint="eastAsia"/>
                <w:kern w:val="0"/>
                <w:sz w:val="18"/>
                <w:szCs w:val="18"/>
              </w:rPr>
              <w:t>⑤</w:t>
            </w:r>
            <w:r w:rsidRPr="000E4940">
              <w:rPr>
                <w:kern w:val="0"/>
                <w:sz w:val="18"/>
                <w:szCs w:val="18"/>
              </w:rPr>
              <w:t>土地使用年期：商业服务业用地</w:t>
            </w:r>
            <w:r w:rsidRPr="000E4940">
              <w:rPr>
                <w:kern w:val="0"/>
                <w:sz w:val="18"/>
                <w:szCs w:val="18"/>
              </w:rPr>
              <w:t>40</w:t>
            </w:r>
            <w:r w:rsidRPr="000E4940">
              <w:rPr>
                <w:kern w:val="0"/>
                <w:sz w:val="18"/>
                <w:szCs w:val="18"/>
              </w:rPr>
              <w:t>年，居住用地</w:t>
            </w:r>
            <w:r w:rsidRPr="000E4940">
              <w:rPr>
                <w:kern w:val="0"/>
                <w:sz w:val="18"/>
                <w:szCs w:val="18"/>
              </w:rPr>
              <w:t>70</w:t>
            </w:r>
            <w:r w:rsidRPr="000E4940">
              <w:rPr>
                <w:kern w:val="0"/>
                <w:sz w:val="18"/>
                <w:szCs w:val="18"/>
              </w:rPr>
              <w:t>年，工矿用地</w:t>
            </w:r>
            <w:r w:rsidRPr="000E4940">
              <w:rPr>
                <w:kern w:val="0"/>
                <w:sz w:val="18"/>
                <w:szCs w:val="18"/>
              </w:rPr>
              <w:t>50</w:t>
            </w:r>
            <w:r w:rsidRPr="000E4940">
              <w:rPr>
                <w:kern w:val="0"/>
                <w:sz w:val="18"/>
                <w:szCs w:val="18"/>
              </w:rPr>
              <w:t>年，公共管理与公共服务用地</w:t>
            </w:r>
            <w:r w:rsidRPr="000E4940">
              <w:rPr>
                <w:kern w:val="0"/>
                <w:sz w:val="18"/>
                <w:szCs w:val="18"/>
              </w:rPr>
              <w:t>50</w:t>
            </w:r>
            <w:r w:rsidRPr="000E4940">
              <w:rPr>
                <w:kern w:val="0"/>
                <w:sz w:val="18"/>
                <w:szCs w:val="18"/>
              </w:rPr>
              <w:t>年；</w:t>
            </w:r>
          </w:p>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⑥</w:t>
            </w:r>
            <w:r w:rsidRPr="000E4940">
              <w:rPr>
                <w:kern w:val="0"/>
                <w:sz w:val="18"/>
                <w:szCs w:val="18"/>
              </w:rPr>
              <w:t>权利状况：岐山县城镇范围内完整权利下的国有建设用地使用权出让价格</w:t>
            </w:r>
            <w:r w:rsidRPr="000E4940">
              <w:rPr>
                <w:rFonts w:hint="eastAsia"/>
                <w:kern w:val="0"/>
                <w:sz w:val="18"/>
                <w:szCs w:val="18"/>
              </w:rPr>
              <w:t>；</w:t>
            </w:r>
          </w:p>
          <w:p w:rsidR="00982941" w:rsidRPr="000E4940" w:rsidRDefault="00982941" w:rsidP="000E4940">
            <w:pPr>
              <w:widowControl/>
              <w:spacing w:line="240" w:lineRule="auto"/>
              <w:ind w:firstLineChars="0" w:firstLine="0"/>
              <w:jc w:val="left"/>
              <w:rPr>
                <w:kern w:val="0"/>
                <w:sz w:val="18"/>
                <w:szCs w:val="18"/>
              </w:rPr>
            </w:pPr>
            <w:r>
              <w:rPr>
                <w:rFonts w:hint="eastAsia"/>
                <w:kern w:val="0"/>
                <w:sz w:val="18"/>
                <w:szCs w:val="18"/>
              </w:rPr>
              <w:t>⑦</w:t>
            </w:r>
            <w:r w:rsidRPr="000E4940">
              <w:rPr>
                <w:rFonts w:hint="eastAsia"/>
                <w:kern w:val="0"/>
                <w:sz w:val="18"/>
                <w:szCs w:val="18"/>
              </w:rPr>
              <w:t>价格类型：地面价。</w:t>
            </w:r>
          </w:p>
        </w:tc>
      </w:tr>
      <w:tr w:rsidR="00982941" w:rsidRPr="000E4940" w:rsidTr="00982941">
        <w:trPr>
          <w:trHeight w:val="3027"/>
          <w:jc w:val="center"/>
        </w:trPr>
        <w:tc>
          <w:tcPr>
            <w:tcW w:w="1415" w:type="dxa"/>
            <w:vMerge/>
            <w:vAlign w:val="center"/>
          </w:tcPr>
          <w:p w:rsidR="00982941" w:rsidRPr="000E4940" w:rsidRDefault="00982941" w:rsidP="000E4940">
            <w:pPr>
              <w:widowControl/>
              <w:spacing w:line="240" w:lineRule="auto"/>
              <w:ind w:firstLineChars="0" w:firstLine="0"/>
              <w:jc w:val="left"/>
              <w:rPr>
                <w:kern w:val="0"/>
                <w:sz w:val="18"/>
                <w:szCs w:val="18"/>
              </w:rPr>
            </w:pPr>
          </w:p>
        </w:tc>
        <w:tc>
          <w:tcPr>
            <w:tcW w:w="6600" w:type="dxa"/>
            <w:gridSpan w:val="5"/>
            <w:vAlign w:val="center"/>
          </w:tcPr>
          <w:p w:rsidR="00982941" w:rsidRDefault="00982941" w:rsidP="00982941">
            <w:pPr>
              <w:spacing w:line="340" w:lineRule="exact"/>
              <w:ind w:firstLineChars="0" w:firstLine="0"/>
              <w:jc w:val="left"/>
              <w:rPr>
                <w:rFonts w:ascii="宋体" w:hAnsi="宋体" w:cs="宋体"/>
                <w:kern w:val="0"/>
                <w:sz w:val="18"/>
                <w:szCs w:val="18"/>
              </w:rPr>
            </w:pPr>
            <w:r w:rsidRPr="00A51521">
              <w:rPr>
                <w:rFonts w:hint="eastAsia"/>
                <w:b/>
                <w:kern w:val="0"/>
                <w:sz w:val="18"/>
                <w:szCs w:val="18"/>
              </w:rPr>
              <w:t>2.</w:t>
            </w:r>
            <w:r w:rsidRPr="00A51521">
              <w:rPr>
                <w:rFonts w:hint="eastAsia"/>
                <w:b/>
                <w:kern w:val="0"/>
                <w:sz w:val="18"/>
                <w:szCs w:val="18"/>
              </w:rPr>
              <w:t>土地用途分类：</w:t>
            </w:r>
            <w:r w:rsidRPr="001A7AD2">
              <w:rPr>
                <w:rFonts w:ascii="宋体" w:hAnsi="宋体" w:cs="宋体" w:hint="eastAsia"/>
                <w:kern w:val="0"/>
                <w:sz w:val="18"/>
                <w:szCs w:val="18"/>
              </w:rPr>
              <w:t>①商业服务业用地、居住用地、公共管理与公共服务用地及工矿用地参照三级类用途的修正系数计算相应基准地价；</w:t>
            </w:r>
          </w:p>
          <w:p w:rsidR="00982941" w:rsidRDefault="00982941" w:rsidP="0098294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②仓储用地、交通运输用地中的铁路用地、公路用地、机场用地、港口码头用地、管道运输用地、城市轨道交通用地、城镇村道路用地及其他交通设施用地基准地价参照工矿用地进行修正后确定；</w:t>
            </w:r>
          </w:p>
          <w:p w:rsidR="00982941" w:rsidRDefault="00982941" w:rsidP="00982941">
            <w:pPr>
              <w:spacing w:line="340" w:lineRule="exact"/>
              <w:ind w:firstLineChars="0" w:firstLine="0"/>
              <w:jc w:val="left"/>
              <w:rPr>
                <w:rFonts w:ascii="宋体" w:hAnsi="宋体" w:cs="宋体"/>
                <w:kern w:val="0"/>
                <w:sz w:val="18"/>
                <w:szCs w:val="18"/>
              </w:rPr>
            </w:pPr>
            <w:r w:rsidRPr="001A7AD2">
              <w:rPr>
                <w:rFonts w:ascii="宋体" w:hAnsi="宋体" w:cs="宋体" w:hint="eastAsia"/>
                <w:kern w:val="0"/>
                <w:sz w:val="18"/>
                <w:szCs w:val="18"/>
              </w:rPr>
              <w:t>③交通运输用地中的交通场站用地、公用设施用地、</w:t>
            </w:r>
            <w:r w:rsidRPr="001A7AD2">
              <w:rPr>
                <w:rFonts w:ascii="宋体" w:hAnsi="宋体" w:cs="宋体"/>
                <w:kern w:val="0"/>
                <w:sz w:val="18"/>
                <w:szCs w:val="18"/>
              </w:rPr>
              <w:t>绿地与开敞空间用地</w:t>
            </w:r>
            <w:r w:rsidRPr="001A7AD2">
              <w:rPr>
                <w:rFonts w:ascii="宋体" w:hAnsi="宋体" w:cs="宋体" w:hint="eastAsia"/>
                <w:kern w:val="0"/>
                <w:sz w:val="18"/>
                <w:szCs w:val="18"/>
              </w:rPr>
              <w:t>、特殊用地（除营利性殡葬用地外）基准地价参照公共管理与公共服务用地进行修正后确定；</w:t>
            </w:r>
          </w:p>
          <w:p w:rsidR="00982941" w:rsidRPr="000E4940" w:rsidRDefault="00982941" w:rsidP="00982941">
            <w:pPr>
              <w:widowControl/>
              <w:spacing w:line="240" w:lineRule="auto"/>
              <w:ind w:firstLineChars="0" w:firstLine="0"/>
              <w:jc w:val="left"/>
              <w:rPr>
                <w:b/>
                <w:kern w:val="0"/>
                <w:sz w:val="18"/>
                <w:szCs w:val="18"/>
              </w:rPr>
            </w:pPr>
            <w:r w:rsidRPr="001A7AD2">
              <w:rPr>
                <w:rFonts w:ascii="宋体" w:hAnsi="宋体" w:cs="宋体" w:hint="eastAsia"/>
                <w:kern w:val="0"/>
                <w:sz w:val="18"/>
                <w:szCs w:val="18"/>
              </w:rPr>
              <w:t>④营利性殡葬用地参照商业服务业用地进行修正后确定。</w:t>
            </w:r>
          </w:p>
        </w:tc>
      </w:tr>
    </w:tbl>
    <w:p w:rsidR="00626EDE" w:rsidRPr="000E4940" w:rsidRDefault="00626EDE" w:rsidP="000E4940">
      <w:pPr>
        <w:adjustRightInd w:val="0"/>
        <w:ind w:firstLineChars="0" w:firstLine="0"/>
        <w:jc w:val="center"/>
        <w:outlineLvl w:val="3"/>
      </w:pPr>
    </w:p>
    <w:sectPr w:rsidR="00626EDE" w:rsidRPr="000E4940" w:rsidSect="000E4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18" w:rsidRDefault="00087F18" w:rsidP="004B4563">
      <w:pPr>
        <w:spacing w:line="240" w:lineRule="auto"/>
        <w:ind w:firstLine="480"/>
      </w:pPr>
      <w:r>
        <w:separator/>
      </w:r>
    </w:p>
  </w:endnote>
  <w:endnote w:type="continuationSeparator" w:id="0">
    <w:p w:rsidR="00087F18" w:rsidRDefault="00087F18" w:rsidP="004B45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40" w:rsidRDefault="000E494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40" w:rsidRDefault="000E494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40" w:rsidRDefault="000E49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18" w:rsidRDefault="00087F18" w:rsidP="004B4563">
      <w:pPr>
        <w:spacing w:line="240" w:lineRule="auto"/>
        <w:ind w:firstLine="480"/>
      </w:pPr>
      <w:r>
        <w:separator/>
      </w:r>
    </w:p>
  </w:footnote>
  <w:footnote w:type="continuationSeparator" w:id="0">
    <w:p w:rsidR="00087F18" w:rsidRDefault="00087F18" w:rsidP="004B456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40" w:rsidRDefault="000E494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40" w:rsidRDefault="000E4940" w:rsidP="000E4940">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40" w:rsidRDefault="000E49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563"/>
    <w:rsid w:val="00043EB7"/>
    <w:rsid w:val="000877DB"/>
    <w:rsid w:val="00087F18"/>
    <w:rsid w:val="000E4940"/>
    <w:rsid w:val="001A7AD2"/>
    <w:rsid w:val="00331A6F"/>
    <w:rsid w:val="00382FC7"/>
    <w:rsid w:val="00405FA6"/>
    <w:rsid w:val="004B4563"/>
    <w:rsid w:val="004F0B0E"/>
    <w:rsid w:val="00537FB1"/>
    <w:rsid w:val="00626EDE"/>
    <w:rsid w:val="00756622"/>
    <w:rsid w:val="00802F7A"/>
    <w:rsid w:val="008568A5"/>
    <w:rsid w:val="00982941"/>
    <w:rsid w:val="00A51521"/>
    <w:rsid w:val="00A77290"/>
    <w:rsid w:val="00BE331D"/>
    <w:rsid w:val="00C234D9"/>
    <w:rsid w:val="00E9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1C4F6"/>
  <w15:docId w15:val="{DBD17894-3D1B-4F86-BA89-FE942643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63"/>
    <w:pPr>
      <w:widowControl w:val="0"/>
      <w:spacing w:line="500" w:lineRule="exact"/>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563"/>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4563"/>
    <w:rPr>
      <w:sz w:val="18"/>
      <w:szCs w:val="18"/>
    </w:rPr>
  </w:style>
  <w:style w:type="paragraph" w:styleId="a5">
    <w:name w:val="footer"/>
    <w:basedOn w:val="a"/>
    <w:link w:val="a6"/>
    <w:uiPriority w:val="99"/>
    <w:unhideWhenUsed/>
    <w:rsid w:val="004B4563"/>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45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469</Words>
  <Characters>2676</Characters>
  <Application>Microsoft Office Word</Application>
  <DocSecurity>0</DocSecurity>
  <Lines>22</Lines>
  <Paragraphs>6</Paragraphs>
  <ScaleCrop>false</ScaleCrop>
  <Company>Microsoft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DELL</cp:lastModifiedBy>
  <cp:revision>23</cp:revision>
  <dcterms:created xsi:type="dcterms:W3CDTF">2023-05-28T07:33:00Z</dcterms:created>
  <dcterms:modified xsi:type="dcterms:W3CDTF">2025-05-21T03:32:00Z</dcterms:modified>
</cp:coreProperties>
</file>