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550"/>
        <w:gridCol w:w="3720"/>
        <w:gridCol w:w="2820"/>
        <w:gridCol w:w="2640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93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岐山县2024年第三批省级财政农业专项资金（渔业绿色发展）实施主体公示名单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项目建设类型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法人代表或负责人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稻（藕）渔综合种养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岐山县铁头生态农业专业合作社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岐山县蔡家坡镇胡新村郑家磨三组091号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大水面生态增养殖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岐山县沣泉水产养殖场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岐山县青化镇北阳村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周刘水库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杨伟龙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g5NThmYzQyZTY4ZmVmZWE4ZmJmOTNjYmQyOWUifQ=="/>
  </w:docVars>
  <w:rsids>
    <w:rsidRoot w:val="0DF03EB9"/>
    <w:rsid w:val="0DF03EB9"/>
    <w:rsid w:val="48196DB1"/>
    <w:rsid w:val="64305C91"/>
    <w:rsid w:val="733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2024-11-18T07:39:00Z</dcterms:created>
  <dc:creator>污力凯凯</dc:creator>
  <cp:lastModifiedBy>喵</cp:lastModifiedBy>
  <dcterms:modified xsi:type="dcterms:W3CDTF">2024-11-19T01:20:22Z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5E116E04E9BD4747B9C8D7467F4BCE70_11</vt:lpwstr>
  </property>
</Properties>
</file>