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ind w:firstLine="0" w:firstLineChars="0"/>
        <w:jc w:val="center"/>
        <w:outlineLvl w:val="3"/>
        <w:rPr>
          <w:b/>
          <w:sz w:val="21"/>
          <w:szCs w:val="21"/>
        </w:rPr>
      </w:pPr>
      <w:bookmarkStart w:id="0" w:name="_Hlk21446754"/>
      <w:bookmarkStart w:id="1" w:name="_Hlk21446836"/>
      <w:r>
        <w:rPr>
          <w:b/>
          <w:sz w:val="32"/>
          <w:szCs w:val="32"/>
        </w:rPr>
        <w:t>岐山县城区基准地价表</w:t>
      </w:r>
      <w:bookmarkEnd w:id="0"/>
    </w:p>
    <w:p>
      <w:pPr>
        <w:adjustRightInd w:val="0"/>
        <w:ind w:firstLine="0" w:firstLineChars="0"/>
        <w:jc w:val="right"/>
        <w:rPr>
          <w:sz w:val="28"/>
          <w:szCs w:val="28"/>
        </w:rPr>
      </w:pPr>
      <w:bookmarkStart w:id="3" w:name="_GoBack"/>
      <w:bookmarkEnd w:id="3"/>
    </w:p>
    <w:p>
      <w:pPr>
        <w:adjustRightInd w:val="0"/>
        <w:ind w:firstLine="0" w:firstLineChars="0"/>
        <w:jc w:val="right"/>
        <w:rPr>
          <w:sz w:val="28"/>
          <w:szCs w:val="28"/>
        </w:rPr>
      </w:pPr>
      <w:r>
        <w:rPr>
          <w:sz w:val="28"/>
          <w:szCs w:val="28"/>
        </w:rPr>
        <w:t>单位：元/平方米（万元/亩）</w:t>
      </w:r>
    </w:p>
    <w:tbl>
      <w:tblPr>
        <w:tblStyle w:val="4"/>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000"/>
        <w:gridCol w:w="2000"/>
        <w:gridCol w:w="200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677" w:type="dxa"/>
            <w:shd w:val="clear" w:color="auto" w:fill="auto"/>
            <w:vAlign w:val="center"/>
          </w:tcPr>
          <w:p>
            <w:pPr>
              <w:widowControl/>
              <w:spacing w:line="240" w:lineRule="auto"/>
              <w:ind w:firstLine="0" w:firstLineChars="0"/>
              <w:jc w:val="center"/>
              <w:rPr>
                <w:b/>
                <w:kern w:val="0"/>
                <w:sz w:val="28"/>
                <w:szCs w:val="28"/>
              </w:rPr>
            </w:pPr>
            <w:r>
              <w:rPr>
                <w:b/>
                <w:kern w:val="0"/>
                <w:sz w:val="28"/>
                <w:szCs w:val="28"/>
              </w:rPr>
              <w:t>级别</w:t>
            </w:r>
          </w:p>
        </w:tc>
        <w:tc>
          <w:tcPr>
            <w:tcW w:w="2000" w:type="dxa"/>
            <w:shd w:val="clear" w:color="auto" w:fill="auto"/>
            <w:vAlign w:val="center"/>
          </w:tcPr>
          <w:p>
            <w:pPr>
              <w:widowControl/>
              <w:spacing w:line="240" w:lineRule="auto"/>
              <w:ind w:firstLine="0" w:firstLineChars="0"/>
              <w:jc w:val="center"/>
              <w:rPr>
                <w:b/>
                <w:kern w:val="0"/>
                <w:sz w:val="28"/>
                <w:szCs w:val="28"/>
              </w:rPr>
            </w:pPr>
            <w:r>
              <w:rPr>
                <w:b/>
                <w:kern w:val="0"/>
                <w:sz w:val="28"/>
                <w:szCs w:val="28"/>
              </w:rPr>
              <w:t>商业服务业用地</w:t>
            </w:r>
          </w:p>
        </w:tc>
        <w:tc>
          <w:tcPr>
            <w:tcW w:w="2000" w:type="dxa"/>
            <w:shd w:val="clear" w:color="auto" w:fill="auto"/>
            <w:vAlign w:val="center"/>
          </w:tcPr>
          <w:p>
            <w:pPr>
              <w:widowControl/>
              <w:spacing w:line="240" w:lineRule="auto"/>
              <w:ind w:firstLine="0" w:firstLineChars="0"/>
              <w:jc w:val="center"/>
              <w:rPr>
                <w:b/>
                <w:kern w:val="0"/>
                <w:sz w:val="28"/>
                <w:szCs w:val="28"/>
              </w:rPr>
            </w:pPr>
            <w:r>
              <w:rPr>
                <w:b/>
                <w:kern w:val="0"/>
                <w:sz w:val="28"/>
                <w:szCs w:val="28"/>
              </w:rPr>
              <w:t>居住用地</w:t>
            </w:r>
          </w:p>
        </w:tc>
        <w:tc>
          <w:tcPr>
            <w:tcW w:w="2000" w:type="dxa"/>
            <w:shd w:val="clear" w:color="auto" w:fill="auto"/>
            <w:vAlign w:val="center"/>
          </w:tcPr>
          <w:p>
            <w:pPr>
              <w:widowControl/>
              <w:spacing w:line="240" w:lineRule="auto"/>
              <w:ind w:firstLine="0" w:firstLineChars="0"/>
              <w:jc w:val="center"/>
              <w:rPr>
                <w:b/>
                <w:kern w:val="0"/>
                <w:sz w:val="28"/>
                <w:szCs w:val="28"/>
              </w:rPr>
            </w:pPr>
            <w:r>
              <w:rPr>
                <w:b/>
                <w:kern w:val="0"/>
                <w:sz w:val="28"/>
                <w:szCs w:val="28"/>
              </w:rPr>
              <w:t>公共管理与公共服务用地</w:t>
            </w:r>
          </w:p>
        </w:tc>
        <w:tc>
          <w:tcPr>
            <w:tcW w:w="2000" w:type="dxa"/>
            <w:shd w:val="clear" w:color="auto" w:fill="auto"/>
            <w:vAlign w:val="center"/>
          </w:tcPr>
          <w:p>
            <w:pPr>
              <w:widowControl/>
              <w:spacing w:line="240" w:lineRule="auto"/>
              <w:ind w:firstLine="0" w:firstLineChars="0"/>
              <w:jc w:val="center"/>
              <w:rPr>
                <w:b/>
                <w:kern w:val="0"/>
                <w:sz w:val="28"/>
                <w:szCs w:val="28"/>
              </w:rPr>
            </w:pPr>
            <w:r>
              <w:rPr>
                <w:b/>
                <w:kern w:val="0"/>
                <w:sz w:val="28"/>
                <w:szCs w:val="28"/>
              </w:rPr>
              <w:t>工矿和仓储用地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77" w:type="dxa"/>
            <w:shd w:val="clear" w:color="auto" w:fill="auto"/>
            <w:vAlign w:val="center"/>
          </w:tcPr>
          <w:p>
            <w:pPr>
              <w:widowControl/>
              <w:spacing w:line="240" w:lineRule="auto"/>
              <w:ind w:firstLine="0" w:firstLineChars="0"/>
              <w:jc w:val="center"/>
              <w:rPr>
                <w:kern w:val="0"/>
                <w:sz w:val="28"/>
                <w:szCs w:val="28"/>
              </w:rPr>
            </w:pPr>
            <w:r>
              <w:rPr>
                <w:kern w:val="0"/>
                <w:sz w:val="28"/>
                <w:szCs w:val="28"/>
              </w:rPr>
              <w:t>I</w:t>
            </w:r>
          </w:p>
        </w:tc>
        <w:tc>
          <w:tcPr>
            <w:tcW w:w="2000"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870(58)</w:t>
            </w:r>
          </w:p>
        </w:tc>
        <w:tc>
          <w:tcPr>
            <w:tcW w:w="2000"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840(56)</w:t>
            </w:r>
          </w:p>
        </w:tc>
        <w:tc>
          <w:tcPr>
            <w:tcW w:w="2000"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546(36.4)</w:t>
            </w:r>
          </w:p>
        </w:tc>
        <w:tc>
          <w:tcPr>
            <w:tcW w:w="2000" w:type="dxa"/>
            <w:shd w:val="clear" w:color="auto" w:fill="auto"/>
            <w:vAlign w:val="bottom"/>
          </w:tcPr>
          <w:p>
            <w:pPr>
              <w:widowControl/>
              <w:spacing w:line="240" w:lineRule="auto"/>
              <w:ind w:firstLine="0" w:firstLineChars="0"/>
              <w:jc w:val="center"/>
              <w:rPr>
                <w:kern w:val="0"/>
                <w:sz w:val="28"/>
                <w:szCs w:val="28"/>
              </w:rPr>
            </w:pPr>
            <w:r>
              <w:rPr>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77" w:type="dxa"/>
            <w:shd w:val="clear" w:color="auto" w:fill="auto"/>
            <w:vAlign w:val="center"/>
          </w:tcPr>
          <w:p>
            <w:pPr>
              <w:widowControl/>
              <w:spacing w:line="240" w:lineRule="auto"/>
              <w:ind w:firstLine="0" w:firstLineChars="0"/>
              <w:jc w:val="center"/>
              <w:rPr>
                <w:kern w:val="0"/>
                <w:sz w:val="28"/>
                <w:szCs w:val="28"/>
              </w:rPr>
            </w:pPr>
            <w:r>
              <w:rPr>
                <w:kern w:val="0"/>
                <w:sz w:val="28"/>
                <w:szCs w:val="28"/>
              </w:rPr>
              <w:t>II</w:t>
            </w:r>
          </w:p>
        </w:tc>
        <w:tc>
          <w:tcPr>
            <w:tcW w:w="2000"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705(47)</w:t>
            </w:r>
          </w:p>
        </w:tc>
        <w:tc>
          <w:tcPr>
            <w:tcW w:w="2000"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678(45.2)</w:t>
            </w:r>
          </w:p>
        </w:tc>
        <w:tc>
          <w:tcPr>
            <w:tcW w:w="2000"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483(32.2)</w:t>
            </w:r>
          </w:p>
        </w:tc>
        <w:tc>
          <w:tcPr>
            <w:tcW w:w="2000" w:type="dxa"/>
            <w:shd w:val="clear" w:color="auto" w:fill="auto"/>
            <w:vAlign w:val="bottom"/>
          </w:tcPr>
          <w:p>
            <w:pPr>
              <w:widowControl/>
              <w:spacing w:line="240" w:lineRule="auto"/>
              <w:ind w:firstLine="0" w:firstLineChars="0"/>
              <w:jc w:val="center"/>
              <w:rPr>
                <w:kern w:val="0"/>
                <w:sz w:val="28"/>
                <w:szCs w:val="28"/>
              </w:rPr>
            </w:pPr>
            <w:r>
              <w:rPr>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77" w:type="dxa"/>
            <w:shd w:val="clear" w:color="auto" w:fill="auto"/>
            <w:vAlign w:val="center"/>
          </w:tcPr>
          <w:p>
            <w:pPr>
              <w:widowControl/>
              <w:spacing w:line="240" w:lineRule="auto"/>
              <w:ind w:firstLine="0" w:firstLineChars="0"/>
              <w:jc w:val="center"/>
              <w:rPr>
                <w:kern w:val="0"/>
                <w:sz w:val="28"/>
                <w:szCs w:val="28"/>
              </w:rPr>
            </w:pPr>
            <w:r>
              <w:rPr>
                <w:kern w:val="0"/>
                <w:sz w:val="28"/>
                <w:szCs w:val="28"/>
              </w:rPr>
              <w:t>III</w:t>
            </w:r>
          </w:p>
        </w:tc>
        <w:tc>
          <w:tcPr>
            <w:tcW w:w="2000"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570(38)</w:t>
            </w:r>
          </w:p>
        </w:tc>
        <w:tc>
          <w:tcPr>
            <w:tcW w:w="2000"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546(36.4)</w:t>
            </w:r>
          </w:p>
        </w:tc>
        <w:tc>
          <w:tcPr>
            <w:tcW w:w="2000"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435(29)</w:t>
            </w:r>
          </w:p>
        </w:tc>
        <w:tc>
          <w:tcPr>
            <w:tcW w:w="2000" w:type="dxa"/>
            <w:shd w:val="clear" w:color="auto" w:fill="auto"/>
            <w:vAlign w:val="bottom"/>
          </w:tcPr>
          <w:p>
            <w:pPr>
              <w:widowControl/>
              <w:spacing w:line="240" w:lineRule="auto"/>
              <w:ind w:firstLine="0" w:firstLineChars="0"/>
              <w:jc w:val="center"/>
              <w:rPr>
                <w:kern w:val="0"/>
                <w:sz w:val="28"/>
                <w:szCs w:val="28"/>
              </w:rPr>
            </w:pPr>
            <w:r>
              <w:rPr>
                <w:kern w:val="0"/>
                <w:sz w:val="28"/>
                <w:szCs w:val="28"/>
              </w:rPr>
              <w:t>330(22)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77" w:type="dxa"/>
            <w:shd w:val="clear" w:color="auto" w:fill="auto"/>
            <w:vAlign w:val="center"/>
          </w:tcPr>
          <w:p>
            <w:pPr>
              <w:widowControl/>
              <w:spacing w:line="240" w:lineRule="auto"/>
              <w:ind w:firstLine="0" w:firstLineChars="0"/>
              <w:jc w:val="center"/>
              <w:rPr>
                <w:kern w:val="0"/>
                <w:sz w:val="28"/>
                <w:szCs w:val="28"/>
              </w:rPr>
            </w:pPr>
            <w:r>
              <w:rPr>
                <w:kern w:val="0"/>
                <w:sz w:val="28"/>
                <w:szCs w:val="28"/>
              </w:rPr>
              <w:t>IV</w:t>
            </w:r>
          </w:p>
        </w:tc>
        <w:tc>
          <w:tcPr>
            <w:tcW w:w="2000"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432(28.8)</w:t>
            </w:r>
          </w:p>
        </w:tc>
        <w:tc>
          <w:tcPr>
            <w:tcW w:w="2000"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411(27.4)</w:t>
            </w:r>
          </w:p>
        </w:tc>
        <w:tc>
          <w:tcPr>
            <w:tcW w:w="2000"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375(25)</w:t>
            </w:r>
          </w:p>
        </w:tc>
        <w:tc>
          <w:tcPr>
            <w:tcW w:w="2000" w:type="dxa"/>
            <w:shd w:val="clear" w:color="auto" w:fill="auto"/>
            <w:vAlign w:val="bottom"/>
          </w:tcPr>
          <w:p>
            <w:pPr>
              <w:widowControl/>
              <w:spacing w:line="240" w:lineRule="auto"/>
              <w:ind w:firstLine="0" w:firstLineChars="0"/>
              <w:jc w:val="center"/>
              <w:rPr>
                <w:kern w:val="0"/>
                <w:sz w:val="28"/>
                <w:szCs w:val="28"/>
              </w:rPr>
            </w:pPr>
            <w:r>
              <w:rPr>
                <w:kern w:val="0"/>
                <w:sz w:val="28"/>
                <w:szCs w:val="28"/>
              </w:rPr>
              <w:t>285(19)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7" w:hRule="atLeast"/>
          <w:jc w:val="center"/>
        </w:trPr>
        <w:tc>
          <w:tcPr>
            <w:tcW w:w="8677" w:type="dxa"/>
            <w:gridSpan w:val="5"/>
            <w:shd w:val="clear" w:color="auto" w:fill="auto"/>
            <w:vAlign w:val="top"/>
          </w:tcPr>
          <w:p>
            <w:pPr>
              <w:widowControl/>
              <w:spacing w:line="240" w:lineRule="auto"/>
              <w:ind w:firstLine="0" w:firstLineChars="0"/>
              <w:jc w:val="both"/>
              <w:rPr>
                <w:kern w:val="0"/>
                <w:sz w:val="18"/>
                <w:szCs w:val="18"/>
              </w:rPr>
            </w:pPr>
            <w:r>
              <w:rPr>
                <w:kern w:val="0"/>
                <w:sz w:val="18"/>
                <w:szCs w:val="18"/>
              </w:rPr>
              <w:t>说明：</w:t>
            </w:r>
          </w:p>
          <w:p>
            <w:pPr>
              <w:widowControl/>
              <w:spacing w:line="240" w:lineRule="auto"/>
              <w:ind w:firstLine="0" w:firstLineChars="0"/>
              <w:jc w:val="both"/>
              <w:rPr>
                <w:kern w:val="0"/>
                <w:sz w:val="18"/>
                <w:szCs w:val="18"/>
              </w:rPr>
            </w:pPr>
            <w:r>
              <w:rPr>
                <w:kern w:val="0"/>
                <w:sz w:val="18"/>
                <w:szCs w:val="18"/>
              </w:rPr>
              <w:t>1.基准地价内涵：</w:t>
            </w:r>
            <w:r>
              <w:rPr>
                <w:rFonts w:hint="eastAsia" w:ascii="宋体" w:hAnsi="宋体" w:cs="宋体"/>
                <w:kern w:val="0"/>
                <w:sz w:val="18"/>
                <w:szCs w:val="18"/>
              </w:rPr>
              <w:t>①</w:t>
            </w:r>
            <w:r>
              <w:rPr>
                <w:kern w:val="0"/>
                <w:sz w:val="18"/>
                <w:szCs w:val="18"/>
              </w:rPr>
              <w:t>基准日：2020年12月31日；</w:t>
            </w:r>
            <w:r>
              <w:rPr>
                <w:rFonts w:hint="eastAsia" w:ascii="宋体" w:hAnsi="宋体" w:cs="宋体"/>
                <w:kern w:val="0"/>
                <w:sz w:val="18"/>
                <w:szCs w:val="18"/>
              </w:rPr>
              <w:t>②</w:t>
            </w:r>
            <w:r>
              <w:rPr>
                <w:kern w:val="0"/>
                <w:sz w:val="18"/>
                <w:szCs w:val="18"/>
              </w:rPr>
              <w:t>土地开发程度：“六通一平”（通路、通电、供水、排水、供气、通讯、场地平整）；</w:t>
            </w:r>
            <w:r>
              <w:rPr>
                <w:rFonts w:hint="eastAsia" w:ascii="宋体" w:hAnsi="宋体" w:cs="宋体"/>
                <w:kern w:val="0"/>
                <w:sz w:val="18"/>
                <w:szCs w:val="18"/>
              </w:rPr>
              <w:t>③</w:t>
            </w:r>
            <w:r>
              <w:rPr>
                <w:kern w:val="0"/>
                <w:sz w:val="18"/>
                <w:szCs w:val="18"/>
              </w:rPr>
              <w:t>容积率：商业服务业用地平均容积率为2.5，居住用地平均容积率为2.0，工矿和仓储用地平均容积率为1.2，公共管理与公共服务用地平均容积率为1.5；</w:t>
            </w:r>
            <w:r>
              <w:rPr>
                <w:rFonts w:hint="eastAsia" w:ascii="宋体" w:hAnsi="宋体" w:cs="宋体"/>
                <w:kern w:val="0"/>
                <w:sz w:val="18"/>
                <w:szCs w:val="18"/>
              </w:rPr>
              <w:t>④</w:t>
            </w:r>
            <w:r>
              <w:rPr>
                <w:kern w:val="0"/>
                <w:sz w:val="18"/>
                <w:szCs w:val="18"/>
              </w:rPr>
              <w:t>土地使用年期：商业服务业用地为40年，居住用地为70年，工矿和仓储用地为50年，公共管理与公共服务用地为50年。</w:t>
            </w:r>
            <w:r>
              <w:rPr>
                <w:kern w:val="0"/>
                <w:sz w:val="18"/>
                <w:szCs w:val="18"/>
              </w:rPr>
              <w:fldChar w:fldCharType="begin"/>
            </w:r>
            <w:r>
              <w:rPr>
                <w:kern w:val="0"/>
                <w:sz w:val="18"/>
                <w:szCs w:val="18"/>
              </w:rPr>
              <w:instrText xml:space="preserve"> = 5 \* GB3 </w:instrText>
            </w:r>
            <w:r>
              <w:rPr>
                <w:kern w:val="0"/>
                <w:sz w:val="18"/>
                <w:szCs w:val="18"/>
              </w:rPr>
              <w:fldChar w:fldCharType="separate"/>
            </w:r>
            <w:r>
              <w:rPr>
                <w:rFonts w:hint="eastAsia" w:ascii="宋体" w:hAnsi="宋体" w:cs="宋体"/>
                <w:kern w:val="0"/>
                <w:sz w:val="18"/>
                <w:szCs w:val="18"/>
              </w:rPr>
              <w:t>⑤</w:t>
            </w:r>
            <w:r>
              <w:rPr>
                <w:kern w:val="0"/>
                <w:sz w:val="18"/>
                <w:szCs w:val="18"/>
              </w:rPr>
              <w:fldChar w:fldCharType="end"/>
            </w:r>
            <w:r>
              <w:rPr>
                <w:kern w:val="0"/>
                <w:sz w:val="18"/>
                <w:szCs w:val="18"/>
              </w:rPr>
              <w:t>使用权类型：出让。</w:t>
            </w:r>
          </w:p>
          <w:p>
            <w:pPr>
              <w:widowControl/>
              <w:spacing w:line="240" w:lineRule="auto"/>
              <w:ind w:firstLine="0" w:firstLineChars="0"/>
              <w:jc w:val="both"/>
              <w:rPr>
                <w:kern w:val="0"/>
                <w:sz w:val="18"/>
                <w:szCs w:val="18"/>
              </w:rPr>
            </w:pPr>
            <w:r>
              <w:rPr>
                <w:kern w:val="0"/>
                <w:sz w:val="18"/>
                <w:szCs w:val="18"/>
              </w:rPr>
              <w:t>2.土地用途分类说明：基准地价土地用途分类依据国家《土地利用现状分类》（GB/T 21010-2017）、《国土空间调查、规划、用途管制用地用海分类指南（试行）》标准，其中商业服务业用地包括零售商业用地、批发市场用地、餐饮用地、旅馆用地、公用设施营业网点用地、商务金融用地、娱乐康体用地、其他商业服务业用地；居住用地包括城镇住宅用地、镇社区服务设施用地；工矿和仓储用地包括工矿用地、仓储用地；公共管理与公共服务用地包括机关团体用地、科研用地、文化用地、教育用地、体育用地、医疗卫生用地、社会福利用地。具有多种用途的土地应按建筑面积分摊土地面积分别确定土地用途。公用设施用地、绿地与开敞空间用地、特殊用地参照公共管理与公共服务用地。交通运输用地中的交通场站用地参照公共管理与公共服务用地，其余参照工矿和仓储用地。</w:t>
            </w:r>
          </w:p>
          <w:p>
            <w:pPr>
              <w:widowControl/>
              <w:spacing w:line="240" w:lineRule="auto"/>
              <w:ind w:firstLine="0" w:firstLineChars="0"/>
              <w:jc w:val="both"/>
              <w:rPr>
                <w:kern w:val="0"/>
                <w:sz w:val="18"/>
                <w:szCs w:val="18"/>
              </w:rPr>
            </w:pPr>
            <w:r>
              <w:rPr>
                <w:kern w:val="0"/>
                <w:sz w:val="18"/>
                <w:szCs w:val="18"/>
              </w:rPr>
              <w:t>3.土地级别以《岐山县城区基准地价图》为准，定级范围以外地区参照临近区域基准地价末级地相应标准进行适当调整。</w:t>
            </w:r>
          </w:p>
        </w:tc>
      </w:tr>
    </w:tbl>
    <w:p>
      <w:pPr>
        <w:widowControl/>
        <w:spacing w:line="240" w:lineRule="auto"/>
        <w:ind w:firstLine="0" w:firstLineChars="0"/>
        <w:jc w:val="left"/>
        <w:rPr>
          <w:b/>
        </w:rPr>
      </w:pPr>
      <w:r>
        <w:rPr>
          <w:b/>
        </w:rPr>
        <w:br w:type="page"/>
      </w:r>
    </w:p>
    <w:p>
      <w:pPr>
        <w:adjustRightInd w:val="0"/>
        <w:ind w:firstLine="0" w:firstLineChars="0"/>
        <w:jc w:val="center"/>
        <w:outlineLvl w:val="3"/>
        <w:rPr>
          <w:b/>
          <w:sz w:val="21"/>
          <w:szCs w:val="21"/>
        </w:rPr>
      </w:pPr>
      <w:r>
        <w:rPr>
          <w:b/>
          <w:sz w:val="32"/>
          <w:szCs w:val="32"/>
        </w:rPr>
        <w:t>岐山县蔡家坡镇基准地价表</w:t>
      </w:r>
    </w:p>
    <w:p>
      <w:pPr>
        <w:adjustRightInd w:val="0"/>
        <w:ind w:firstLine="0" w:firstLineChars="0"/>
        <w:jc w:val="right"/>
        <w:rPr>
          <w:sz w:val="28"/>
          <w:szCs w:val="28"/>
        </w:rPr>
      </w:pPr>
    </w:p>
    <w:p>
      <w:pPr>
        <w:adjustRightInd w:val="0"/>
        <w:ind w:firstLine="0" w:firstLineChars="0"/>
        <w:jc w:val="right"/>
        <w:rPr>
          <w:sz w:val="20"/>
          <w:szCs w:val="20"/>
        </w:rPr>
      </w:pPr>
      <w:r>
        <w:rPr>
          <w:sz w:val="28"/>
          <w:szCs w:val="28"/>
        </w:rPr>
        <w:t>单位：元/平方米（万元/亩）</w:t>
      </w:r>
    </w:p>
    <w:tbl>
      <w:tblPr>
        <w:tblStyle w:val="4"/>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014"/>
        <w:gridCol w:w="2014"/>
        <w:gridCol w:w="2014"/>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683" w:type="dxa"/>
            <w:shd w:val="clear" w:color="auto" w:fill="auto"/>
            <w:vAlign w:val="center"/>
          </w:tcPr>
          <w:p>
            <w:pPr>
              <w:widowControl/>
              <w:spacing w:line="240" w:lineRule="auto"/>
              <w:ind w:firstLine="0" w:firstLineChars="0"/>
              <w:jc w:val="center"/>
              <w:rPr>
                <w:b/>
                <w:kern w:val="0"/>
                <w:sz w:val="28"/>
                <w:szCs w:val="28"/>
              </w:rPr>
            </w:pPr>
            <w:r>
              <w:rPr>
                <w:b/>
                <w:kern w:val="0"/>
                <w:sz w:val="28"/>
                <w:szCs w:val="28"/>
              </w:rPr>
              <w:t>级别</w:t>
            </w:r>
          </w:p>
        </w:tc>
        <w:tc>
          <w:tcPr>
            <w:tcW w:w="2014" w:type="dxa"/>
            <w:shd w:val="clear" w:color="auto" w:fill="auto"/>
            <w:vAlign w:val="center"/>
          </w:tcPr>
          <w:p>
            <w:pPr>
              <w:widowControl/>
              <w:spacing w:line="240" w:lineRule="auto"/>
              <w:ind w:firstLine="0" w:firstLineChars="0"/>
              <w:jc w:val="center"/>
              <w:rPr>
                <w:b/>
                <w:kern w:val="0"/>
                <w:sz w:val="28"/>
                <w:szCs w:val="28"/>
              </w:rPr>
            </w:pPr>
            <w:r>
              <w:rPr>
                <w:b/>
                <w:kern w:val="0"/>
                <w:sz w:val="28"/>
                <w:szCs w:val="28"/>
              </w:rPr>
              <w:t>商业服务业用地</w:t>
            </w:r>
          </w:p>
        </w:tc>
        <w:tc>
          <w:tcPr>
            <w:tcW w:w="2014" w:type="dxa"/>
            <w:shd w:val="clear" w:color="auto" w:fill="auto"/>
            <w:vAlign w:val="center"/>
          </w:tcPr>
          <w:p>
            <w:pPr>
              <w:widowControl/>
              <w:spacing w:line="240" w:lineRule="auto"/>
              <w:ind w:firstLine="0" w:firstLineChars="0"/>
              <w:jc w:val="center"/>
              <w:rPr>
                <w:b/>
                <w:kern w:val="0"/>
                <w:sz w:val="28"/>
                <w:szCs w:val="28"/>
              </w:rPr>
            </w:pPr>
            <w:r>
              <w:rPr>
                <w:b/>
                <w:kern w:val="0"/>
                <w:sz w:val="28"/>
                <w:szCs w:val="28"/>
              </w:rPr>
              <w:t>居住用地</w:t>
            </w:r>
          </w:p>
        </w:tc>
        <w:tc>
          <w:tcPr>
            <w:tcW w:w="2014" w:type="dxa"/>
            <w:shd w:val="clear" w:color="auto" w:fill="auto"/>
            <w:vAlign w:val="center"/>
          </w:tcPr>
          <w:p>
            <w:pPr>
              <w:widowControl/>
              <w:spacing w:line="240" w:lineRule="auto"/>
              <w:ind w:firstLine="0" w:firstLineChars="0"/>
              <w:jc w:val="center"/>
              <w:rPr>
                <w:b/>
                <w:kern w:val="0"/>
                <w:sz w:val="28"/>
                <w:szCs w:val="28"/>
              </w:rPr>
            </w:pPr>
            <w:r>
              <w:rPr>
                <w:b/>
                <w:kern w:val="0"/>
                <w:sz w:val="28"/>
                <w:szCs w:val="28"/>
              </w:rPr>
              <w:t>公共管理与公共服务用地</w:t>
            </w:r>
          </w:p>
        </w:tc>
        <w:tc>
          <w:tcPr>
            <w:tcW w:w="2014" w:type="dxa"/>
            <w:shd w:val="clear" w:color="auto" w:fill="auto"/>
            <w:vAlign w:val="center"/>
          </w:tcPr>
          <w:p>
            <w:pPr>
              <w:widowControl/>
              <w:spacing w:line="240" w:lineRule="auto"/>
              <w:ind w:firstLine="0" w:firstLineChars="0"/>
              <w:jc w:val="center"/>
              <w:rPr>
                <w:b/>
                <w:kern w:val="0"/>
                <w:sz w:val="28"/>
                <w:szCs w:val="28"/>
              </w:rPr>
            </w:pPr>
            <w:r>
              <w:rPr>
                <w:b/>
                <w:kern w:val="0"/>
                <w:sz w:val="28"/>
                <w:szCs w:val="28"/>
              </w:rPr>
              <w:t>工矿和仓储用地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83" w:type="dxa"/>
            <w:shd w:val="clear" w:color="auto" w:fill="auto"/>
            <w:vAlign w:val="center"/>
          </w:tcPr>
          <w:p>
            <w:pPr>
              <w:widowControl/>
              <w:spacing w:line="240" w:lineRule="auto"/>
              <w:ind w:firstLine="0" w:firstLineChars="0"/>
              <w:jc w:val="center"/>
              <w:rPr>
                <w:kern w:val="0"/>
                <w:sz w:val="28"/>
                <w:szCs w:val="28"/>
              </w:rPr>
            </w:pPr>
            <w:r>
              <w:rPr>
                <w:kern w:val="0"/>
                <w:sz w:val="28"/>
                <w:szCs w:val="28"/>
              </w:rPr>
              <w:t>I</w:t>
            </w:r>
          </w:p>
        </w:tc>
        <w:tc>
          <w:tcPr>
            <w:tcW w:w="2014"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882(58.8)</w:t>
            </w:r>
          </w:p>
        </w:tc>
        <w:tc>
          <w:tcPr>
            <w:tcW w:w="2014"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855(57)</w:t>
            </w:r>
          </w:p>
        </w:tc>
        <w:tc>
          <w:tcPr>
            <w:tcW w:w="2014"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540(36)</w:t>
            </w:r>
          </w:p>
        </w:tc>
        <w:tc>
          <w:tcPr>
            <w:tcW w:w="2014" w:type="dxa"/>
            <w:shd w:val="clear" w:color="auto" w:fill="auto"/>
            <w:vAlign w:val="bottom"/>
          </w:tcPr>
          <w:p>
            <w:pPr>
              <w:widowControl/>
              <w:spacing w:line="240" w:lineRule="auto"/>
              <w:ind w:firstLine="0" w:firstLineChars="0"/>
              <w:jc w:val="center"/>
              <w:rPr>
                <w:kern w:val="0"/>
                <w:sz w:val="28"/>
                <w:szCs w:val="28"/>
              </w:rPr>
            </w:pPr>
            <w:r>
              <w:rPr>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83" w:type="dxa"/>
            <w:shd w:val="clear" w:color="auto" w:fill="auto"/>
            <w:vAlign w:val="center"/>
          </w:tcPr>
          <w:p>
            <w:pPr>
              <w:widowControl/>
              <w:spacing w:line="240" w:lineRule="auto"/>
              <w:ind w:firstLine="0" w:firstLineChars="0"/>
              <w:jc w:val="center"/>
              <w:rPr>
                <w:kern w:val="0"/>
                <w:sz w:val="28"/>
                <w:szCs w:val="28"/>
              </w:rPr>
            </w:pPr>
            <w:r>
              <w:rPr>
                <w:kern w:val="0"/>
                <w:sz w:val="28"/>
                <w:szCs w:val="28"/>
              </w:rPr>
              <w:t>II</w:t>
            </w:r>
          </w:p>
        </w:tc>
        <w:tc>
          <w:tcPr>
            <w:tcW w:w="2014"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714(47.6)</w:t>
            </w:r>
          </w:p>
        </w:tc>
        <w:tc>
          <w:tcPr>
            <w:tcW w:w="2014"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690(46)</w:t>
            </w:r>
          </w:p>
        </w:tc>
        <w:tc>
          <w:tcPr>
            <w:tcW w:w="2014"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480(32)</w:t>
            </w:r>
          </w:p>
        </w:tc>
        <w:tc>
          <w:tcPr>
            <w:tcW w:w="2014" w:type="dxa"/>
            <w:shd w:val="clear" w:color="auto" w:fill="auto"/>
            <w:vAlign w:val="bottom"/>
          </w:tcPr>
          <w:p>
            <w:pPr>
              <w:widowControl/>
              <w:spacing w:line="240" w:lineRule="auto"/>
              <w:ind w:firstLine="0" w:firstLineChars="0"/>
              <w:jc w:val="center"/>
              <w:rPr>
                <w:kern w:val="0"/>
                <w:sz w:val="28"/>
                <w:szCs w:val="28"/>
              </w:rPr>
            </w:pPr>
            <w:r>
              <w:rPr>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83" w:type="dxa"/>
            <w:shd w:val="clear" w:color="auto" w:fill="auto"/>
            <w:vAlign w:val="center"/>
          </w:tcPr>
          <w:p>
            <w:pPr>
              <w:widowControl/>
              <w:spacing w:line="240" w:lineRule="auto"/>
              <w:ind w:firstLine="0" w:firstLineChars="0"/>
              <w:jc w:val="center"/>
              <w:rPr>
                <w:kern w:val="0"/>
                <w:sz w:val="28"/>
                <w:szCs w:val="28"/>
              </w:rPr>
            </w:pPr>
            <w:r>
              <w:rPr>
                <w:kern w:val="0"/>
                <w:sz w:val="28"/>
                <w:szCs w:val="28"/>
              </w:rPr>
              <w:t>III</w:t>
            </w:r>
          </w:p>
        </w:tc>
        <w:tc>
          <w:tcPr>
            <w:tcW w:w="2014"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573(38.2)</w:t>
            </w:r>
          </w:p>
        </w:tc>
        <w:tc>
          <w:tcPr>
            <w:tcW w:w="2014"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555(37)</w:t>
            </w:r>
          </w:p>
        </w:tc>
        <w:tc>
          <w:tcPr>
            <w:tcW w:w="2014"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420(28)</w:t>
            </w:r>
          </w:p>
        </w:tc>
        <w:tc>
          <w:tcPr>
            <w:tcW w:w="2014" w:type="dxa"/>
            <w:shd w:val="clear" w:color="auto" w:fill="auto"/>
            <w:vAlign w:val="bottom"/>
          </w:tcPr>
          <w:p>
            <w:pPr>
              <w:widowControl/>
              <w:spacing w:line="240" w:lineRule="auto"/>
              <w:ind w:firstLine="0" w:firstLineChars="0"/>
              <w:jc w:val="center"/>
              <w:rPr>
                <w:kern w:val="0"/>
                <w:sz w:val="28"/>
                <w:szCs w:val="28"/>
              </w:rPr>
            </w:pPr>
            <w:r>
              <w:rPr>
                <w:kern w:val="0"/>
                <w:sz w:val="28"/>
                <w:szCs w:val="28"/>
              </w:rPr>
              <w:t>375(25)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83" w:type="dxa"/>
            <w:shd w:val="clear" w:color="auto" w:fill="auto"/>
            <w:vAlign w:val="center"/>
          </w:tcPr>
          <w:p>
            <w:pPr>
              <w:widowControl/>
              <w:spacing w:line="240" w:lineRule="auto"/>
              <w:ind w:firstLine="0" w:firstLineChars="0"/>
              <w:jc w:val="center"/>
              <w:rPr>
                <w:kern w:val="0"/>
                <w:sz w:val="28"/>
                <w:szCs w:val="28"/>
              </w:rPr>
            </w:pPr>
            <w:r>
              <w:rPr>
                <w:kern w:val="0"/>
                <w:sz w:val="28"/>
                <w:szCs w:val="28"/>
              </w:rPr>
              <w:t>IV</w:t>
            </w:r>
          </w:p>
        </w:tc>
        <w:tc>
          <w:tcPr>
            <w:tcW w:w="2014"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450(30)</w:t>
            </w:r>
          </w:p>
        </w:tc>
        <w:tc>
          <w:tcPr>
            <w:tcW w:w="2014"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435(29)</w:t>
            </w:r>
          </w:p>
        </w:tc>
        <w:tc>
          <w:tcPr>
            <w:tcW w:w="2014"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360(24)</w:t>
            </w:r>
          </w:p>
        </w:tc>
        <w:tc>
          <w:tcPr>
            <w:tcW w:w="2014" w:type="dxa"/>
            <w:shd w:val="clear" w:color="auto" w:fill="auto"/>
            <w:vAlign w:val="bottom"/>
          </w:tcPr>
          <w:p>
            <w:pPr>
              <w:widowControl/>
              <w:spacing w:line="240" w:lineRule="auto"/>
              <w:ind w:firstLine="0" w:firstLineChars="0"/>
              <w:jc w:val="center"/>
              <w:rPr>
                <w:kern w:val="0"/>
                <w:sz w:val="28"/>
                <w:szCs w:val="28"/>
              </w:rPr>
            </w:pPr>
            <w:r>
              <w:rPr>
                <w:kern w:val="0"/>
                <w:sz w:val="28"/>
                <w:szCs w:val="28"/>
              </w:rPr>
              <w:t>330(22)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83" w:type="dxa"/>
            <w:shd w:val="clear" w:color="auto" w:fill="auto"/>
            <w:vAlign w:val="center"/>
          </w:tcPr>
          <w:p>
            <w:pPr>
              <w:widowControl/>
              <w:spacing w:line="240" w:lineRule="auto"/>
              <w:ind w:firstLine="0" w:firstLineChars="0"/>
              <w:jc w:val="center"/>
              <w:rPr>
                <w:kern w:val="0"/>
                <w:sz w:val="28"/>
                <w:szCs w:val="28"/>
              </w:rPr>
            </w:pPr>
            <w:r>
              <w:rPr>
                <w:kern w:val="0"/>
                <w:sz w:val="28"/>
                <w:szCs w:val="28"/>
              </w:rPr>
              <w:t>V</w:t>
            </w:r>
          </w:p>
        </w:tc>
        <w:tc>
          <w:tcPr>
            <w:tcW w:w="2014"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372(24.8)</w:t>
            </w:r>
          </w:p>
        </w:tc>
        <w:tc>
          <w:tcPr>
            <w:tcW w:w="2014"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360(24)</w:t>
            </w:r>
          </w:p>
        </w:tc>
        <w:tc>
          <w:tcPr>
            <w:tcW w:w="2014" w:type="dxa"/>
            <w:shd w:val="clear" w:color="auto" w:fill="auto"/>
            <w:noWrap/>
            <w:vAlign w:val="bottom"/>
          </w:tcPr>
          <w:p>
            <w:pPr>
              <w:widowControl/>
              <w:spacing w:line="240" w:lineRule="auto"/>
              <w:ind w:firstLine="0" w:firstLineChars="0"/>
              <w:jc w:val="center"/>
              <w:rPr>
                <w:kern w:val="0"/>
                <w:sz w:val="28"/>
                <w:szCs w:val="28"/>
              </w:rPr>
            </w:pPr>
            <w:r>
              <w:rPr>
                <w:kern w:val="0"/>
                <w:sz w:val="28"/>
                <w:szCs w:val="28"/>
              </w:rPr>
              <w:t>300(20)</w:t>
            </w:r>
          </w:p>
        </w:tc>
        <w:tc>
          <w:tcPr>
            <w:tcW w:w="2014" w:type="dxa"/>
            <w:shd w:val="clear" w:color="auto" w:fill="auto"/>
            <w:vAlign w:val="bottom"/>
          </w:tcPr>
          <w:p>
            <w:pPr>
              <w:widowControl/>
              <w:spacing w:line="240" w:lineRule="auto"/>
              <w:ind w:firstLine="0" w:firstLineChars="0"/>
              <w:jc w:val="center"/>
              <w:rPr>
                <w:kern w:val="0"/>
                <w:sz w:val="28"/>
                <w:szCs w:val="28"/>
              </w:rPr>
            </w:pPr>
            <w:r>
              <w:rPr>
                <w:kern w:val="0"/>
                <w:sz w:val="28"/>
                <w:szCs w:val="28"/>
              </w:rPr>
              <w:t>270(18)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1" w:hRule="atLeast"/>
          <w:jc w:val="center"/>
        </w:trPr>
        <w:tc>
          <w:tcPr>
            <w:tcW w:w="8739" w:type="dxa"/>
            <w:gridSpan w:val="5"/>
            <w:shd w:val="clear" w:color="auto" w:fill="auto"/>
            <w:vAlign w:val="top"/>
          </w:tcPr>
          <w:p>
            <w:pPr>
              <w:widowControl/>
              <w:spacing w:line="240" w:lineRule="auto"/>
              <w:ind w:firstLine="0" w:firstLineChars="0"/>
              <w:jc w:val="both"/>
              <w:rPr>
                <w:kern w:val="0"/>
                <w:sz w:val="18"/>
                <w:szCs w:val="18"/>
              </w:rPr>
            </w:pPr>
            <w:r>
              <w:rPr>
                <w:kern w:val="0"/>
                <w:sz w:val="18"/>
                <w:szCs w:val="18"/>
              </w:rPr>
              <w:t>说明：</w:t>
            </w:r>
          </w:p>
          <w:p>
            <w:pPr>
              <w:widowControl/>
              <w:spacing w:line="240" w:lineRule="auto"/>
              <w:ind w:firstLine="0" w:firstLineChars="0"/>
              <w:jc w:val="both"/>
              <w:rPr>
                <w:kern w:val="0"/>
                <w:sz w:val="18"/>
                <w:szCs w:val="18"/>
              </w:rPr>
            </w:pPr>
            <w:r>
              <w:rPr>
                <w:kern w:val="0"/>
                <w:sz w:val="18"/>
                <w:szCs w:val="18"/>
              </w:rPr>
              <w:t>1.基准地价内涵：</w:t>
            </w:r>
            <w:r>
              <w:rPr>
                <w:rFonts w:hint="eastAsia" w:ascii="宋体" w:hAnsi="宋体" w:cs="宋体"/>
                <w:kern w:val="0"/>
                <w:sz w:val="18"/>
                <w:szCs w:val="18"/>
              </w:rPr>
              <w:t>①</w:t>
            </w:r>
            <w:r>
              <w:rPr>
                <w:kern w:val="0"/>
                <w:sz w:val="18"/>
                <w:szCs w:val="18"/>
              </w:rPr>
              <w:t>基准日：2020年12月31日；</w:t>
            </w:r>
            <w:r>
              <w:rPr>
                <w:rFonts w:hint="eastAsia" w:ascii="宋体" w:hAnsi="宋体" w:cs="宋体"/>
                <w:kern w:val="0"/>
                <w:sz w:val="18"/>
                <w:szCs w:val="18"/>
              </w:rPr>
              <w:t>②</w:t>
            </w:r>
            <w:r>
              <w:rPr>
                <w:kern w:val="0"/>
                <w:sz w:val="18"/>
                <w:szCs w:val="18"/>
              </w:rPr>
              <w:t>土地开发程度：“六通一平”（通路、通电、供水、排水、供气、通讯、场地平整）；</w:t>
            </w:r>
            <w:r>
              <w:rPr>
                <w:rFonts w:hint="eastAsia" w:ascii="宋体" w:hAnsi="宋体" w:cs="宋体"/>
                <w:kern w:val="0"/>
                <w:sz w:val="18"/>
                <w:szCs w:val="18"/>
              </w:rPr>
              <w:t>③</w:t>
            </w:r>
            <w:r>
              <w:rPr>
                <w:kern w:val="0"/>
                <w:sz w:val="18"/>
                <w:szCs w:val="18"/>
              </w:rPr>
              <w:t>容积率：商业服务业用地平均容积率为2.5，居住用地平均容积率为2.0，工矿和仓储用地平均容积率为1.2，公共管理与公共服务用地平均容积率为1.5；</w:t>
            </w:r>
            <w:r>
              <w:rPr>
                <w:rFonts w:hint="eastAsia" w:ascii="宋体" w:hAnsi="宋体" w:cs="宋体"/>
                <w:kern w:val="0"/>
                <w:sz w:val="18"/>
                <w:szCs w:val="18"/>
              </w:rPr>
              <w:t>④</w:t>
            </w:r>
            <w:r>
              <w:rPr>
                <w:kern w:val="0"/>
                <w:sz w:val="18"/>
                <w:szCs w:val="18"/>
              </w:rPr>
              <w:t>土地使用年期：商业服务业用地为40年，居住用地为70年，工矿和仓储用地为50年，公共管理与公共服务用地为50年。</w:t>
            </w:r>
            <w:r>
              <w:rPr>
                <w:kern w:val="0"/>
                <w:sz w:val="18"/>
                <w:szCs w:val="18"/>
              </w:rPr>
              <w:fldChar w:fldCharType="begin"/>
            </w:r>
            <w:r>
              <w:rPr>
                <w:kern w:val="0"/>
                <w:sz w:val="18"/>
                <w:szCs w:val="18"/>
              </w:rPr>
              <w:instrText xml:space="preserve"> = 5 \* GB3 </w:instrText>
            </w:r>
            <w:r>
              <w:rPr>
                <w:kern w:val="0"/>
                <w:sz w:val="18"/>
                <w:szCs w:val="18"/>
              </w:rPr>
              <w:fldChar w:fldCharType="separate"/>
            </w:r>
            <w:r>
              <w:rPr>
                <w:rFonts w:hint="eastAsia" w:ascii="宋体" w:hAnsi="宋体" w:cs="宋体"/>
                <w:kern w:val="0"/>
                <w:sz w:val="18"/>
                <w:szCs w:val="18"/>
              </w:rPr>
              <w:t>⑤</w:t>
            </w:r>
            <w:r>
              <w:rPr>
                <w:kern w:val="0"/>
                <w:sz w:val="18"/>
                <w:szCs w:val="18"/>
              </w:rPr>
              <w:fldChar w:fldCharType="end"/>
            </w:r>
            <w:r>
              <w:rPr>
                <w:kern w:val="0"/>
                <w:sz w:val="18"/>
                <w:szCs w:val="18"/>
              </w:rPr>
              <w:t>使用权类型：出让。</w:t>
            </w:r>
          </w:p>
          <w:p>
            <w:pPr>
              <w:widowControl/>
              <w:spacing w:line="240" w:lineRule="auto"/>
              <w:ind w:firstLine="0" w:firstLineChars="0"/>
              <w:jc w:val="both"/>
              <w:rPr>
                <w:kern w:val="0"/>
                <w:sz w:val="18"/>
                <w:szCs w:val="18"/>
              </w:rPr>
            </w:pPr>
            <w:r>
              <w:rPr>
                <w:kern w:val="0"/>
                <w:sz w:val="18"/>
                <w:szCs w:val="18"/>
              </w:rPr>
              <w:t>2.土地用途分类说明：基准地价土地用途分类依据国家《土地利用现状分类》（GB/T 21010-2017）、《国土空间调查、规划、用途管制用地用海分类指南（试行）》标准，其中商业服务业用地包括零售商业用地、批发市场用地、餐饮用地、旅馆用地、公用设施营业网点用地、商务金融用地、娱乐康体用地、其他商业服务业用地；居住用地包括城镇住宅用地、镇社区服务设施用地；工矿和仓储用地包括工矿用地、仓储用地；公共管理与公共服务用地包括机关团体用地、科研用地、文化用地、教育用地、体育用地、医疗卫生用地、社会福利用地。具有多种用途的土地应按建筑面积分摊土地面积分别确定土地用途。公用设施用地、绿地与开敞空间用地、特殊用地参照公共管理与公共服务用地。交通运输用地中的交通场站用地参照公共管理与公共服务用地，其余参照工矿和仓储用地。</w:t>
            </w:r>
          </w:p>
          <w:p>
            <w:pPr>
              <w:widowControl/>
              <w:spacing w:line="240" w:lineRule="auto"/>
              <w:ind w:firstLine="0" w:firstLineChars="0"/>
              <w:jc w:val="both"/>
              <w:rPr>
                <w:kern w:val="0"/>
                <w:sz w:val="18"/>
                <w:szCs w:val="18"/>
              </w:rPr>
            </w:pPr>
            <w:r>
              <w:rPr>
                <w:kern w:val="0"/>
                <w:sz w:val="18"/>
                <w:szCs w:val="18"/>
              </w:rPr>
              <w:t>3.土地级别以《岐山县蔡家坡镇基准地价图》为准，定级范围以外地区参照临近区域基准地价末级地相应标准进行适当调整。</w:t>
            </w:r>
          </w:p>
        </w:tc>
      </w:tr>
      <w:bookmarkEnd w:id="1"/>
    </w:tbl>
    <w:p>
      <w:pPr>
        <w:widowControl/>
        <w:spacing w:line="240" w:lineRule="auto"/>
        <w:ind w:firstLine="0" w:firstLineChars="0"/>
        <w:jc w:val="left"/>
        <w:rPr>
          <w:b/>
          <w:sz w:val="21"/>
          <w:szCs w:val="21"/>
        </w:rPr>
      </w:pPr>
      <w:bookmarkStart w:id="2" w:name="_Hlk21447248"/>
      <w:r>
        <w:rPr>
          <w:b/>
          <w:sz w:val="21"/>
          <w:szCs w:val="21"/>
        </w:rPr>
        <w:br w:type="page"/>
      </w:r>
    </w:p>
    <w:p>
      <w:pPr>
        <w:adjustRightInd w:val="0"/>
        <w:ind w:firstLine="0" w:firstLineChars="0"/>
        <w:jc w:val="center"/>
        <w:outlineLvl w:val="3"/>
        <w:rPr>
          <w:b/>
          <w:sz w:val="21"/>
          <w:szCs w:val="21"/>
        </w:rPr>
      </w:pPr>
      <w:r>
        <w:rPr>
          <w:b/>
          <w:sz w:val="32"/>
          <w:szCs w:val="32"/>
        </w:rPr>
        <w:t>岐山县其他建制镇基准地价表</w:t>
      </w:r>
    </w:p>
    <w:p>
      <w:pPr>
        <w:adjustRightInd w:val="0"/>
        <w:spacing w:line="460" w:lineRule="exact"/>
        <w:ind w:firstLine="0" w:firstLineChars="0"/>
        <w:jc w:val="right"/>
        <w:rPr>
          <w:sz w:val="28"/>
          <w:szCs w:val="28"/>
        </w:rPr>
      </w:pPr>
    </w:p>
    <w:p>
      <w:pPr>
        <w:adjustRightInd w:val="0"/>
        <w:spacing w:line="460" w:lineRule="exact"/>
        <w:ind w:firstLine="0" w:firstLineChars="0"/>
        <w:jc w:val="right"/>
        <w:rPr>
          <w:sz w:val="28"/>
          <w:szCs w:val="28"/>
        </w:rPr>
      </w:pPr>
      <w:r>
        <w:rPr>
          <w:sz w:val="28"/>
          <w:szCs w:val="28"/>
        </w:rPr>
        <w:t>单位：元/平方米（万元/亩）</w:t>
      </w:r>
    </w:p>
    <w:tbl>
      <w:tblPr>
        <w:tblStyle w:val="4"/>
        <w:tblW w:w="8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2"/>
        <w:gridCol w:w="932"/>
        <w:gridCol w:w="1133"/>
        <w:gridCol w:w="898"/>
        <w:gridCol w:w="900"/>
        <w:gridCol w:w="1131"/>
        <w:gridCol w:w="902"/>
        <w:gridCol w:w="89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jc w:val="center"/>
        </w:trPr>
        <w:tc>
          <w:tcPr>
            <w:tcW w:w="1082" w:type="dxa"/>
            <w:shd w:val="clear" w:color="auto" w:fill="auto"/>
            <w:vAlign w:val="center"/>
          </w:tcPr>
          <w:p>
            <w:pPr>
              <w:widowControl/>
              <w:spacing w:line="240" w:lineRule="auto"/>
              <w:ind w:firstLine="0" w:firstLineChars="0"/>
              <w:jc w:val="center"/>
              <w:rPr>
                <w:b/>
                <w:kern w:val="0"/>
                <w:sz w:val="28"/>
                <w:szCs w:val="28"/>
              </w:rPr>
            </w:pPr>
            <w:r>
              <w:rPr>
                <w:b/>
                <w:kern w:val="0"/>
                <w:sz w:val="28"/>
                <w:szCs w:val="28"/>
              </w:rPr>
              <w:t>镇名</w:t>
            </w:r>
          </w:p>
        </w:tc>
        <w:tc>
          <w:tcPr>
            <w:tcW w:w="2065" w:type="dxa"/>
            <w:gridSpan w:val="2"/>
            <w:shd w:val="clear" w:color="auto" w:fill="auto"/>
            <w:vAlign w:val="center"/>
          </w:tcPr>
          <w:p>
            <w:pPr>
              <w:widowControl/>
              <w:spacing w:line="240" w:lineRule="auto"/>
              <w:ind w:firstLine="0" w:firstLineChars="0"/>
              <w:jc w:val="center"/>
              <w:rPr>
                <w:b/>
                <w:kern w:val="0"/>
                <w:sz w:val="28"/>
                <w:szCs w:val="28"/>
              </w:rPr>
            </w:pPr>
            <w:r>
              <w:rPr>
                <w:b/>
                <w:kern w:val="0"/>
                <w:sz w:val="28"/>
                <w:szCs w:val="28"/>
              </w:rPr>
              <w:t>商业服务业用地</w:t>
            </w:r>
          </w:p>
        </w:tc>
        <w:tc>
          <w:tcPr>
            <w:tcW w:w="1798" w:type="dxa"/>
            <w:gridSpan w:val="2"/>
            <w:shd w:val="clear" w:color="auto" w:fill="auto"/>
            <w:vAlign w:val="center"/>
          </w:tcPr>
          <w:p>
            <w:pPr>
              <w:widowControl/>
              <w:spacing w:line="240" w:lineRule="auto"/>
              <w:ind w:firstLine="0" w:firstLineChars="0"/>
              <w:jc w:val="center"/>
              <w:rPr>
                <w:b/>
                <w:kern w:val="0"/>
                <w:sz w:val="28"/>
                <w:szCs w:val="28"/>
              </w:rPr>
            </w:pPr>
            <w:r>
              <w:rPr>
                <w:b/>
                <w:kern w:val="0"/>
                <w:sz w:val="28"/>
                <w:szCs w:val="28"/>
              </w:rPr>
              <w:t>居住用地</w:t>
            </w:r>
          </w:p>
        </w:tc>
        <w:tc>
          <w:tcPr>
            <w:tcW w:w="2033" w:type="dxa"/>
            <w:gridSpan w:val="2"/>
            <w:shd w:val="clear" w:color="auto" w:fill="auto"/>
            <w:vAlign w:val="center"/>
          </w:tcPr>
          <w:p>
            <w:pPr>
              <w:widowControl/>
              <w:spacing w:line="240" w:lineRule="auto"/>
              <w:ind w:firstLine="0" w:firstLineChars="0"/>
              <w:jc w:val="center"/>
              <w:rPr>
                <w:b/>
                <w:kern w:val="0"/>
                <w:sz w:val="28"/>
                <w:szCs w:val="28"/>
              </w:rPr>
            </w:pPr>
            <w:r>
              <w:rPr>
                <w:b/>
                <w:kern w:val="0"/>
                <w:sz w:val="28"/>
                <w:szCs w:val="28"/>
              </w:rPr>
              <w:t>公共管理与公共服务用地</w:t>
            </w:r>
          </w:p>
        </w:tc>
        <w:tc>
          <w:tcPr>
            <w:tcW w:w="1798" w:type="dxa"/>
            <w:gridSpan w:val="2"/>
            <w:shd w:val="clear" w:color="auto" w:fill="auto"/>
            <w:vAlign w:val="center"/>
          </w:tcPr>
          <w:p>
            <w:pPr>
              <w:widowControl/>
              <w:spacing w:line="240" w:lineRule="auto"/>
              <w:ind w:firstLine="0" w:firstLineChars="0"/>
              <w:jc w:val="center"/>
              <w:rPr>
                <w:b/>
                <w:kern w:val="0"/>
                <w:sz w:val="28"/>
                <w:szCs w:val="28"/>
              </w:rPr>
            </w:pPr>
            <w:r>
              <w:rPr>
                <w:b/>
                <w:kern w:val="0"/>
                <w:sz w:val="28"/>
                <w:szCs w:val="28"/>
              </w:rPr>
              <w:t>工矿和仓储用地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1082" w:type="dxa"/>
            <w:shd w:val="clear" w:color="auto" w:fill="auto"/>
            <w:vAlign w:val="center"/>
          </w:tcPr>
          <w:p>
            <w:pPr>
              <w:widowControl/>
              <w:spacing w:line="240" w:lineRule="auto"/>
              <w:ind w:firstLine="0" w:firstLineChars="0"/>
              <w:jc w:val="center"/>
              <w:rPr>
                <w:kern w:val="0"/>
                <w:sz w:val="28"/>
                <w:szCs w:val="28"/>
              </w:rPr>
            </w:pPr>
            <w:r>
              <w:rPr>
                <w:kern w:val="0"/>
                <w:sz w:val="28"/>
                <w:szCs w:val="28"/>
              </w:rPr>
              <w:t>益店镇</w:t>
            </w:r>
          </w:p>
        </w:tc>
        <w:tc>
          <w:tcPr>
            <w:tcW w:w="932" w:type="dxa"/>
            <w:shd w:val="clear" w:color="auto" w:fill="auto"/>
            <w:vAlign w:val="center"/>
          </w:tcPr>
          <w:p>
            <w:pPr>
              <w:widowControl/>
              <w:spacing w:line="240" w:lineRule="auto"/>
              <w:ind w:firstLine="0" w:firstLineChars="0"/>
              <w:jc w:val="center"/>
              <w:rPr>
                <w:kern w:val="0"/>
                <w:sz w:val="28"/>
                <w:szCs w:val="28"/>
              </w:rPr>
            </w:pPr>
            <w:r>
              <w:rPr>
                <w:kern w:val="0"/>
                <w:sz w:val="28"/>
                <w:szCs w:val="28"/>
              </w:rPr>
              <w:t>330</w:t>
            </w:r>
          </w:p>
        </w:tc>
        <w:tc>
          <w:tcPr>
            <w:tcW w:w="1133" w:type="dxa"/>
            <w:shd w:val="clear" w:color="auto" w:fill="auto"/>
            <w:vAlign w:val="center"/>
          </w:tcPr>
          <w:p>
            <w:pPr>
              <w:widowControl/>
              <w:spacing w:line="240" w:lineRule="auto"/>
              <w:ind w:firstLine="0" w:firstLineChars="0"/>
              <w:jc w:val="center"/>
              <w:rPr>
                <w:kern w:val="0"/>
                <w:sz w:val="28"/>
                <w:szCs w:val="28"/>
              </w:rPr>
            </w:pPr>
            <w:r>
              <w:rPr>
                <w:kern w:val="0"/>
                <w:sz w:val="28"/>
                <w:szCs w:val="28"/>
              </w:rPr>
              <w:t>22</w:t>
            </w:r>
          </w:p>
        </w:tc>
        <w:tc>
          <w:tcPr>
            <w:tcW w:w="898" w:type="dxa"/>
            <w:shd w:val="clear" w:color="auto" w:fill="auto"/>
            <w:vAlign w:val="center"/>
          </w:tcPr>
          <w:p>
            <w:pPr>
              <w:widowControl/>
              <w:spacing w:line="240" w:lineRule="auto"/>
              <w:ind w:firstLine="0" w:firstLineChars="0"/>
              <w:jc w:val="center"/>
              <w:rPr>
                <w:kern w:val="0"/>
                <w:sz w:val="28"/>
                <w:szCs w:val="28"/>
              </w:rPr>
            </w:pPr>
            <w:r>
              <w:rPr>
                <w:kern w:val="0"/>
                <w:sz w:val="28"/>
                <w:szCs w:val="28"/>
              </w:rPr>
              <w:t>285</w:t>
            </w:r>
          </w:p>
        </w:tc>
        <w:tc>
          <w:tcPr>
            <w:tcW w:w="900" w:type="dxa"/>
            <w:shd w:val="clear" w:color="auto" w:fill="auto"/>
            <w:vAlign w:val="center"/>
          </w:tcPr>
          <w:p>
            <w:pPr>
              <w:widowControl/>
              <w:spacing w:line="240" w:lineRule="auto"/>
              <w:ind w:firstLine="0" w:firstLineChars="0"/>
              <w:jc w:val="center"/>
              <w:rPr>
                <w:kern w:val="0"/>
                <w:sz w:val="28"/>
                <w:szCs w:val="28"/>
              </w:rPr>
            </w:pPr>
            <w:r>
              <w:rPr>
                <w:kern w:val="0"/>
                <w:sz w:val="28"/>
                <w:szCs w:val="28"/>
              </w:rPr>
              <w:t>19</w:t>
            </w:r>
          </w:p>
        </w:tc>
        <w:tc>
          <w:tcPr>
            <w:tcW w:w="1131" w:type="dxa"/>
            <w:shd w:val="clear" w:color="auto" w:fill="auto"/>
            <w:vAlign w:val="center"/>
          </w:tcPr>
          <w:p>
            <w:pPr>
              <w:widowControl/>
              <w:spacing w:line="240" w:lineRule="auto"/>
              <w:ind w:firstLine="0" w:firstLineChars="0"/>
              <w:jc w:val="center"/>
              <w:rPr>
                <w:kern w:val="0"/>
                <w:sz w:val="28"/>
                <w:szCs w:val="28"/>
              </w:rPr>
            </w:pPr>
            <w:r>
              <w:rPr>
                <w:kern w:val="0"/>
                <w:sz w:val="28"/>
                <w:szCs w:val="28"/>
              </w:rPr>
              <w:t>240</w:t>
            </w:r>
          </w:p>
        </w:tc>
        <w:tc>
          <w:tcPr>
            <w:tcW w:w="902" w:type="dxa"/>
            <w:shd w:val="clear" w:color="auto" w:fill="auto"/>
            <w:vAlign w:val="center"/>
          </w:tcPr>
          <w:p>
            <w:pPr>
              <w:widowControl/>
              <w:spacing w:line="240" w:lineRule="auto"/>
              <w:ind w:firstLine="0" w:firstLineChars="0"/>
              <w:jc w:val="center"/>
              <w:rPr>
                <w:kern w:val="0"/>
                <w:sz w:val="28"/>
                <w:szCs w:val="28"/>
              </w:rPr>
            </w:pPr>
            <w:r>
              <w:rPr>
                <w:kern w:val="0"/>
                <w:sz w:val="28"/>
                <w:szCs w:val="28"/>
              </w:rPr>
              <w:t>16</w:t>
            </w:r>
          </w:p>
        </w:tc>
        <w:tc>
          <w:tcPr>
            <w:tcW w:w="898" w:type="dxa"/>
            <w:shd w:val="clear" w:color="auto" w:fill="auto"/>
            <w:vAlign w:val="center"/>
          </w:tcPr>
          <w:p>
            <w:pPr>
              <w:widowControl/>
              <w:spacing w:line="240" w:lineRule="auto"/>
              <w:ind w:firstLine="0" w:firstLineChars="0"/>
              <w:jc w:val="center"/>
              <w:rPr>
                <w:kern w:val="0"/>
                <w:sz w:val="28"/>
                <w:szCs w:val="28"/>
              </w:rPr>
            </w:pPr>
            <w:r>
              <w:rPr>
                <w:kern w:val="0"/>
                <w:sz w:val="28"/>
                <w:szCs w:val="28"/>
              </w:rPr>
              <w:t>210</w:t>
            </w:r>
          </w:p>
        </w:tc>
        <w:tc>
          <w:tcPr>
            <w:tcW w:w="900" w:type="dxa"/>
            <w:shd w:val="clear" w:color="auto" w:fill="auto"/>
            <w:vAlign w:val="center"/>
          </w:tcPr>
          <w:p>
            <w:pPr>
              <w:widowControl/>
              <w:spacing w:line="240" w:lineRule="auto"/>
              <w:ind w:firstLine="0" w:firstLineChars="0"/>
              <w:jc w:val="center"/>
              <w:rPr>
                <w:kern w:val="0"/>
                <w:sz w:val="28"/>
                <w:szCs w:val="28"/>
              </w:rPr>
            </w:pPr>
            <w:r>
              <w:rPr>
                <w:kern w:val="0"/>
                <w:sz w:val="28"/>
                <w:szCs w:val="28"/>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1082" w:type="dxa"/>
            <w:shd w:val="clear" w:color="auto" w:fill="auto"/>
            <w:vAlign w:val="center"/>
          </w:tcPr>
          <w:p>
            <w:pPr>
              <w:widowControl/>
              <w:spacing w:line="240" w:lineRule="auto"/>
              <w:ind w:firstLine="0" w:firstLineChars="0"/>
              <w:jc w:val="center"/>
              <w:rPr>
                <w:kern w:val="0"/>
                <w:sz w:val="28"/>
                <w:szCs w:val="28"/>
              </w:rPr>
            </w:pPr>
            <w:r>
              <w:rPr>
                <w:kern w:val="0"/>
                <w:sz w:val="28"/>
                <w:szCs w:val="28"/>
              </w:rPr>
              <w:t>青化镇</w:t>
            </w:r>
          </w:p>
        </w:tc>
        <w:tc>
          <w:tcPr>
            <w:tcW w:w="932" w:type="dxa"/>
            <w:shd w:val="clear" w:color="auto" w:fill="auto"/>
            <w:vAlign w:val="center"/>
          </w:tcPr>
          <w:p>
            <w:pPr>
              <w:widowControl/>
              <w:spacing w:line="240" w:lineRule="auto"/>
              <w:ind w:firstLine="0" w:firstLineChars="0"/>
              <w:jc w:val="center"/>
              <w:rPr>
                <w:kern w:val="0"/>
                <w:sz w:val="28"/>
                <w:szCs w:val="28"/>
              </w:rPr>
            </w:pPr>
            <w:r>
              <w:rPr>
                <w:kern w:val="0"/>
                <w:sz w:val="28"/>
                <w:szCs w:val="28"/>
              </w:rPr>
              <w:t>282</w:t>
            </w:r>
          </w:p>
        </w:tc>
        <w:tc>
          <w:tcPr>
            <w:tcW w:w="1133" w:type="dxa"/>
            <w:shd w:val="clear" w:color="auto" w:fill="auto"/>
            <w:vAlign w:val="center"/>
          </w:tcPr>
          <w:p>
            <w:pPr>
              <w:widowControl/>
              <w:spacing w:line="240" w:lineRule="auto"/>
              <w:ind w:firstLine="0" w:firstLineChars="0"/>
              <w:jc w:val="center"/>
              <w:rPr>
                <w:kern w:val="0"/>
                <w:sz w:val="28"/>
                <w:szCs w:val="28"/>
              </w:rPr>
            </w:pPr>
            <w:r>
              <w:rPr>
                <w:kern w:val="0"/>
                <w:sz w:val="28"/>
                <w:szCs w:val="28"/>
              </w:rPr>
              <w:t>18.8</w:t>
            </w:r>
          </w:p>
        </w:tc>
        <w:tc>
          <w:tcPr>
            <w:tcW w:w="898" w:type="dxa"/>
            <w:shd w:val="clear" w:color="auto" w:fill="auto"/>
            <w:vAlign w:val="center"/>
          </w:tcPr>
          <w:p>
            <w:pPr>
              <w:widowControl/>
              <w:spacing w:line="240" w:lineRule="auto"/>
              <w:ind w:firstLine="0" w:firstLineChars="0"/>
              <w:jc w:val="center"/>
              <w:rPr>
                <w:kern w:val="0"/>
                <w:sz w:val="28"/>
                <w:szCs w:val="28"/>
              </w:rPr>
            </w:pPr>
            <w:r>
              <w:rPr>
                <w:kern w:val="0"/>
                <w:sz w:val="28"/>
                <w:szCs w:val="28"/>
              </w:rPr>
              <w:t>243</w:t>
            </w:r>
          </w:p>
        </w:tc>
        <w:tc>
          <w:tcPr>
            <w:tcW w:w="900" w:type="dxa"/>
            <w:shd w:val="clear" w:color="auto" w:fill="auto"/>
            <w:vAlign w:val="center"/>
          </w:tcPr>
          <w:p>
            <w:pPr>
              <w:widowControl/>
              <w:spacing w:line="240" w:lineRule="auto"/>
              <w:ind w:firstLine="0" w:firstLineChars="0"/>
              <w:jc w:val="center"/>
              <w:rPr>
                <w:kern w:val="0"/>
                <w:sz w:val="28"/>
                <w:szCs w:val="28"/>
              </w:rPr>
            </w:pPr>
            <w:r>
              <w:rPr>
                <w:kern w:val="0"/>
                <w:sz w:val="28"/>
                <w:szCs w:val="28"/>
              </w:rPr>
              <w:t>16.2</w:t>
            </w:r>
          </w:p>
        </w:tc>
        <w:tc>
          <w:tcPr>
            <w:tcW w:w="1131" w:type="dxa"/>
            <w:shd w:val="clear" w:color="auto" w:fill="auto"/>
            <w:vAlign w:val="center"/>
          </w:tcPr>
          <w:p>
            <w:pPr>
              <w:widowControl/>
              <w:spacing w:line="240" w:lineRule="auto"/>
              <w:ind w:firstLine="0" w:firstLineChars="0"/>
              <w:jc w:val="center"/>
              <w:rPr>
                <w:kern w:val="0"/>
                <w:sz w:val="28"/>
                <w:szCs w:val="28"/>
              </w:rPr>
            </w:pPr>
            <w:r>
              <w:rPr>
                <w:kern w:val="0"/>
                <w:sz w:val="28"/>
                <w:szCs w:val="28"/>
              </w:rPr>
              <w:t>210</w:t>
            </w:r>
          </w:p>
        </w:tc>
        <w:tc>
          <w:tcPr>
            <w:tcW w:w="902" w:type="dxa"/>
            <w:shd w:val="clear" w:color="auto" w:fill="auto"/>
            <w:vAlign w:val="center"/>
          </w:tcPr>
          <w:p>
            <w:pPr>
              <w:widowControl/>
              <w:spacing w:line="240" w:lineRule="auto"/>
              <w:ind w:firstLine="0" w:firstLineChars="0"/>
              <w:jc w:val="center"/>
              <w:rPr>
                <w:kern w:val="0"/>
                <w:sz w:val="28"/>
                <w:szCs w:val="28"/>
              </w:rPr>
            </w:pPr>
            <w:r>
              <w:rPr>
                <w:kern w:val="0"/>
                <w:sz w:val="28"/>
                <w:szCs w:val="28"/>
              </w:rPr>
              <w:t>14</w:t>
            </w:r>
          </w:p>
        </w:tc>
        <w:tc>
          <w:tcPr>
            <w:tcW w:w="898" w:type="dxa"/>
            <w:shd w:val="clear" w:color="auto" w:fill="auto"/>
            <w:vAlign w:val="center"/>
          </w:tcPr>
          <w:p>
            <w:pPr>
              <w:widowControl/>
              <w:spacing w:line="240" w:lineRule="auto"/>
              <w:ind w:firstLine="0" w:firstLineChars="0"/>
              <w:jc w:val="center"/>
              <w:rPr>
                <w:kern w:val="0"/>
                <w:sz w:val="28"/>
                <w:szCs w:val="28"/>
              </w:rPr>
            </w:pPr>
            <w:r>
              <w:rPr>
                <w:kern w:val="0"/>
                <w:sz w:val="28"/>
                <w:szCs w:val="28"/>
              </w:rPr>
              <w:t>192</w:t>
            </w:r>
          </w:p>
        </w:tc>
        <w:tc>
          <w:tcPr>
            <w:tcW w:w="900" w:type="dxa"/>
            <w:shd w:val="clear" w:color="auto" w:fill="auto"/>
            <w:vAlign w:val="center"/>
          </w:tcPr>
          <w:p>
            <w:pPr>
              <w:widowControl/>
              <w:spacing w:line="240" w:lineRule="auto"/>
              <w:ind w:firstLine="0" w:firstLineChars="0"/>
              <w:jc w:val="center"/>
              <w:rPr>
                <w:kern w:val="0"/>
                <w:sz w:val="28"/>
                <w:szCs w:val="28"/>
              </w:rPr>
            </w:pPr>
            <w:r>
              <w:rPr>
                <w:kern w:val="0"/>
                <w:sz w:val="28"/>
                <w:szCs w:val="28"/>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1082" w:type="dxa"/>
            <w:shd w:val="clear" w:color="auto" w:fill="auto"/>
            <w:vAlign w:val="center"/>
          </w:tcPr>
          <w:p>
            <w:pPr>
              <w:widowControl/>
              <w:spacing w:line="240" w:lineRule="auto"/>
              <w:ind w:firstLine="0" w:firstLineChars="0"/>
              <w:jc w:val="center"/>
              <w:rPr>
                <w:kern w:val="0"/>
                <w:sz w:val="28"/>
                <w:szCs w:val="28"/>
              </w:rPr>
            </w:pPr>
            <w:r>
              <w:rPr>
                <w:kern w:val="0"/>
                <w:sz w:val="28"/>
                <w:szCs w:val="28"/>
              </w:rPr>
              <w:t>枣林镇</w:t>
            </w:r>
          </w:p>
        </w:tc>
        <w:tc>
          <w:tcPr>
            <w:tcW w:w="932" w:type="dxa"/>
            <w:shd w:val="clear" w:color="auto" w:fill="auto"/>
            <w:vAlign w:val="center"/>
          </w:tcPr>
          <w:p>
            <w:pPr>
              <w:widowControl/>
              <w:spacing w:line="240" w:lineRule="auto"/>
              <w:ind w:firstLine="0" w:firstLineChars="0"/>
              <w:jc w:val="center"/>
              <w:rPr>
                <w:kern w:val="0"/>
                <w:sz w:val="28"/>
                <w:szCs w:val="28"/>
              </w:rPr>
            </w:pPr>
            <w:r>
              <w:rPr>
                <w:kern w:val="0"/>
                <w:sz w:val="28"/>
                <w:szCs w:val="28"/>
              </w:rPr>
              <w:t>291</w:t>
            </w:r>
          </w:p>
        </w:tc>
        <w:tc>
          <w:tcPr>
            <w:tcW w:w="1133" w:type="dxa"/>
            <w:shd w:val="clear" w:color="auto" w:fill="auto"/>
            <w:vAlign w:val="center"/>
          </w:tcPr>
          <w:p>
            <w:pPr>
              <w:widowControl/>
              <w:spacing w:line="240" w:lineRule="auto"/>
              <w:ind w:firstLine="0" w:firstLineChars="0"/>
              <w:jc w:val="center"/>
              <w:rPr>
                <w:kern w:val="0"/>
                <w:sz w:val="28"/>
                <w:szCs w:val="28"/>
              </w:rPr>
            </w:pPr>
            <w:r>
              <w:rPr>
                <w:kern w:val="0"/>
                <w:sz w:val="28"/>
                <w:szCs w:val="28"/>
              </w:rPr>
              <w:t>19.4</w:t>
            </w:r>
          </w:p>
        </w:tc>
        <w:tc>
          <w:tcPr>
            <w:tcW w:w="898" w:type="dxa"/>
            <w:shd w:val="clear" w:color="auto" w:fill="auto"/>
            <w:vAlign w:val="center"/>
          </w:tcPr>
          <w:p>
            <w:pPr>
              <w:widowControl/>
              <w:spacing w:line="240" w:lineRule="auto"/>
              <w:ind w:firstLine="0" w:firstLineChars="0"/>
              <w:jc w:val="center"/>
              <w:rPr>
                <w:kern w:val="0"/>
                <w:sz w:val="28"/>
                <w:szCs w:val="28"/>
              </w:rPr>
            </w:pPr>
            <w:r>
              <w:rPr>
                <w:kern w:val="0"/>
                <w:sz w:val="28"/>
                <w:szCs w:val="28"/>
              </w:rPr>
              <w:t>270</w:t>
            </w:r>
          </w:p>
        </w:tc>
        <w:tc>
          <w:tcPr>
            <w:tcW w:w="900" w:type="dxa"/>
            <w:shd w:val="clear" w:color="auto" w:fill="auto"/>
            <w:vAlign w:val="center"/>
          </w:tcPr>
          <w:p>
            <w:pPr>
              <w:widowControl/>
              <w:spacing w:line="240" w:lineRule="auto"/>
              <w:ind w:firstLine="0" w:firstLineChars="0"/>
              <w:jc w:val="center"/>
              <w:rPr>
                <w:kern w:val="0"/>
                <w:sz w:val="28"/>
                <w:szCs w:val="28"/>
              </w:rPr>
            </w:pPr>
            <w:r>
              <w:rPr>
                <w:kern w:val="0"/>
                <w:sz w:val="28"/>
                <w:szCs w:val="28"/>
              </w:rPr>
              <w:t>18</w:t>
            </w:r>
          </w:p>
        </w:tc>
        <w:tc>
          <w:tcPr>
            <w:tcW w:w="1131" w:type="dxa"/>
            <w:shd w:val="clear" w:color="auto" w:fill="auto"/>
            <w:vAlign w:val="center"/>
          </w:tcPr>
          <w:p>
            <w:pPr>
              <w:widowControl/>
              <w:spacing w:line="240" w:lineRule="auto"/>
              <w:ind w:firstLine="0" w:firstLineChars="0"/>
              <w:jc w:val="center"/>
              <w:rPr>
                <w:kern w:val="0"/>
                <w:sz w:val="28"/>
                <w:szCs w:val="28"/>
              </w:rPr>
            </w:pPr>
            <w:r>
              <w:rPr>
                <w:kern w:val="0"/>
                <w:sz w:val="28"/>
                <w:szCs w:val="28"/>
              </w:rPr>
              <w:t>225</w:t>
            </w:r>
          </w:p>
        </w:tc>
        <w:tc>
          <w:tcPr>
            <w:tcW w:w="902" w:type="dxa"/>
            <w:shd w:val="clear" w:color="auto" w:fill="auto"/>
            <w:vAlign w:val="center"/>
          </w:tcPr>
          <w:p>
            <w:pPr>
              <w:widowControl/>
              <w:spacing w:line="240" w:lineRule="auto"/>
              <w:ind w:firstLine="0" w:firstLineChars="0"/>
              <w:jc w:val="center"/>
              <w:rPr>
                <w:kern w:val="0"/>
                <w:sz w:val="28"/>
                <w:szCs w:val="28"/>
              </w:rPr>
            </w:pPr>
            <w:r>
              <w:rPr>
                <w:kern w:val="0"/>
                <w:sz w:val="28"/>
                <w:szCs w:val="28"/>
              </w:rPr>
              <w:t>15</w:t>
            </w:r>
          </w:p>
        </w:tc>
        <w:tc>
          <w:tcPr>
            <w:tcW w:w="898" w:type="dxa"/>
            <w:shd w:val="clear" w:color="auto" w:fill="auto"/>
            <w:vAlign w:val="center"/>
          </w:tcPr>
          <w:p>
            <w:pPr>
              <w:widowControl/>
              <w:spacing w:line="240" w:lineRule="auto"/>
              <w:ind w:firstLine="0" w:firstLineChars="0"/>
              <w:jc w:val="center"/>
              <w:rPr>
                <w:kern w:val="0"/>
                <w:sz w:val="28"/>
                <w:szCs w:val="28"/>
              </w:rPr>
            </w:pPr>
            <w:r>
              <w:rPr>
                <w:kern w:val="0"/>
                <w:sz w:val="28"/>
                <w:szCs w:val="28"/>
              </w:rPr>
              <w:t>186</w:t>
            </w:r>
          </w:p>
        </w:tc>
        <w:tc>
          <w:tcPr>
            <w:tcW w:w="900" w:type="dxa"/>
            <w:shd w:val="clear" w:color="auto" w:fill="auto"/>
            <w:vAlign w:val="center"/>
          </w:tcPr>
          <w:p>
            <w:pPr>
              <w:widowControl/>
              <w:spacing w:line="240" w:lineRule="auto"/>
              <w:ind w:firstLine="0" w:firstLineChars="0"/>
              <w:jc w:val="center"/>
              <w:rPr>
                <w:kern w:val="0"/>
                <w:sz w:val="28"/>
                <w:szCs w:val="28"/>
              </w:rPr>
            </w:pPr>
            <w:r>
              <w:rPr>
                <w:kern w:val="0"/>
                <w:sz w:val="28"/>
                <w:szCs w:val="28"/>
              </w:rPr>
              <w:t>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1082" w:type="dxa"/>
            <w:shd w:val="clear" w:color="auto" w:fill="auto"/>
            <w:vAlign w:val="center"/>
          </w:tcPr>
          <w:p>
            <w:pPr>
              <w:widowControl/>
              <w:spacing w:line="240" w:lineRule="auto"/>
              <w:ind w:firstLine="0" w:firstLineChars="0"/>
              <w:jc w:val="center"/>
              <w:rPr>
                <w:kern w:val="0"/>
                <w:sz w:val="28"/>
                <w:szCs w:val="28"/>
              </w:rPr>
            </w:pPr>
            <w:r>
              <w:rPr>
                <w:kern w:val="0"/>
                <w:sz w:val="28"/>
                <w:szCs w:val="28"/>
              </w:rPr>
              <w:t>蒲村镇</w:t>
            </w:r>
          </w:p>
        </w:tc>
        <w:tc>
          <w:tcPr>
            <w:tcW w:w="932" w:type="dxa"/>
            <w:shd w:val="clear" w:color="auto" w:fill="auto"/>
            <w:vAlign w:val="center"/>
          </w:tcPr>
          <w:p>
            <w:pPr>
              <w:widowControl/>
              <w:spacing w:line="240" w:lineRule="auto"/>
              <w:ind w:firstLine="0" w:firstLineChars="0"/>
              <w:jc w:val="center"/>
              <w:rPr>
                <w:kern w:val="0"/>
                <w:sz w:val="28"/>
                <w:szCs w:val="28"/>
              </w:rPr>
            </w:pPr>
            <w:r>
              <w:rPr>
                <w:kern w:val="0"/>
                <w:sz w:val="28"/>
                <w:szCs w:val="28"/>
              </w:rPr>
              <w:t>276</w:t>
            </w:r>
          </w:p>
        </w:tc>
        <w:tc>
          <w:tcPr>
            <w:tcW w:w="1133" w:type="dxa"/>
            <w:shd w:val="clear" w:color="auto" w:fill="auto"/>
            <w:vAlign w:val="center"/>
          </w:tcPr>
          <w:p>
            <w:pPr>
              <w:widowControl/>
              <w:spacing w:line="240" w:lineRule="auto"/>
              <w:ind w:firstLine="0" w:firstLineChars="0"/>
              <w:jc w:val="center"/>
              <w:rPr>
                <w:kern w:val="0"/>
                <w:sz w:val="28"/>
                <w:szCs w:val="28"/>
              </w:rPr>
            </w:pPr>
            <w:r>
              <w:rPr>
                <w:kern w:val="0"/>
                <w:sz w:val="28"/>
                <w:szCs w:val="28"/>
              </w:rPr>
              <w:t>18.4</w:t>
            </w:r>
          </w:p>
        </w:tc>
        <w:tc>
          <w:tcPr>
            <w:tcW w:w="898" w:type="dxa"/>
            <w:shd w:val="clear" w:color="auto" w:fill="auto"/>
            <w:vAlign w:val="center"/>
          </w:tcPr>
          <w:p>
            <w:pPr>
              <w:widowControl/>
              <w:spacing w:line="240" w:lineRule="auto"/>
              <w:ind w:firstLine="0" w:firstLineChars="0"/>
              <w:jc w:val="center"/>
              <w:rPr>
                <w:kern w:val="0"/>
                <w:sz w:val="28"/>
                <w:szCs w:val="28"/>
              </w:rPr>
            </w:pPr>
            <w:r>
              <w:rPr>
                <w:kern w:val="0"/>
                <w:sz w:val="28"/>
                <w:szCs w:val="28"/>
              </w:rPr>
              <w:t>249</w:t>
            </w:r>
          </w:p>
        </w:tc>
        <w:tc>
          <w:tcPr>
            <w:tcW w:w="900" w:type="dxa"/>
            <w:shd w:val="clear" w:color="auto" w:fill="auto"/>
            <w:vAlign w:val="center"/>
          </w:tcPr>
          <w:p>
            <w:pPr>
              <w:widowControl/>
              <w:spacing w:line="240" w:lineRule="auto"/>
              <w:ind w:firstLine="0" w:firstLineChars="0"/>
              <w:jc w:val="center"/>
              <w:rPr>
                <w:kern w:val="0"/>
                <w:sz w:val="28"/>
                <w:szCs w:val="28"/>
              </w:rPr>
            </w:pPr>
            <w:r>
              <w:rPr>
                <w:kern w:val="0"/>
                <w:sz w:val="28"/>
                <w:szCs w:val="28"/>
              </w:rPr>
              <w:t>16.6</w:t>
            </w:r>
          </w:p>
        </w:tc>
        <w:tc>
          <w:tcPr>
            <w:tcW w:w="1131" w:type="dxa"/>
            <w:shd w:val="clear" w:color="auto" w:fill="auto"/>
            <w:vAlign w:val="center"/>
          </w:tcPr>
          <w:p>
            <w:pPr>
              <w:widowControl/>
              <w:spacing w:line="240" w:lineRule="auto"/>
              <w:ind w:firstLine="0" w:firstLineChars="0"/>
              <w:jc w:val="center"/>
              <w:rPr>
                <w:kern w:val="0"/>
                <w:sz w:val="28"/>
                <w:szCs w:val="28"/>
              </w:rPr>
            </w:pPr>
            <w:r>
              <w:rPr>
                <w:kern w:val="0"/>
                <w:sz w:val="28"/>
                <w:szCs w:val="28"/>
              </w:rPr>
              <w:t>219</w:t>
            </w:r>
          </w:p>
        </w:tc>
        <w:tc>
          <w:tcPr>
            <w:tcW w:w="902" w:type="dxa"/>
            <w:shd w:val="clear" w:color="auto" w:fill="auto"/>
            <w:vAlign w:val="center"/>
          </w:tcPr>
          <w:p>
            <w:pPr>
              <w:widowControl/>
              <w:spacing w:line="240" w:lineRule="auto"/>
              <w:ind w:firstLine="0" w:firstLineChars="0"/>
              <w:jc w:val="center"/>
              <w:rPr>
                <w:kern w:val="0"/>
                <w:sz w:val="28"/>
                <w:szCs w:val="28"/>
              </w:rPr>
            </w:pPr>
            <w:r>
              <w:rPr>
                <w:kern w:val="0"/>
                <w:sz w:val="28"/>
                <w:szCs w:val="28"/>
              </w:rPr>
              <w:t>14.6</w:t>
            </w:r>
          </w:p>
        </w:tc>
        <w:tc>
          <w:tcPr>
            <w:tcW w:w="898" w:type="dxa"/>
            <w:shd w:val="clear" w:color="auto" w:fill="auto"/>
            <w:vAlign w:val="center"/>
          </w:tcPr>
          <w:p>
            <w:pPr>
              <w:widowControl/>
              <w:spacing w:line="240" w:lineRule="auto"/>
              <w:ind w:firstLine="0" w:firstLineChars="0"/>
              <w:jc w:val="center"/>
              <w:rPr>
                <w:kern w:val="0"/>
                <w:sz w:val="28"/>
                <w:szCs w:val="28"/>
              </w:rPr>
            </w:pPr>
            <w:r>
              <w:rPr>
                <w:kern w:val="0"/>
                <w:sz w:val="28"/>
                <w:szCs w:val="28"/>
              </w:rPr>
              <w:t>195</w:t>
            </w:r>
          </w:p>
        </w:tc>
        <w:tc>
          <w:tcPr>
            <w:tcW w:w="900" w:type="dxa"/>
            <w:shd w:val="clear" w:color="auto" w:fill="auto"/>
            <w:vAlign w:val="center"/>
          </w:tcPr>
          <w:p>
            <w:pPr>
              <w:widowControl/>
              <w:spacing w:line="240" w:lineRule="auto"/>
              <w:ind w:firstLine="0" w:firstLineChars="0"/>
              <w:jc w:val="center"/>
              <w:rPr>
                <w:kern w:val="0"/>
                <w:sz w:val="28"/>
                <w:szCs w:val="28"/>
              </w:rPr>
            </w:pPr>
            <w:r>
              <w:rPr>
                <w:kern w:val="0"/>
                <w:sz w:val="28"/>
                <w:szCs w:val="28"/>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1082" w:type="dxa"/>
            <w:shd w:val="clear" w:color="auto" w:fill="auto"/>
            <w:vAlign w:val="center"/>
          </w:tcPr>
          <w:p>
            <w:pPr>
              <w:widowControl/>
              <w:spacing w:line="240" w:lineRule="auto"/>
              <w:ind w:firstLine="0" w:firstLineChars="0"/>
              <w:jc w:val="center"/>
              <w:rPr>
                <w:kern w:val="0"/>
                <w:sz w:val="28"/>
                <w:szCs w:val="28"/>
              </w:rPr>
            </w:pPr>
            <w:r>
              <w:rPr>
                <w:kern w:val="0"/>
                <w:sz w:val="28"/>
                <w:szCs w:val="28"/>
              </w:rPr>
              <w:t>雍川镇</w:t>
            </w:r>
          </w:p>
        </w:tc>
        <w:tc>
          <w:tcPr>
            <w:tcW w:w="932" w:type="dxa"/>
            <w:shd w:val="clear" w:color="auto" w:fill="auto"/>
            <w:vAlign w:val="center"/>
          </w:tcPr>
          <w:p>
            <w:pPr>
              <w:widowControl/>
              <w:spacing w:line="240" w:lineRule="auto"/>
              <w:ind w:firstLine="0" w:firstLineChars="0"/>
              <w:jc w:val="center"/>
              <w:rPr>
                <w:kern w:val="0"/>
                <w:sz w:val="28"/>
                <w:szCs w:val="28"/>
              </w:rPr>
            </w:pPr>
            <w:r>
              <w:rPr>
                <w:kern w:val="0"/>
                <w:sz w:val="28"/>
                <w:szCs w:val="28"/>
              </w:rPr>
              <w:t>279</w:t>
            </w:r>
          </w:p>
        </w:tc>
        <w:tc>
          <w:tcPr>
            <w:tcW w:w="1133" w:type="dxa"/>
            <w:shd w:val="clear" w:color="auto" w:fill="auto"/>
            <w:vAlign w:val="center"/>
          </w:tcPr>
          <w:p>
            <w:pPr>
              <w:widowControl/>
              <w:spacing w:line="240" w:lineRule="auto"/>
              <w:ind w:firstLine="0" w:firstLineChars="0"/>
              <w:jc w:val="center"/>
              <w:rPr>
                <w:kern w:val="0"/>
                <w:sz w:val="28"/>
                <w:szCs w:val="28"/>
              </w:rPr>
            </w:pPr>
            <w:r>
              <w:rPr>
                <w:kern w:val="0"/>
                <w:sz w:val="28"/>
                <w:szCs w:val="28"/>
              </w:rPr>
              <w:t>18.6</w:t>
            </w:r>
          </w:p>
        </w:tc>
        <w:tc>
          <w:tcPr>
            <w:tcW w:w="898" w:type="dxa"/>
            <w:shd w:val="clear" w:color="auto" w:fill="auto"/>
            <w:vAlign w:val="center"/>
          </w:tcPr>
          <w:p>
            <w:pPr>
              <w:widowControl/>
              <w:spacing w:line="240" w:lineRule="auto"/>
              <w:ind w:firstLine="0" w:firstLineChars="0"/>
              <w:jc w:val="center"/>
              <w:rPr>
                <w:kern w:val="0"/>
                <w:sz w:val="28"/>
                <w:szCs w:val="28"/>
              </w:rPr>
            </w:pPr>
            <w:r>
              <w:rPr>
                <w:kern w:val="0"/>
                <w:sz w:val="28"/>
                <w:szCs w:val="28"/>
              </w:rPr>
              <w:t>252</w:t>
            </w:r>
          </w:p>
        </w:tc>
        <w:tc>
          <w:tcPr>
            <w:tcW w:w="900" w:type="dxa"/>
            <w:shd w:val="clear" w:color="auto" w:fill="auto"/>
            <w:vAlign w:val="center"/>
          </w:tcPr>
          <w:p>
            <w:pPr>
              <w:widowControl/>
              <w:spacing w:line="240" w:lineRule="auto"/>
              <w:ind w:firstLine="0" w:firstLineChars="0"/>
              <w:jc w:val="center"/>
              <w:rPr>
                <w:kern w:val="0"/>
                <w:sz w:val="28"/>
                <w:szCs w:val="28"/>
              </w:rPr>
            </w:pPr>
            <w:r>
              <w:rPr>
                <w:kern w:val="0"/>
                <w:sz w:val="28"/>
                <w:szCs w:val="28"/>
              </w:rPr>
              <w:t>16.8</w:t>
            </w:r>
          </w:p>
        </w:tc>
        <w:tc>
          <w:tcPr>
            <w:tcW w:w="1131" w:type="dxa"/>
            <w:shd w:val="clear" w:color="auto" w:fill="auto"/>
            <w:vAlign w:val="center"/>
          </w:tcPr>
          <w:p>
            <w:pPr>
              <w:widowControl/>
              <w:spacing w:line="240" w:lineRule="auto"/>
              <w:ind w:firstLine="0" w:firstLineChars="0"/>
              <w:jc w:val="center"/>
              <w:rPr>
                <w:kern w:val="0"/>
                <w:sz w:val="28"/>
                <w:szCs w:val="28"/>
              </w:rPr>
            </w:pPr>
            <w:r>
              <w:rPr>
                <w:kern w:val="0"/>
                <w:sz w:val="28"/>
                <w:szCs w:val="28"/>
              </w:rPr>
              <w:t>222</w:t>
            </w:r>
          </w:p>
        </w:tc>
        <w:tc>
          <w:tcPr>
            <w:tcW w:w="902" w:type="dxa"/>
            <w:shd w:val="clear" w:color="auto" w:fill="auto"/>
            <w:vAlign w:val="center"/>
          </w:tcPr>
          <w:p>
            <w:pPr>
              <w:widowControl/>
              <w:spacing w:line="240" w:lineRule="auto"/>
              <w:ind w:firstLine="0" w:firstLineChars="0"/>
              <w:jc w:val="center"/>
              <w:rPr>
                <w:kern w:val="0"/>
                <w:sz w:val="28"/>
                <w:szCs w:val="28"/>
              </w:rPr>
            </w:pPr>
            <w:r>
              <w:rPr>
                <w:kern w:val="0"/>
                <w:sz w:val="28"/>
                <w:szCs w:val="28"/>
              </w:rPr>
              <w:t>14.8</w:t>
            </w:r>
          </w:p>
        </w:tc>
        <w:tc>
          <w:tcPr>
            <w:tcW w:w="898" w:type="dxa"/>
            <w:shd w:val="clear" w:color="auto" w:fill="auto"/>
            <w:vAlign w:val="center"/>
          </w:tcPr>
          <w:p>
            <w:pPr>
              <w:widowControl/>
              <w:spacing w:line="240" w:lineRule="auto"/>
              <w:ind w:firstLine="0" w:firstLineChars="0"/>
              <w:jc w:val="center"/>
              <w:rPr>
                <w:kern w:val="0"/>
                <w:sz w:val="28"/>
                <w:szCs w:val="28"/>
              </w:rPr>
            </w:pPr>
            <w:r>
              <w:rPr>
                <w:kern w:val="0"/>
                <w:sz w:val="28"/>
                <w:szCs w:val="28"/>
              </w:rPr>
              <w:t>186</w:t>
            </w:r>
          </w:p>
        </w:tc>
        <w:tc>
          <w:tcPr>
            <w:tcW w:w="900" w:type="dxa"/>
            <w:shd w:val="clear" w:color="auto" w:fill="auto"/>
            <w:vAlign w:val="center"/>
          </w:tcPr>
          <w:p>
            <w:pPr>
              <w:widowControl/>
              <w:spacing w:line="240" w:lineRule="auto"/>
              <w:ind w:firstLine="0" w:firstLineChars="0"/>
              <w:jc w:val="center"/>
              <w:rPr>
                <w:kern w:val="0"/>
                <w:sz w:val="28"/>
                <w:szCs w:val="28"/>
              </w:rPr>
            </w:pPr>
            <w:r>
              <w:rPr>
                <w:kern w:val="0"/>
                <w:sz w:val="28"/>
                <w:szCs w:val="28"/>
              </w:rPr>
              <w:t>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1082" w:type="dxa"/>
            <w:shd w:val="clear" w:color="auto" w:fill="auto"/>
            <w:vAlign w:val="center"/>
          </w:tcPr>
          <w:p>
            <w:pPr>
              <w:widowControl/>
              <w:spacing w:line="240" w:lineRule="auto"/>
              <w:ind w:firstLine="0" w:firstLineChars="0"/>
              <w:jc w:val="center"/>
              <w:rPr>
                <w:kern w:val="0"/>
                <w:sz w:val="28"/>
                <w:szCs w:val="28"/>
              </w:rPr>
            </w:pPr>
            <w:r>
              <w:rPr>
                <w:kern w:val="0"/>
                <w:sz w:val="28"/>
                <w:szCs w:val="28"/>
              </w:rPr>
              <w:t>故郡镇</w:t>
            </w:r>
          </w:p>
        </w:tc>
        <w:tc>
          <w:tcPr>
            <w:tcW w:w="932" w:type="dxa"/>
            <w:shd w:val="clear" w:color="auto" w:fill="auto"/>
            <w:vAlign w:val="center"/>
          </w:tcPr>
          <w:p>
            <w:pPr>
              <w:widowControl/>
              <w:spacing w:line="240" w:lineRule="auto"/>
              <w:ind w:firstLine="0" w:firstLineChars="0"/>
              <w:jc w:val="center"/>
              <w:rPr>
                <w:kern w:val="0"/>
                <w:sz w:val="28"/>
                <w:szCs w:val="28"/>
              </w:rPr>
            </w:pPr>
            <w:r>
              <w:rPr>
                <w:kern w:val="0"/>
                <w:sz w:val="28"/>
                <w:szCs w:val="28"/>
              </w:rPr>
              <w:t>261</w:t>
            </w:r>
          </w:p>
        </w:tc>
        <w:tc>
          <w:tcPr>
            <w:tcW w:w="1133" w:type="dxa"/>
            <w:shd w:val="clear" w:color="auto" w:fill="auto"/>
            <w:vAlign w:val="center"/>
          </w:tcPr>
          <w:p>
            <w:pPr>
              <w:widowControl/>
              <w:spacing w:line="240" w:lineRule="auto"/>
              <w:ind w:firstLine="0" w:firstLineChars="0"/>
              <w:jc w:val="center"/>
              <w:rPr>
                <w:kern w:val="0"/>
                <w:sz w:val="28"/>
                <w:szCs w:val="28"/>
              </w:rPr>
            </w:pPr>
            <w:r>
              <w:rPr>
                <w:kern w:val="0"/>
                <w:sz w:val="28"/>
                <w:szCs w:val="28"/>
              </w:rPr>
              <w:t>17.4</w:t>
            </w:r>
          </w:p>
        </w:tc>
        <w:tc>
          <w:tcPr>
            <w:tcW w:w="898" w:type="dxa"/>
            <w:shd w:val="clear" w:color="auto" w:fill="auto"/>
            <w:vAlign w:val="center"/>
          </w:tcPr>
          <w:p>
            <w:pPr>
              <w:widowControl/>
              <w:spacing w:line="240" w:lineRule="auto"/>
              <w:ind w:firstLine="0" w:firstLineChars="0"/>
              <w:jc w:val="center"/>
              <w:rPr>
                <w:kern w:val="0"/>
                <w:sz w:val="28"/>
                <w:szCs w:val="28"/>
              </w:rPr>
            </w:pPr>
            <w:r>
              <w:rPr>
                <w:kern w:val="0"/>
                <w:sz w:val="28"/>
                <w:szCs w:val="28"/>
              </w:rPr>
              <w:t>246</w:t>
            </w:r>
          </w:p>
        </w:tc>
        <w:tc>
          <w:tcPr>
            <w:tcW w:w="900" w:type="dxa"/>
            <w:shd w:val="clear" w:color="auto" w:fill="auto"/>
            <w:vAlign w:val="center"/>
          </w:tcPr>
          <w:p>
            <w:pPr>
              <w:widowControl/>
              <w:spacing w:line="240" w:lineRule="auto"/>
              <w:ind w:firstLine="0" w:firstLineChars="0"/>
              <w:jc w:val="center"/>
              <w:rPr>
                <w:kern w:val="0"/>
                <w:sz w:val="28"/>
                <w:szCs w:val="28"/>
              </w:rPr>
            </w:pPr>
            <w:r>
              <w:rPr>
                <w:kern w:val="0"/>
                <w:sz w:val="28"/>
                <w:szCs w:val="28"/>
              </w:rPr>
              <w:t>16.4</w:t>
            </w:r>
          </w:p>
        </w:tc>
        <w:tc>
          <w:tcPr>
            <w:tcW w:w="1131" w:type="dxa"/>
            <w:shd w:val="clear" w:color="auto" w:fill="auto"/>
            <w:vAlign w:val="center"/>
          </w:tcPr>
          <w:p>
            <w:pPr>
              <w:widowControl/>
              <w:spacing w:line="240" w:lineRule="auto"/>
              <w:ind w:firstLine="0" w:firstLineChars="0"/>
              <w:jc w:val="center"/>
              <w:rPr>
                <w:kern w:val="0"/>
                <w:sz w:val="28"/>
                <w:szCs w:val="28"/>
              </w:rPr>
            </w:pPr>
            <w:r>
              <w:rPr>
                <w:kern w:val="0"/>
                <w:sz w:val="28"/>
                <w:szCs w:val="28"/>
              </w:rPr>
              <w:t>207</w:t>
            </w:r>
          </w:p>
        </w:tc>
        <w:tc>
          <w:tcPr>
            <w:tcW w:w="902" w:type="dxa"/>
            <w:shd w:val="clear" w:color="auto" w:fill="auto"/>
            <w:vAlign w:val="center"/>
          </w:tcPr>
          <w:p>
            <w:pPr>
              <w:widowControl/>
              <w:spacing w:line="240" w:lineRule="auto"/>
              <w:ind w:firstLine="0" w:firstLineChars="0"/>
              <w:jc w:val="center"/>
              <w:rPr>
                <w:kern w:val="0"/>
                <w:sz w:val="28"/>
                <w:szCs w:val="28"/>
              </w:rPr>
            </w:pPr>
            <w:r>
              <w:rPr>
                <w:kern w:val="0"/>
                <w:sz w:val="28"/>
                <w:szCs w:val="28"/>
              </w:rPr>
              <w:t>13.8</w:t>
            </w:r>
          </w:p>
        </w:tc>
        <w:tc>
          <w:tcPr>
            <w:tcW w:w="898" w:type="dxa"/>
            <w:shd w:val="clear" w:color="auto" w:fill="auto"/>
            <w:vAlign w:val="center"/>
          </w:tcPr>
          <w:p>
            <w:pPr>
              <w:widowControl/>
              <w:spacing w:line="240" w:lineRule="auto"/>
              <w:ind w:firstLine="0" w:firstLineChars="0"/>
              <w:jc w:val="center"/>
              <w:rPr>
                <w:kern w:val="0"/>
                <w:sz w:val="28"/>
                <w:szCs w:val="28"/>
              </w:rPr>
            </w:pPr>
            <w:r>
              <w:rPr>
                <w:kern w:val="0"/>
                <w:sz w:val="28"/>
                <w:szCs w:val="28"/>
              </w:rPr>
              <w:t>180</w:t>
            </w:r>
          </w:p>
        </w:tc>
        <w:tc>
          <w:tcPr>
            <w:tcW w:w="900" w:type="dxa"/>
            <w:shd w:val="clear" w:color="auto" w:fill="auto"/>
            <w:vAlign w:val="center"/>
          </w:tcPr>
          <w:p>
            <w:pPr>
              <w:widowControl/>
              <w:spacing w:line="240" w:lineRule="auto"/>
              <w:ind w:firstLine="0" w:firstLineChars="0"/>
              <w:jc w:val="center"/>
              <w:rPr>
                <w:kern w:val="0"/>
                <w:sz w:val="28"/>
                <w:szCs w:val="28"/>
              </w:rPr>
            </w:pPr>
            <w:r>
              <w:rPr>
                <w:kern w:val="0"/>
                <w:sz w:val="28"/>
                <w:szCs w:val="2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1082" w:type="dxa"/>
            <w:shd w:val="clear" w:color="auto" w:fill="auto"/>
            <w:vAlign w:val="center"/>
          </w:tcPr>
          <w:p>
            <w:pPr>
              <w:widowControl/>
              <w:spacing w:line="240" w:lineRule="auto"/>
              <w:ind w:firstLine="0" w:firstLineChars="0"/>
              <w:jc w:val="center"/>
              <w:rPr>
                <w:kern w:val="0"/>
                <w:sz w:val="28"/>
                <w:szCs w:val="28"/>
              </w:rPr>
            </w:pPr>
            <w:r>
              <w:rPr>
                <w:kern w:val="0"/>
                <w:sz w:val="28"/>
                <w:szCs w:val="28"/>
              </w:rPr>
              <w:t>京当镇</w:t>
            </w:r>
          </w:p>
        </w:tc>
        <w:tc>
          <w:tcPr>
            <w:tcW w:w="932" w:type="dxa"/>
            <w:shd w:val="clear" w:color="auto" w:fill="auto"/>
            <w:vAlign w:val="center"/>
          </w:tcPr>
          <w:p>
            <w:pPr>
              <w:widowControl/>
              <w:spacing w:line="240" w:lineRule="auto"/>
              <w:ind w:firstLine="0" w:firstLineChars="0"/>
              <w:jc w:val="center"/>
              <w:rPr>
                <w:kern w:val="0"/>
                <w:sz w:val="28"/>
                <w:szCs w:val="28"/>
              </w:rPr>
            </w:pPr>
            <w:r>
              <w:rPr>
                <w:kern w:val="0"/>
                <w:sz w:val="28"/>
                <w:szCs w:val="28"/>
              </w:rPr>
              <w:t>276</w:t>
            </w:r>
          </w:p>
        </w:tc>
        <w:tc>
          <w:tcPr>
            <w:tcW w:w="1133" w:type="dxa"/>
            <w:shd w:val="clear" w:color="auto" w:fill="auto"/>
            <w:vAlign w:val="center"/>
          </w:tcPr>
          <w:p>
            <w:pPr>
              <w:widowControl/>
              <w:spacing w:line="240" w:lineRule="auto"/>
              <w:ind w:firstLine="0" w:firstLineChars="0"/>
              <w:jc w:val="center"/>
              <w:rPr>
                <w:kern w:val="0"/>
                <w:sz w:val="28"/>
                <w:szCs w:val="28"/>
              </w:rPr>
            </w:pPr>
            <w:r>
              <w:rPr>
                <w:kern w:val="0"/>
                <w:sz w:val="28"/>
                <w:szCs w:val="28"/>
              </w:rPr>
              <w:t>18.4</w:t>
            </w:r>
          </w:p>
        </w:tc>
        <w:tc>
          <w:tcPr>
            <w:tcW w:w="898" w:type="dxa"/>
            <w:shd w:val="clear" w:color="auto" w:fill="auto"/>
            <w:vAlign w:val="center"/>
          </w:tcPr>
          <w:p>
            <w:pPr>
              <w:widowControl/>
              <w:spacing w:line="240" w:lineRule="auto"/>
              <w:ind w:firstLine="0" w:firstLineChars="0"/>
              <w:jc w:val="center"/>
              <w:rPr>
                <w:kern w:val="0"/>
                <w:sz w:val="28"/>
                <w:szCs w:val="28"/>
              </w:rPr>
            </w:pPr>
            <w:r>
              <w:rPr>
                <w:kern w:val="0"/>
                <w:sz w:val="28"/>
                <w:szCs w:val="28"/>
              </w:rPr>
              <w:t>249</w:t>
            </w:r>
          </w:p>
        </w:tc>
        <w:tc>
          <w:tcPr>
            <w:tcW w:w="900" w:type="dxa"/>
            <w:shd w:val="clear" w:color="auto" w:fill="auto"/>
            <w:vAlign w:val="center"/>
          </w:tcPr>
          <w:p>
            <w:pPr>
              <w:widowControl/>
              <w:spacing w:line="240" w:lineRule="auto"/>
              <w:ind w:firstLine="0" w:firstLineChars="0"/>
              <w:jc w:val="center"/>
              <w:rPr>
                <w:kern w:val="0"/>
                <w:sz w:val="28"/>
                <w:szCs w:val="28"/>
              </w:rPr>
            </w:pPr>
            <w:r>
              <w:rPr>
                <w:kern w:val="0"/>
                <w:sz w:val="28"/>
                <w:szCs w:val="28"/>
              </w:rPr>
              <w:t>16.6</w:t>
            </w:r>
          </w:p>
        </w:tc>
        <w:tc>
          <w:tcPr>
            <w:tcW w:w="1131" w:type="dxa"/>
            <w:shd w:val="clear" w:color="auto" w:fill="auto"/>
            <w:vAlign w:val="center"/>
          </w:tcPr>
          <w:p>
            <w:pPr>
              <w:widowControl/>
              <w:spacing w:line="240" w:lineRule="auto"/>
              <w:ind w:firstLine="0" w:firstLineChars="0"/>
              <w:jc w:val="center"/>
              <w:rPr>
                <w:kern w:val="0"/>
                <w:sz w:val="28"/>
                <w:szCs w:val="28"/>
              </w:rPr>
            </w:pPr>
            <w:r>
              <w:rPr>
                <w:kern w:val="0"/>
                <w:sz w:val="28"/>
                <w:szCs w:val="28"/>
              </w:rPr>
              <w:t>219</w:t>
            </w:r>
          </w:p>
        </w:tc>
        <w:tc>
          <w:tcPr>
            <w:tcW w:w="902" w:type="dxa"/>
            <w:shd w:val="clear" w:color="auto" w:fill="auto"/>
            <w:vAlign w:val="center"/>
          </w:tcPr>
          <w:p>
            <w:pPr>
              <w:widowControl/>
              <w:spacing w:line="240" w:lineRule="auto"/>
              <w:ind w:firstLine="0" w:firstLineChars="0"/>
              <w:jc w:val="center"/>
              <w:rPr>
                <w:kern w:val="0"/>
                <w:sz w:val="28"/>
                <w:szCs w:val="28"/>
              </w:rPr>
            </w:pPr>
            <w:r>
              <w:rPr>
                <w:kern w:val="0"/>
                <w:sz w:val="28"/>
                <w:szCs w:val="28"/>
              </w:rPr>
              <w:t>14.6</w:t>
            </w:r>
          </w:p>
        </w:tc>
        <w:tc>
          <w:tcPr>
            <w:tcW w:w="898" w:type="dxa"/>
            <w:shd w:val="clear" w:color="auto" w:fill="auto"/>
            <w:vAlign w:val="center"/>
          </w:tcPr>
          <w:p>
            <w:pPr>
              <w:widowControl/>
              <w:spacing w:line="240" w:lineRule="auto"/>
              <w:ind w:firstLine="0" w:firstLineChars="0"/>
              <w:jc w:val="center"/>
              <w:rPr>
                <w:kern w:val="0"/>
                <w:sz w:val="28"/>
                <w:szCs w:val="28"/>
              </w:rPr>
            </w:pPr>
            <w:r>
              <w:rPr>
                <w:kern w:val="0"/>
                <w:sz w:val="28"/>
                <w:szCs w:val="28"/>
              </w:rPr>
              <w:t>186</w:t>
            </w:r>
          </w:p>
        </w:tc>
        <w:tc>
          <w:tcPr>
            <w:tcW w:w="900" w:type="dxa"/>
            <w:shd w:val="clear" w:color="auto" w:fill="auto"/>
            <w:vAlign w:val="center"/>
          </w:tcPr>
          <w:p>
            <w:pPr>
              <w:widowControl/>
              <w:spacing w:line="240" w:lineRule="auto"/>
              <w:ind w:firstLine="0" w:firstLineChars="0"/>
              <w:jc w:val="center"/>
              <w:rPr>
                <w:kern w:val="0"/>
                <w:sz w:val="28"/>
                <w:szCs w:val="28"/>
              </w:rPr>
            </w:pPr>
            <w:r>
              <w:rPr>
                <w:kern w:val="0"/>
                <w:sz w:val="28"/>
                <w:szCs w:val="28"/>
              </w:rPr>
              <w:t>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7" w:hRule="atLeast"/>
          <w:jc w:val="center"/>
        </w:trPr>
        <w:tc>
          <w:tcPr>
            <w:tcW w:w="8776" w:type="dxa"/>
            <w:gridSpan w:val="9"/>
            <w:shd w:val="clear" w:color="auto" w:fill="auto"/>
            <w:vAlign w:val="top"/>
          </w:tcPr>
          <w:p>
            <w:pPr>
              <w:widowControl/>
              <w:spacing w:line="240" w:lineRule="auto"/>
              <w:ind w:firstLine="0" w:firstLineChars="0"/>
              <w:jc w:val="both"/>
              <w:rPr>
                <w:kern w:val="0"/>
                <w:sz w:val="18"/>
                <w:szCs w:val="18"/>
              </w:rPr>
            </w:pPr>
            <w:r>
              <w:rPr>
                <w:kern w:val="0"/>
                <w:sz w:val="18"/>
                <w:szCs w:val="18"/>
              </w:rPr>
              <w:t>说明：</w:t>
            </w:r>
          </w:p>
          <w:p>
            <w:pPr>
              <w:widowControl/>
              <w:spacing w:line="240" w:lineRule="auto"/>
              <w:ind w:firstLine="0" w:firstLineChars="0"/>
              <w:jc w:val="both"/>
              <w:rPr>
                <w:kern w:val="0"/>
                <w:sz w:val="18"/>
                <w:szCs w:val="18"/>
              </w:rPr>
            </w:pPr>
            <w:r>
              <w:rPr>
                <w:kern w:val="0"/>
                <w:sz w:val="18"/>
                <w:szCs w:val="18"/>
              </w:rPr>
              <w:t>1.基准地价内涵：</w:t>
            </w:r>
            <w:r>
              <w:rPr>
                <w:rFonts w:hint="eastAsia" w:ascii="宋体" w:hAnsi="宋体" w:cs="宋体"/>
                <w:kern w:val="0"/>
                <w:sz w:val="18"/>
                <w:szCs w:val="18"/>
              </w:rPr>
              <w:t>①</w:t>
            </w:r>
            <w:r>
              <w:rPr>
                <w:kern w:val="0"/>
                <w:sz w:val="18"/>
                <w:szCs w:val="18"/>
              </w:rPr>
              <w:t>基准日：2020年12月31日；</w:t>
            </w:r>
            <w:r>
              <w:rPr>
                <w:rFonts w:hint="eastAsia" w:ascii="宋体" w:hAnsi="宋体" w:cs="宋体"/>
                <w:kern w:val="0"/>
                <w:sz w:val="18"/>
                <w:szCs w:val="18"/>
              </w:rPr>
              <w:t>②</w:t>
            </w:r>
            <w:r>
              <w:rPr>
                <w:kern w:val="0"/>
                <w:sz w:val="18"/>
                <w:szCs w:val="18"/>
              </w:rPr>
              <w:t>土地开发程度：“四通一平”（通路、通电、供水、通讯、场地平整）；</w:t>
            </w:r>
            <w:r>
              <w:rPr>
                <w:rFonts w:hint="eastAsia" w:ascii="宋体" w:hAnsi="宋体" w:cs="宋体"/>
                <w:kern w:val="0"/>
                <w:sz w:val="18"/>
                <w:szCs w:val="18"/>
              </w:rPr>
              <w:t>③</w:t>
            </w:r>
            <w:r>
              <w:rPr>
                <w:kern w:val="0"/>
                <w:sz w:val="18"/>
                <w:szCs w:val="18"/>
              </w:rPr>
              <w:t>商业服务业用地平均容积率为1.6，居住用地平均容积率为1.6，工矿和仓储用地平均容积率为1.0，公共管理与公共服务用地平均容积率为1.2；；</w:t>
            </w:r>
            <w:r>
              <w:rPr>
                <w:rFonts w:hint="eastAsia" w:ascii="宋体" w:hAnsi="宋体" w:cs="宋体"/>
                <w:kern w:val="0"/>
                <w:sz w:val="18"/>
                <w:szCs w:val="18"/>
              </w:rPr>
              <w:t>④</w:t>
            </w:r>
            <w:r>
              <w:rPr>
                <w:kern w:val="0"/>
                <w:sz w:val="18"/>
                <w:szCs w:val="18"/>
              </w:rPr>
              <w:t>土地使用年期：商业服务业用地为40年，居住用地为70年，工矿和仓储用地为50年，公共管理与公共服务用地为50年。</w:t>
            </w:r>
            <w:r>
              <w:rPr>
                <w:kern w:val="0"/>
                <w:sz w:val="18"/>
                <w:szCs w:val="18"/>
              </w:rPr>
              <w:fldChar w:fldCharType="begin"/>
            </w:r>
            <w:r>
              <w:rPr>
                <w:kern w:val="0"/>
                <w:sz w:val="18"/>
                <w:szCs w:val="18"/>
              </w:rPr>
              <w:instrText xml:space="preserve"> = 5 \* GB3 </w:instrText>
            </w:r>
            <w:r>
              <w:rPr>
                <w:kern w:val="0"/>
                <w:sz w:val="18"/>
                <w:szCs w:val="18"/>
              </w:rPr>
              <w:fldChar w:fldCharType="separate"/>
            </w:r>
            <w:r>
              <w:rPr>
                <w:rFonts w:hint="eastAsia" w:ascii="宋体" w:hAnsi="宋体" w:cs="宋体"/>
                <w:kern w:val="0"/>
                <w:sz w:val="18"/>
                <w:szCs w:val="18"/>
              </w:rPr>
              <w:t>⑤</w:t>
            </w:r>
            <w:r>
              <w:rPr>
                <w:kern w:val="0"/>
                <w:sz w:val="18"/>
                <w:szCs w:val="18"/>
              </w:rPr>
              <w:fldChar w:fldCharType="end"/>
            </w:r>
            <w:r>
              <w:rPr>
                <w:kern w:val="0"/>
                <w:sz w:val="18"/>
                <w:szCs w:val="18"/>
              </w:rPr>
              <w:t>使用权类型：出让。</w:t>
            </w:r>
          </w:p>
          <w:p>
            <w:pPr>
              <w:widowControl/>
              <w:spacing w:line="240" w:lineRule="auto"/>
              <w:ind w:firstLine="0" w:firstLineChars="0"/>
              <w:jc w:val="both"/>
              <w:rPr>
                <w:kern w:val="0"/>
                <w:sz w:val="18"/>
                <w:szCs w:val="18"/>
              </w:rPr>
            </w:pPr>
            <w:r>
              <w:rPr>
                <w:kern w:val="0"/>
                <w:sz w:val="18"/>
                <w:szCs w:val="18"/>
              </w:rPr>
              <w:t>2.土地用途分类说明：基准地价土地用途分类依据国家《土地利用现状分类》（GB/T 21010-2017）、《国土空间调查、规划、用途管制用地用海分类指南（试行）》标准，其中商业服务业用地包括零售商业用地、批发市场用地、餐饮用地、旅馆用地、公用设施营业网点用地、商务金融用地、娱乐康体用地、其他商业服务业用地；居住用地包括城镇住宅用地、镇社区服务设施用地；工矿和仓储用地包括工矿用地、仓储用地；公共管理与公共服务用地包括机关团体用地、科研用地、文化用地、教育用地、体育用地、医疗卫生用地、社会福利用地。具有多种用途的土地应按建筑面积分摊土地面积分别确定土地用途。公用设施用地、绿地与开敞空间用地、特殊用地参照公共管理与公共服务用地。交通运输用地中的交通场站用地参照公共管理与公共服务用地，其余参照工矿和仓储用地。</w:t>
            </w:r>
          </w:p>
        </w:tc>
      </w:tr>
    </w:tbl>
    <w:p>
      <w:pPr>
        <w:widowControl/>
        <w:spacing w:line="240" w:lineRule="auto"/>
        <w:ind w:firstLine="0" w:firstLineChars="0"/>
        <w:jc w:val="left"/>
        <w:rPr>
          <w:b/>
        </w:rPr>
      </w:pPr>
      <w:r>
        <w:rPr>
          <w:b/>
        </w:rPr>
        <w:br w:type="page"/>
      </w:r>
    </w:p>
    <w:p>
      <w:pPr>
        <w:adjustRightInd w:val="0"/>
        <w:ind w:firstLine="0" w:firstLineChars="0"/>
        <w:jc w:val="center"/>
        <w:outlineLvl w:val="3"/>
        <w:rPr>
          <w:b/>
          <w:sz w:val="32"/>
          <w:szCs w:val="32"/>
        </w:rPr>
      </w:pPr>
      <w:r>
        <w:rPr>
          <w:b/>
          <w:sz w:val="32"/>
          <w:szCs w:val="32"/>
        </w:rPr>
        <w:t>岐山县凤鸣工业园基准地价表</w:t>
      </w:r>
    </w:p>
    <w:p>
      <w:pPr>
        <w:adjustRightInd w:val="0"/>
        <w:ind w:right="420" w:firstLine="0" w:firstLineChars="0"/>
        <w:jc w:val="right"/>
        <w:rPr>
          <w:bCs/>
          <w:sz w:val="28"/>
          <w:szCs w:val="28"/>
        </w:rPr>
      </w:pPr>
    </w:p>
    <w:p>
      <w:pPr>
        <w:adjustRightInd w:val="0"/>
        <w:ind w:right="420" w:firstLine="0" w:firstLineChars="0"/>
        <w:jc w:val="right"/>
        <w:rPr>
          <w:bCs/>
          <w:sz w:val="28"/>
          <w:szCs w:val="28"/>
        </w:rPr>
      </w:pPr>
      <w:r>
        <w:rPr>
          <w:bCs/>
          <w:sz w:val="28"/>
          <w:szCs w:val="28"/>
        </w:rPr>
        <w:t>单位：元/平方米（万元/亩）</w:t>
      </w:r>
    </w:p>
    <w:tbl>
      <w:tblPr>
        <w:tblStyle w:val="4"/>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3"/>
        <w:gridCol w:w="2897"/>
        <w:gridCol w:w="3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473" w:type="dxa"/>
            <w:vMerge w:val="restart"/>
            <w:shd w:val="clear" w:color="auto" w:fill="auto"/>
            <w:vAlign w:val="center"/>
          </w:tcPr>
          <w:p>
            <w:pPr>
              <w:widowControl/>
              <w:spacing w:line="240" w:lineRule="auto"/>
              <w:ind w:firstLine="0" w:firstLineChars="0"/>
              <w:jc w:val="center"/>
              <w:rPr>
                <w:b/>
                <w:bCs/>
                <w:kern w:val="0"/>
                <w:sz w:val="28"/>
                <w:szCs w:val="28"/>
              </w:rPr>
            </w:pPr>
            <w:r>
              <w:rPr>
                <w:b/>
                <w:bCs/>
                <w:kern w:val="0"/>
                <w:sz w:val="28"/>
                <w:szCs w:val="28"/>
              </w:rPr>
              <w:t>园区</w:t>
            </w:r>
          </w:p>
        </w:tc>
        <w:tc>
          <w:tcPr>
            <w:tcW w:w="6126" w:type="dxa"/>
            <w:gridSpan w:val="2"/>
            <w:shd w:val="clear" w:color="auto" w:fill="auto"/>
            <w:vAlign w:val="center"/>
          </w:tcPr>
          <w:p>
            <w:pPr>
              <w:widowControl/>
              <w:spacing w:line="240" w:lineRule="auto"/>
              <w:ind w:firstLine="0" w:firstLineChars="0"/>
              <w:jc w:val="center"/>
              <w:rPr>
                <w:b/>
                <w:bCs/>
                <w:kern w:val="0"/>
                <w:sz w:val="28"/>
                <w:szCs w:val="28"/>
              </w:rPr>
            </w:pPr>
            <w:r>
              <w:rPr>
                <w:b/>
                <w:bCs/>
                <w:kern w:val="0"/>
                <w:sz w:val="28"/>
                <w:szCs w:val="28"/>
              </w:rPr>
              <w:t>工矿仓和仓储用地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473" w:type="dxa"/>
            <w:vMerge w:val="continue"/>
            <w:vAlign w:val="center"/>
          </w:tcPr>
          <w:p>
            <w:pPr>
              <w:widowControl/>
              <w:spacing w:line="240" w:lineRule="auto"/>
              <w:ind w:firstLine="0" w:firstLineChars="0"/>
              <w:jc w:val="left"/>
              <w:rPr>
                <w:kern w:val="0"/>
                <w:sz w:val="28"/>
                <w:szCs w:val="28"/>
              </w:rPr>
            </w:pPr>
          </w:p>
        </w:tc>
        <w:tc>
          <w:tcPr>
            <w:tcW w:w="2897" w:type="dxa"/>
            <w:shd w:val="clear" w:color="auto" w:fill="auto"/>
            <w:vAlign w:val="center"/>
          </w:tcPr>
          <w:p>
            <w:pPr>
              <w:widowControl/>
              <w:spacing w:line="240" w:lineRule="auto"/>
              <w:ind w:firstLine="0" w:firstLineChars="0"/>
              <w:jc w:val="center"/>
              <w:rPr>
                <w:kern w:val="0"/>
                <w:sz w:val="28"/>
                <w:szCs w:val="28"/>
              </w:rPr>
            </w:pPr>
            <w:r>
              <w:rPr>
                <w:kern w:val="0"/>
                <w:sz w:val="28"/>
                <w:szCs w:val="28"/>
              </w:rPr>
              <w:t>元/平方米</w:t>
            </w:r>
          </w:p>
        </w:tc>
        <w:tc>
          <w:tcPr>
            <w:tcW w:w="3229" w:type="dxa"/>
            <w:shd w:val="clear" w:color="auto" w:fill="auto"/>
            <w:vAlign w:val="center"/>
          </w:tcPr>
          <w:p>
            <w:pPr>
              <w:widowControl/>
              <w:spacing w:line="240" w:lineRule="auto"/>
              <w:ind w:firstLine="0" w:firstLineChars="0"/>
              <w:jc w:val="center"/>
              <w:rPr>
                <w:kern w:val="0"/>
                <w:sz w:val="28"/>
                <w:szCs w:val="28"/>
              </w:rPr>
            </w:pPr>
            <w:r>
              <w:rPr>
                <w:kern w:val="0"/>
                <w:sz w:val="28"/>
                <w:szCs w:val="28"/>
              </w:rPr>
              <w:t>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473" w:type="dxa"/>
            <w:shd w:val="clear" w:color="auto" w:fill="auto"/>
            <w:vAlign w:val="center"/>
          </w:tcPr>
          <w:p>
            <w:pPr>
              <w:widowControl/>
              <w:spacing w:line="240" w:lineRule="auto"/>
              <w:ind w:firstLine="0" w:firstLineChars="0"/>
              <w:jc w:val="center"/>
              <w:rPr>
                <w:kern w:val="0"/>
                <w:sz w:val="28"/>
                <w:szCs w:val="28"/>
              </w:rPr>
            </w:pPr>
            <w:r>
              <w:rPr>
                <w:kern w:val="0"/>
                <w:sz w:val="28"/>
                <w:szCs w:val="28"/>
              </w:rPr>
              <w:t>科创产业园</w:t>
            </w:r>
          </w:p>
        </w:tc>
        <w:tc>
          <w:tcPr>
            <w:tcW w:w="2897" w:type="dxa"/>
            <w:shd w:val="clear" w:color="auto" w:fill="auto"/>
            <w:vAlign w:val="center"/>
          </w:tcPr>
          <w:p>
            <w:pPr>
              <w:widowControl/>
              <w:spacing w:line="240" w:lineRule="auto"/>
              <w:ind w:firstLine="0" w:firstLineChars="0"/>
              <w:jc w:val="center"/>
              <w:rPr>
                <w:kern w:val="0"/>
                <w:sz w:val="28"/>
                <w:szCs w:val="28"/>
              </w:rPr>
            </w:pPr>
            <w:r>
              <w:rPr>
                <w:kern w:val="0"/>
                <w:sz w:val="28"/>
                <w:szCs w:val="28"/>
              </w:rPr>
              <w:t>255</w:t>
            </w:r>
          </w:p>
        </w:tc>
        <w:tc>
          <w:tcPr>
            <w:tcW w:w="3229" w:type="dxa"/>
            <w:shd w:val="clear" w:color="auto" w:fill="auto"/>
            <w:vAlign w:val="center"/>
          </w:tcPr>
          <w:p>
            <w:pPr>
              <w:widowControl/>
              <w:spacing w:line="240" w:lineRule="auto"/>
              <w:ind w:firstLine="0" w:firstLineChars="0"/>
              <w:jc w:val="center"/>
              <w:rPr>
                <w:kern w:val="0"/>
                <w:sz w:val="28"/>
                <w:szCs w:val="28"/>
              </w:rPr>
            </w:pPr>
            <w:r>
              <w:rPr>
                <w:kern w:val="0"/>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473" w:type="dxa"/>
            <w:shd w:val="clear" w:color="auto" w:fill="auto"/>
            <w:vAlign w:val="center"/>
          </w:tcPr>
          <w:p>
            <w:pPr>
              <w:widowControl/>
              <w:spacing w:line="240" w:lineRule="auto"/>
              <w:ind w:firstLine="0" w:firstLineChars="0"/>
              <w:jc w:val="center"/>
              <w:rPr>
                <w:kern w:val="0"/>
                <w:sz w:val="28"/>
                <w:szCs w:val="28"/>
              </w:rPr>
            </w:pPr>
            <w:r>
              <w:rPr>
                <w:kern w:val="0"/>
                <w:sz w:val="28"/>
                <w:szCs w:val="28"/>
              </w:rPr>
              <w:t>食品产业园</w:t>
            </w:r>
          </w:p>
        </w:tc>
        <w:tc>
          <w:tcPr>
            <w:tcW w:w="2897" w:type="dxa"/>
            <w:shd w:val="clear" w:color="auto" w:fill="auto"/>
            <w:vAlign w:val="center"/>
          </w:tcPr>
          <w:p>
            <w:pPr>
              <w:widowControl/>
              <w:spacing w:line="240" w:lineRule="auto"/>
              <w:ind w:firstLine="0" w:firstLineChars="0"/>
              <w:jc w:val="center"/>
              <w:rPr>
                <w:kern w:val="0"/>
                <w:sz w:val="28"/>
                <w:szCs w:val="28"/>
              </w:rPr>
            </w:pPr>
            <w:r>
              <w:rPr>
                <w:kern w:val="0"/>
                <w:sz w:val="28"/>
                <w:szCs w:val="28"/>
              </w:rPr>
              <w:t>255</w:t>
            </w:r>
          </w:p>
        </w:tc>
        <w:tc>
          <w:tcPr>
            <w:tcW w:w="3229" w:type="dxa"/>
            <w:shd w:val="clear" w:color="auto" w:fill="auto"/>
            <w:vAlign w:val="center"/>
          </w:tcPr>
          <w:p>
            <w:pPr>
              <w:widowControl/>
              <w:spacing w:line="240" w:lineRule="auto"/>
              <w:ind w:firstLine="0" w:firstLineChars="0"/>
              <w:jc w:val="center"/>
              <w:rPr>
                <w:kern w:val="0"/>
                <w:sz w:val="28"/>
                <w:szCs w:val="28"/>
              </w:rPr>
            </w:pPr>
            <w:r>
              <w:rPr>
                <w:kern w:val="0"/>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473" w:type="dxa"/>
            <w:shd w:val="clear" w:color="auto" w:fill="auto"/>
            <w:vAlign w:val="center"/>
          </w:tcPr>
          <w:p>
            <w:pPr>
              <w:widowControl/>
              <w:spacing w:line="240" w:lineRule="auto"/>
              <w:ind w:firstLine="0" w:firstLineChars="0"/>
              <w:jc w:val="center"/>
              <w:rPr>
                <w:kern w:val="0"/>
                <w:sz w:val="28"/>
                <w:szCs w:val="28"/>
              </w:rPr>
            </w:pPr>
            <w:r>
              <w:rPr>
                <w:kern w:val="0"/>
                <w:sz w:val="28"/>
                <w:szCs w:val="28"/>
              </w:rPr>
              <w:t>新材料产业园</w:t>
            </w:r>
          </w:p>
        </w:tc>
        <w:tc>
          <w:tcPr>
            <w:tcW w:w="2897" w:type="dxa"/>
            <w:shd w:val="clear" w:color="auto" w:fill="auto"/>
            <w:vAlign w:val="center"/>
          </w:tcPr>
          <w:p>
            <w:pPr>
              <w:widowControl/>
              <w:spacing w:line="240" w:lineRule="auto"/>
              <w:ind w:firstLine="0" w:firstLineChars="0"/>
              <w:jc w:val="center"/>
              <w:rPr>
                <w:kern w:val="0"/>
                <w:sz w:val="28"/>
                <w:szCs w:val="28"/>
              </w:rPr>
            </w:pPr>
            <w:r>
              <w:rPr>
                <w:kern w:val="0"/>
                <w:sz w:val="28"/>
                <w:szCs w:val="28"/>
              </w:rPr>
              <w:t>225</w:t>
            </w:r>
          </w:p>
        </w:tc>
        <w:tc>
          <w:tcPr>
            <w:tcW w:w="3229" w:type="dxa"/>
            <w:shd w:val="clear" w:color="auto" w:fill="auto"/>
            <w:vAlign w:val="center"/>
          </w:tcPr>
          <w:p>
            <w:pPr>
              <w:widowControl/>
              <w:spacing w:line="240" w:lineRule="auto"/>
              <w:ind w:firstLine="0" w:firstLineChars="0"/>
              <w:jc w:val="center"/>
              <w:rPr>
                <w:kern w:val="0"/>
                <w:sz w:val="28"/>
                <w:szCs w:val="28"/>
              </w:rPr>
            </w:pPr>
            <w:r>
              <w:rPr>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8599" w:type="dxa"/>
            <w:gridSpan w:val="3"/>
            <w:shd w:val="clear" w:color="auto" w:fill="auto"/>
            <w:vAlign w:val="center"/>
          </w:tcPr>
          <w:p>
            <w:pPr>
              <w:widowControl/>
              <w:spacing w:line="240" w:lineRule="auto"/>
              <w:ind w:firstLine="0" w:firstLineChars="0"/>
              <w:jc w:val="left"/>
              <w:rPr>
                <w:kern w:val="0"/>
                <w:sz w:val="18"/>
                <w:szCs w:val="18"/>
              </w:rPr>
            </w:pPr>
            <w:r>
              <w:rPr>
                <w:kern w:val="0"/>
                <w:sz w:val="18"/>
                <w:szCs w:val="18"/>
              </w:rPr>
              <w:t>说明：</w:t>
            </w:r>
          </w:p>
          <w:p>
            <w:pPr>
              <w:widowControl/>
              <w:spacing w:line="240" w:lineRule="auto"/>
              <w:ind w:firstLine="0" w:firstLineChars="0"/>
              <w:jc w:val="left"/>
              <w:rPr>
                <w:kern w:val="0"/>
                <w:sz w:val="18"/>
                <w:szCs w:val="18"/>
              </w:rPr>
            </w:pPr>
            <w:r>
              <w:rPr>
                <w:kern w:val="0"/>
                <w:sz w:val="18"/>
                <w:szCs w:val="18"/>
              </w:rPr>
              <w:t>1.基准地价内涵：</w:t>
            </w:r>
            <w:r>
              <w:rPr>
                <w:rFonts w:hint="eastAsia" w:ascii="宋体" w:hAnsi="宋体" w:cs="宋体"/>
                <w:kern w:val="0"/>
                <w:sz w:val="18"/>
                <w:szCs w:val="18"/>
              </w:rPr>
              <w:t>①</w:t>
            </w:r>
            <w:r>
              <w:rPr>
                <w:kern w:val="0"/>
                <w:sz w:val="18"/>
                <w:szCs w:val="18"/>
              </w:rPr>
              <w:t>基准日：2020年12月31日；</w:t>
            </w:r>
            <w:r>
              <w:rPr>
                <w:rFonts w:hint="eastAsia" w:ascii="宋体" w:hAnsi="宋体" w:cs="宋体"/>
                <w:kern w:val="0"/>
                <w:sz w:val="18"/>
                <w:szCs w:val="18"/>
              </w:rPr>
              <w:t>②</w:t>
            </w:r>
            <w:r>
              <w:rPr>
                <w:kern w:val="0"/>
                <w:sz w:val="18"/>
                <w:szCs w:val="18"/>
              </w:rPr>
              <w:t>土地开发程度：“四通一平”（通路、通电、供水、排水、场地平整）；</w:t>
            </w:r>
            <w:r>
              <w:rPr>
                <w:rFonts w:hint="eastAsia" w:ascii="宋体" w:hAnsi="宋体" w:cs="宋体"/>
                <w:kern w:val="0"/>
                <w:sz w:val="18"/>
                <w:szCs w:val="18"/>
              </w:rPr>
              <w:t>③</w:t>
            </w:r>
            <w:r>
              <w:rPr>
                <w:kern w:val="0"/>
                <w:sz w:val="18"/>
                <w:szCs w:val="18"/>
              </w:rPr>
              <w:t>容积率：1.2；</w:t>
            </w:r>
            <w:r>
              <w:rPr>
                <w:rFonts w:hint="eastAsia" w:ascii="宋体" w:hAnsi="宋体" w:cs="宋体"/>
                <w:kern w:val="0"/>
                <w:sz w:val="18"/>
                <w:szCs w:val="18"/>
              </w:rPr>
              <w:t>④</w:t>
            </w:r>
            <w:r>
              <w:rPr>
                <w:kern w:val="0"/>
                <w:sz w:val="18"/>
                <w:szCs w:val="18"/>
              </w:rPr>
              <w:t>土地使用年期：50年。</w:t>
            </w:r>
            <w:r>
              <w:rPr>
                <w:kern w:val="0"/>
                <w:sz w:val="18"/>
                <w:szCs w:val="18"/>
              </w:rPr>
              <w:fldChar w:fldCharType="begin"/>
            </w:r>
            <w:r>
              <w:rPr>
                <w:kern w:val="0"/>
                <w:sz w:val="18"/>
                <w:szCs w:val="18"/>
              </w:rPr>
              <w:instrText xml:space="preserve"> = 5 \* GB3 </w:instrText>
            </w:r>
            <w:r>
              <w:rPr>
                <w:kern w:val="0"/>
                <w:sz w:val="18"/>
                <w:szCs w:val="18"/>
              </w:rPr>
              <w:fldChar w:fldCharType="separate"/>
            </w:r>
            <w:r>
              <w:rPr>
                <w:rFonts w:hint="eastAsia" w:ascii="宋体" w:hAnsi="宋体" w:cs="宋体"/>
                <w:kern w:val="0"/>
                <w:sz w:val="18"/>
                <w:szCs w:val="18"/>
              </w:rPr>
              <w:t>⑤</w:t>
            </w:r>
            <w:r>
              <w:rPr>
                <w:kern w:val="0"/>
                <w:sz w:val="18"/>
                <w:szCs w:val="18"/>
              </w:rPr>
              <w:fldChar w:fldCharType="end"/>
            </w:r>
            <w:r>
              <w:rPr>
                <w:kern w:val="0"/>
                <w:sz w:val="18"/>
                <w:szCs w:val="18"/>
              </w:rPr>
              <w:t>使用权类型：出让。</w:t>
            </w:r>
          </w:p>
          <w:p>
            <w:pPr>
              <w:widowControl/>
              <w:spacing w:line="240" w:lineRule="auto"/>
              <w:ind w:firstLine="0" w:firstLineChars="0"/>
              <w:jc w:val="left"/>
              <w:rPr>
                <w:kern w:val="0"/>
                <w:sz w:val="18"/>
                <w:szCs w:val="18"/>
              </w:rPr>
            </w:pPr>
            <w:r>
              <w:rPr>
                <w:kern w:val="0"/>
                <w:sz w:val="18"/>
                <w:szCs w:val="18"/>
              </w:rPr>
              <w:t>2.交通运输用地参照工矿和仓储用地。</w:t>
            </w:r>
          </w:p>
        </w:tc>
      </w:tr>
      <w:bookmarkEnd w:id="2"/>
    </w:tbl>
    <w:p>
      <w:pPr>
        <w:ind w:firstLine="48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3MzAxMjdmZDU2ZTIzYWFhNzFiMTg3NjQzZmFjMWUifQ=="/>
  </w:docVars>
  <w:rsids>
    <w:rsidRoot w:val="004B4563"/>
    <w:rsid w:val="004B4563"/>
    <w:rsid w:val="00626EDE"/>
    <w:rsid w:val="526F5ABB"/>
    <w:rsid w:val="52E92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2156</Words>
  <Characters>2612</Characters>
  <Lines>20</Lines>
  <Paragraphs>5</Paragraphs>
  <TotalTime>30</TotalTime>
  <ScaleCrop>false</ScaleCrop>
  <LinksUpToDate>false</LinksUpToDate>
  <CharactersWithSpaces>2615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2023-05-28T07:33:00Z</dcterms:created>
  <dc:creator>Microsoft</dc:creator>
  <cp:lastModifiedBy>Administrator</cp:lastModifiedBy>
  <cp:lastPrinted>2023-05-31T06:39:59Z</cp:lastPrinted>
  <dcterms:modified xsi:type="dcterms:W3CDTF">2023-05-31T09:58:59Z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EAD162D49F0141A78C5C7DCD361CAD25_12</vt:lpwstr>
  </property>
</Properties>
</file>