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A91CF">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hAnsi="仿宋_GB2312" w:eastAsia="仿宋_GB2312" w:cs="仿宋_GB2312"/>
          <w:color w:val="auto"/>
          <w:sz w:val="36"/>
          <w:szCs w:val="36"/>
          <w:highlight w:val="none"/>
        </w:rPr>
      </w:pPr>
    </w:p>
    <w:p w14:paraId="683A34C6">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hAnsi="仿宋_GB2312" w:eastAsia="仿宋_GB2312" w:cs="仿宋_GB2312"/>
          <w:color w:val="auto"/>
          <w:sz w:val="36"/>
          <w:szCs w:val="36"/>
          <w:highlight w:val="none"/>
        </w:rPr>
      </w:pPr>
    </w:p>
    <w:p w14:paraId="440232D0">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hAnsi="仿宋_GB2312" w:eastAsia="仿宋_GB2312" w:cs="仿宋_GB2312"/>
          <w:color w:val="auto"/>
          <w:sz w:val="36"/>
          <w:szCs w:val="36"/>
          <w:highlight w:val="none"/>
        </w:rPr>
      </w:pPr>
    </w:p>
    <w:p w14:paraId="620C52FA">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hAnsi="仿宋_GB2312" w:eastAsia="仿宋_GB2312" w:cs="仿宋_GB2312"/>
          <w:color w:val="auto"/>
          <w:sz w:val="36"/>
          <w:szCs w:val="36"/>
          <w:highlight w:val="none"/>
        </w:rPr>
      </w:pPr>
    </w:p>
    <w:p w14:paraId="300874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6"/>
          <w:szCs w:val="36"/>
          <w:highlight w:val="none"/>
        </w:rPr>
      </w:pPr>
    </w:p>
    <w:p w14:paraId="7BDB2D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240EB798">
      <w:pPr>
        <w:keepNext w:val="0"/>
        <w:keepLines w:val="0"/>
        <w:pageBreakBefore w:val="0"/>
        <w:widowControl w:val="0"/>
        <w:kinsoku/>
        <w:wordWrap/>
        <w:overflowPunct/>
        <w:topLinePunct w:val="0"/>
        <w:autoSpaceDE/>
        <w:autoSpaceDN/>
        <w:bidi w:val="0"/>
        <w:adjustRightInd w:val="0"/>
        <w:snapToGrid w:val="0"/>
        <w:spacing w:before="192" w:beforeLines="80" w:line="240" w:lineRule="auto"/>
        <w:ind w:left="0" w:leftChars="0" w:firstLine="0" w:firstLineChars="0"/>
        <w:jc w:val="center"/>
        <w:textAlignment w:val="auto"/>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2023E9A4">
      <w:pPr>
        <w:keepNext w:val="0"/>
        <w:keepLines w:val="0"/>
        <w:pageBreakBefore w:val="0"/>
        <w:widowControl w:val="0"/>
        <w:kinsoku/>
        <w:wordWrap/>
        <w:overflowPunct/>
        <w:topLinePunct w:val="0"/>
        <w:autoSpaceDE/>
        <w:autoSpaceDN/>
        <w:bidi w:val="0"/>
        <w:spacing w:line="240" w:lineRule="auto"/>
        <w:ind w:firstLine="1040"/>
        <w:textAlignment w:val="auto"/>
        <w:rPr>
          <w:rFonts w:eastAsia="仿宋"/>
          <w:color w:val="auto"/>
          <w:sz w:val="44"/>
          <w:szCs w:val="44"/>
          <w:highlight w:val="none"/>
        </w:rPr>
      </w:pPr>
    </w:p>
    <w:p w14:paraId="523BDA6A">
      <w:pPr>
        <w:keepNext w:val="0"/>
        <w:keepLines w:val="0"/>
        <w:pageBreakBefore w:val="0"/>
        <w:widowControl w:val="0"/>
        <w:kinsoku/>
        <w:wordWrap/>
        <w:overflowPunct/>
        <w:topLinePunct w:val="0"/>
        <w:autoSpaceDE/>
        <w:autoSpaceDN/>
        <w:bidi w:val="0"/>
        <w:spacing w:line="240" w:lineRule="auto"/>
        <w:ind w:firstLine="1040"/>
        <w:textAlignment w:val="auto"/>
        <w:rPr>
          <w:rFonts w:eastAsia="仿宋"/>
          <w:color w:val="auto"/>
          <w:sz w:val="44"/>
          <w:szCs w:val="44"/>
          <w:highlight w:val="none"/>
        </w:rPr>
      </w:pPr>
    </w:p>
    <w:p w14:paraId="24B43829">
      <w:pPr>
        <w:keepNext w:val="0"/>
        <w:keepLines w:val="0"/>
        <w:pageBreakBefore w:val="0"/>
        <w:widowControl w:val="0"/>
        <w:kinsoku/>
        <w:wordWrap/>
        <w:overflowPunct/>
        <w:topLinePunct w:val="0"/>
        <w:autoSpaceDE/>
        <w:autoSpaceDN/>
        <w:bidi w:val="0"/>
        <w:spacing w:line="240" w:lineRule="auto"/>
        <w:ind w:firstLine="1040"/>
        <w:textAlignment w:val="auto"/>
        <w:rPr>
          <w:rFonts w:eastAsia="仿宋"/>
          <w:color w:val="auto"/>
          <w:sz w:val="44"/>
          <w:szCs w:val="44"/>
          <w:highlight w:val="none"/>
        </w:rPr>
      </w:pPr>
    </w:p>
    <w:p w14:paraId="76AAA09B">
      <w:pPr>
        <w:keepNext w:val="0"/>
        <w:keepLines w:val="0"/>
        <w:pageBreakBefore w:val="0"/>
        <w:widowControl w:val="0"/>
        <w:kinsoku/>
        <w:wordWrap/>
        <w:overflowPunct/>
        <w:topLinePunct w:val="0"/>
        <w:autoSpaceDE/>
        <w:autoSpaceDN/>
        <w:bidi w:val="0"/>
        <w:spacing w:line="240" w:lineRule="auto"/>
        <w:ind w:firstLine="1040"/>
        <w:textAlignment w:val="auto"/>
        <w:rPr>
          <w:rFonts w:eastAsia="仿宋"/>
          <w:color w:val="auto"/>
          <w:sz w:val="44"/>
          <w:szCs w:val="44"/>
          <w:highlight w:val="none"/>
        </w:rPr>
      </w:pPr>
    </w:p>
    <w:p w14:paraId="1EE28EE3">
      <w:pPr>
        <w:keepNext w:val="0"/>
        <w:keepLines w:val="0"/>
        <w:pageBreakBefore w:val="0"/>
        <w:widowControl w:val="0"/>
        <w:kinsoku/>
        <w:wordWrap/>
        <w:overflowPunct/>
        <w:topLinePunct w:val="0"/>
        <w:autoSpaceDE/>
        <w:autoSpaceDN/>
        <w:bidi w:val="0"/>
        <w:spacing w:line="240" w:lineRule="auto"/>
        <w:ind w:firstLine="1040"/>
        <w:textAlignment w:val="auto"/>
        <w:rPr>
          <w:rFonts w:eastAsia="仿宋"/>
          <w:color w:val="auto"/>
          <w:sz w:val="44"/>
          <w:szCs w:val="44"/>
          <w:highlight w:val="none"/>
        </w:rPr>
      </w:pPr>
    </w:p>
    <w:p w14:paraId="48B65D4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lang w:val="en-US" w:eastAsia="zh-CN"/>
        </w:rPr>
        <w:t xml:space="preserve"> </w:t>
      </w:r>
      <w:r>
        <w:rPr>
          <w:rFonts w:hint="eastAsia" w:ascii="仿宋_GB2312" w:eastAsia="仿宋_GB2312"/>
          <w:color w:val="auto"/>
          <w:sz w:val="36"/>
          <w:szCs w:val="36"/>
          <w:highlight w:val="none"/>
          <w:u w:val="single"/>
          <w:lang w:val="en-US" w:eastAsia="zh-CN"/>
        </w:rPr>
        <w:t xml:space="preserve"> 汽车关键零部件研发生产线(一期)建设项目</w:t>
      </w:r>
    </w:p>
    <w:p w14:paraId="7D8F595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lang w:val="en-US" w:eastAsia="zh-CN"/>
        </w:rPr>
        <w:t xml:space="preserve">  陕西磐固捷创精锻科技有限公司  </w:t>
      </w:r>
    </w:p>
    <w:p w14:paraId="6851B3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二〇二六年四月</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p>
    <w:p w14:paraId="4EC041FE">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ascii="仿宋_GB2312" w:eastAsia="仿宋_GB2312"/>
          <w:color w:val="auto"/>
          <w:sz w:val="36"/>
          <w:szCs w:val="36"/>
          <w:highlight w:val="none"/>
          <w:u w:val="single"/>
        </w:rPr>
      </w:pPr>
      <w:bookmarkStart w:id="0" w:name="_Hlk57884087"/>
    </w:p>
    <w:p w14:paraId="02E638F8">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ascii="仿宋_GB2312" w:eastAsia="仿宋_GB2312"/>
          <w:color w:val="auto"/>
          <w:sz w:val="36"/>
          <w:szCs w:val="36"/>
          <w:highlight w:val="none"/>
        </w:rPr>
      </w:pPr>
    </w:p>
    <w:p w14:paraId="60EA5EAD">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ascii="仿宋_GB2312" w:eastAsia="仿宋_GB2312"/>
          <w:color w:val="auto"/>
          <w:sz w:val="36"/>
          <w:szCs w:val="36"/>
          <w:highlight w:val="none"/>
        </w:rPr>
      </w:pPr>
    </w:p>
    <w:p w14:paraId="195D02EF">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ascii="仿宋_GB2312" w:eastAsia="仿宋_GB2312"/>
          <w:color w:val="auto"/>
          <w:sz w:val="36"/>
          <w:szCs w:val="36"/>
          <w:highlight w:val="none"/>
        </w:rPr>
      </w:pPr>
    </w:p>
    <w:p w14:paraId="45155212">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hint="eastAsia" w:ascii="仿宋_GB2312" w:eastAsia="仿宋_GB2312"/>
          <w:color w:val="auto"/>
          <w:sz w:val="36"/>
          <w:szCs w:val="36"/>
          <w:highlight w:val="none"/>
        </w:rPr>
      </w:pPr>
    </w:p>
    <w:p w14:paraId="1AF90B00">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hint="eastAsia" w:ascii="仿宋_GB2312" w:eastAsia="仿宋_GB2312"/>
          <w:color w:val="auto"/>
          <w:sz w:val="36"/>
          <w:szCs w:val="36"/>
          <w:highlight w:val="none"/>
        </w:rPr>
      </w:pPr>
    </w:p>
    <w:bookmarkEnd w:id="0"/>
    <w:p w14:paraId="16AE6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1498479D">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ascii="仿宋_GB2312" w:eastAsia="仿宋_GB2312"/>
          <w:color w:val="auto"/>
          <w:sz w:val="36"/>
          <w:szCs w:val="36"/>
          <w:highlight w:val="none"/>
        </w:rPr>
        <w:sectPr>
          <w:headerReference r:id="rId5" w:type="default"/>
          <w:footerReference r:id="rId6" w:type="default"/>
          <w:footerReference r:id="rId7" w:type="even"/>
          <w:pgSz w:w="11906" w:h="16838"/>
          <w:pgMar w:top="1701" w:right="1417" w:bottom="1701" w:left="1417" w:header="851" w:footer="1077" w:gutter="0"/>
          <w:pgNumType w:fmt="decimal" w:start="3"/>
          <w:cols w:space="720" w:num="1"/>
          <w:docGrid w:linePitch="312" w:charSpace="0"/>
        </w:sectPr>
      </w:pPr>
    </w:p>
    <w:p w14:paraId="7FB61FD5">
      <w:pPr>
        <w:keepNext w:val="0"/>
        <w:keepLines w:val="0"/>
        <w:pageBreakBefore w:val="0"/>
        <w:widowControl w:val="0"/>
        <w:kinsoku/>
        <w:wordWrap/>
        <w:overflowPunct/>
        <w:topLinePunct w:val="0"/>
        <w:autoSpaceDE/>
        <w:autoSpaceDN/>
        <w:bidi w:val="0"/>
        <w:adjustRightInd w:val="0"/>
        <w:snapToGrid w:val="0"/>
        <w:spacing w:line="240" w:lineRule="auto"/>
        <w:ind w:firstLine="1040"/>
        <w:textAlignment w:val="auto"/>
        <w:rPr>
          <w:rFonts w:ascii="仿宋_GB2312" w:eastAsia="仿宋_GB2312"/>
          <w:color w:val="auto"/>
          <w:sz w:val="36"/>
          <w:szCs w:val="36"/>
          <w:highlight w:val="none"/>
        </w:rPr>
        <w:sectPr>
          <w:pgSz w:w="11906" w:h="16838"/>
          <w:pgMar w:top="1701" w:right="1531" w:bottom="1701" w:left="1531" w:header="851" w:footer="1077" w:gutter="0"/>
          <w:pgNumType w:fmt="decimal" w:start="3"/>
          <w:cols w:space="720" w:num="1"/>
          <w:docGrid w:linePitch="312" w:charSpace="0"/>
        </w:sectPr>
      </w:pPr>
    </w:p>
    <w:p w14:paraId="1CCA66BD">
      <w:pPr>
        <w:pStyle w:val="26"/>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9"/>
        <w:gridCol w:w="3106"/>
        <w:gridCol w:w="1153"/>
        <w:gridCol w:w="3572"/>
      </w:tblGrid>
      <w:tr w14:paraId="39355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1F4567E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7831" w:type="dxa"/>
            <w:gridSpan w:val="3"/>
            <w:noWrap w:val="0"/>
            <w:vAlign w:val="center"/>
          </w:tcPr>
          <w:p w14:paraId="7D61E2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汽车关键零部件研发生产线（一期）建设项目</w:t>
            </w:r>
          </w:p>
        </w:tc>
      </w:tr>
      <w:tr w14:paraId="207E3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5A20B1E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7831" w:type="dxa"/>
            <w:gridSpan w:val="3"/>
            <w:noWrap w:val="0"/>
            <w:vAlign w:val="center"/>
          </w:tcPr>
          <w:p w14:paraId="05748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2601-610362-04-01-758189</w:t>
            </w:r>
          </w:p>
        </w:tc>
      </w:tr>
      <w:tr w14:paraId="543ED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7D1D089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3106" w:type="dxa"/>
            <w:noWrap w:val="0"/>
            <w:vAlign w:val="center"/>
          </w:tcPr>
          <w:p w14:paraId="15A1B8F7">
            <w:pPr>
              <w:pStyle w:val="53"/>
              <w:rPr>
                <w:rFonts w:hint="default"/>
                <w:color w:val="auto"/>
                <w:lang w:val="en-US" w:eastAsia="zh-CN"/>
              </w:rPr>
            </w:pPr>
            <w:r>
              <w:rPr>
                <w:rFonts w:hint="eastAsia" w:ascii="Times New Roman" w:hAnsi="Times New Roman" w:eastAsia="宋体" w:cs="Times New Roman"/>
                <w:color w:val="auto"/>
                <w:kern w:val="2"/>
                <w:sz w:val="24"/>
                <w:szCs w:val="24"/>
                <w:highlight w:val="none"/>
                <w:lang w:val="en-US" w:eastAsia="zh-CN" w:bidi="ar-SA"/>
              </w:rPr>
              <w:t>钟奇淼</w:t>
            </w:r>
          </w:p>
        </w:tc>
        <w:tc>
          <w:tcPr>
            <w:tcW w:w="1153" w:type="dxa"/>
            <w:noWrap w:val="0"/>
            <w:vAlign w:val="center"/>
          </w:tcPr>
          <w:p w14:paraId="09C3ED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572" w:type="dxa"/>
            <w:noWrap w:val="0"/>
            <w:vAlign w:val="center"/>
          </w:tcPr>
          <w:p w14:paraId="4794FF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default"/>
                <w:color w:val="auto"/>
                <w:lang w:val="en-US" w:eastAsia="zh-CN"/>
              </w:rPr>
              <w:t>13695789777</w:t>
            </w:r>
          </w:p>
        </w:tc>
      </w:tr>
      <w:tr w14:paraId="6BB58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7F31916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7831" w:type="dxa"/>
            <w:gridSpan w:val="3"/>
            <w:noWrap w:val="0"/>
            <w:vAlign w:val="center"/>
          </w:tcPr>
          <w:p w14:paraId="0AF039D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陕西</w:t>
            </w:r>
            <w:r>
              <w:rPr>
                <w:rFonts w:hint="default" w:ascii="Times New Roman" w:hAnsi="Times New Roman" w:eastAsia="宋体" w:cs="Times New Roman"/>
                <w:color w:val="auto"/>
                <w:sz w:val="24"/>
                <w:szCs w:val="24"/>
                <w:highlight w:val="none"/>
              </w:rPr>
              <w:t>省</w:t>
            </w:r>
            <w:r>
              <w:rPr>
                <w:rFonts w:hint="eastAsia" w:cs="Times New Roman"/>
                <w:color w:val="auto"/>
                <w:sz w:val="24"/>
                <w:szCs w:val="24"/>
                <w:highlight w:val="none"/>
                <w:lang w:val="en-US" w:eastAsia="zh-CN"/>
              </w:rPr>
              <w:t>宝鸡</w:t>
            </w:r>
            <w:r>
              <w:rPr>
                <w:rFonts w:hint="default" w:ascii="Times New Roman" w:hAnsi="Times New Roman" w:eastAsia="宋体" w:cs="Times New Roman"/>
                <w:color w:val="auto"/>
                <w:sz w:val="24"/>
                <w:szCs w:val="24"/>
                <w:highlight w:val="none"/>
              </w:rPr>
              <w:t>市</w:t>
            </w:r>
            <w:r>
              <w:rPr>
                <w:rFonts w:hint="eastAsia" w:cs="Times New Roman"/>
                <w:color w:val="auto"/>
                <w:sz w:val="24"/>
                <w:szCs w:val="24"/>
                <w:highlight w:val="none"/>
                <w:lang w:val="en-US" w:eastAsia="zh-CN"/>
              </w:rPr>
              <w:t>岐山县蔡家坡经开区南环路北侧百万平方米标准化厂房机械加工区10#北跨</w:t>
            </w:r>
          </w:p>
        </w:tc>
      </w:tr>
      <w:tr w14:paraId="4A087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332C03A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831" w:type="dxa"/>
            <w:gridSpan w:val="3"/>
            <w:noWrap w:val="0"/>
            <w:vAlign w:val="center"/>
          </w:tcPr>
          <w:p w14:paraId="4D4661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highlight w:val="none"/>
                <w:lang w:eastAsia="zh-CN"/>
              </w:rPr>
              <w:t>东经</w:t>
            </w:r>
            <w:r>
              <w:rPr>
                <w:rFonts w:hint="eastAsia" w:cs="Times New Roman"/>
                <w:color w:val="auto"/>
                <w:sz w:val="24"/>
                <w:highlight w:val="none"/>
                <w:lang w:val="en-US" w:eastAsia="zh-CN"/>
              </w:rPr>
              <w:t>108</w:t>
            </w:r>
            <w:r>
              <w:rPr>
                <w:rFonts w:hint="eastAsia" w:ascii="Times New Roman" w:hAnsi="Times New Roman" w:eastAsia="宋体" w:cs="Times New Roman"/>
                <w:color w:val="auto"/>
                <w:sz w:val="24"/>
                <w:highlight w:val="none"/>
                <w:lang w:val="en-US" w:eastAsia="zh-CN"/>
              </w:rPr>
              <w:t>度</w:t>
            </w:r>
            <w:r>
              <w:rPr>
                <w:rFonts w:hint="eastAsia" w:cs="Times New Roman"/>
                <w:color w:val="auto"/>
                <w:sz w:val="24"/>
                <w:highlight w:val="none"/>
                <w:lang w:val="en-US" w:eastAsia="zh-CN"/>
              </w:rPr>
              <w:t>56</w:t>
            </w:r>
            <w:r>
              <w:rPr>
                <w:rFonts w:hint="eastAsia" w:ascii="Times New Roman" w:hAnsi="Times New Roman" w:eastAsia="宋体" w:cs="Times New Roman"/>
                <w:color w:val="auto"/>
                <w:sz w:val="24"/>
                <w:highlight w:val="none"/>
                <w:lang w:val="en-US" w:eastAsia="zh-CN"/>
              </w:rPr>
              <w:t>分</w:t>
            </w:r>
            <w:r>
              <w:rPr>
                <w:rFonts w:hint="eastAsia" w:cs="Times New Roman"/>
                <w:color w:val="auto"/>
                <w:sz w:val="24"/>
                <w:highlight w:val="none"/>
                <w:lang w:val="en-US" w:eastAsia="zh-CN"/>
              </w:rPr>
              <w:t>46.133</w:t>
            </w:r>
            <w:r>
              <w:rPr>
                <w:rFonts w:hint="eastAsia" w:ascii="Times New Roman" w:hAnsi="Times New Roman" w:eastAsia="宋体" w:cs="Times New Roman"/>
                <w:color w:val="auto"/>
                <w:sz w:val="24"/>
                <w:highlight w:val="none"/>
                <w:lang w:val="en-US" w:eastAsia="zh-CN"/>
              </w:rPr>
              <w:t>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北纬</w:t>
            </w:r>
            <w:r>
              <w:rPr>
                <w:rFonts w:hint="default" w:ascii="Times New Roman" w:hAnsi="Times New Roman" w:eastAsia="宋体" w:cs="Times New Roman"/>
                <w:color w:val="auto"/>
                <w:sz w:val="24"/>
                <w:highlight w:val="none"/>
                <w:lang w:eastAsia="zh-CN"/>
              </w:rPr>
              <w:t>32</w:t>
            </w:r>
            <w:r>
              <w:rPr>
                <w:rFonts w:hint="eastAsia" w:ascii="Times New Roman" w:hAnsi="Times New Roman" w:eastAsia="宋体" w:cs="Times New Roman"/>
                <w:color w:val="auto"/>
                <w:sz w:val="24"/>
                <w:highlight w:val="none"/>
                <w:lang w:val="en-US" w:eastAsia="zh-CN"/>
              </w:rPr>
              <w:t>度</w:t>
            </w:r>
            <w:r>
              <w:rPr>
                <w:rFonts w:hint="default" w:ascii="Times New Roman" w:hAnsi="Times New Roman" w:eastAsia="宋体" w:cs="Times New Roman"/>
                <w:color w:val="auto"/>
                <w:sz w:val="24"/>
                <w:highlight w:val="none"/>
                <w:lang w:eastAsia="zh-CN"/>
              </w:rPr>
              <w:t>4</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分</w:t>
            </w:r>
            <w:r>
              <w:rPr>
                <w:rFonts w:hint="eastAsia" w:cs="Times New Roman"/>
                <w:color w:val="auto"/>
                <w:sz w:val="24"/>
                <w:highlight w:val="none"/>
                <w:lang w:val="en-US" w:eastAsia="zh-CN"/>
              </w:rPr>
              <w:t>29.186</w:t>
            </w:r>
            <w:r>
              <w:rPr>
                <w:rFonts w:hint="eastAsia" w:ascii="Times New Roman" w:hAnsi="Times New Roman" w:eastAsia="宋体" w:cs="Times New Roman"/>
                <w:color w:val="auto"/>
                <w:sz w:val="24"/>
                <w:highlight w:val="none"/>
                <w:lang w:val="en-US" w:eastAsia="zh-CN"/>
              </w:rPr>
              <w:t>秒</w:t>
            </w:r>
          </w:p>
        </w:tc>
      </w:tr>
      <w:tr w14:paraId="242AC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39" w:type="dxa"/>
            <w:noWrap w:val="0"/>
            <w:tcMar>
              <w:top w:w="16" w:type="dxa"/>
              <w:left w:w="16" w:type="dxa"/>
              <w:right w:w="16" w:type="dxa"/>
            </w:tcMar>
            <w:vAlign w:val="center"/>
          </w:tcPr>
          <w:p w14:paraId="79C55F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国民经济行业类别</w:t>
            </w:r>
          </w:p>
        </w:tc>
        <w:tc>
          <w:tcPr>
            <w:tcW w:w="3106" w:type="dxa"/>
            <w:noWrap w:val="0"/>
            <w:vAlign w:val="center"/>
          </w:tcPr>
          <w:p w14:paraId="1F9319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C3670</w:t>
            </w:r>
            <w:r>
              <w:rPr>
                <w:rFonts w:hint="eastAsia"/>
                <w:color w:val="auto"/>
                <w:highlight w:val="none"/>
              </w:rPr>
              <w:t>汽车零部件及配件制造</w:t>
            </w:r>
          </w:p>
        </w:tc>
        <w:tc>
          <w:tcPr>
            <w:tcW w:w="1153" w:type="dxa"/>
            <w:noWrap w:val="0"/>
            <w:vAlign w:val="center"/>
          </w:tcPr>
          <w:p w14:paraId="732D67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bookmarkStart w:id="1" w:name="_Hlk49843745"/>
            <w:r>
              <w:rPr>
                <w:rFonts w:hint="default" w:ascii="Times New Roman" w:hAnsi="Times New Roman" w:eastAsia="宋体" w:cs="Times New Roman"/>
                <w:color w:val="auto"/>
                <w:sz w:val="24"/>
                <w:szCs w:val="24"/>
                <w:highlight w:val="none"/>
              </w:rPr>
              <w:t>建设项目</w:t>
            </w:r>
          </w:p>
          <w:p w14:paraId="3E95C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1"/>
          </w:p>
        </w:tc>
        <w:tc>
          <w:tcPr>
            <w:tcW w:w="3572" w:type="dxa"/>
            <w:noWrap w:val="0"/>
            <w:vAlign w:val="center"/>
          </w:tcPr>
          <w:p w14:paraId="5040C8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三十三、汽车制造业-36-</w:t>
            </w:r>
            <w:r>
              <w:rPr>
                <w:rFonts w:hint="eastAsia"/>
                <w:color w:val="auto"/>
                <w:highlight w:val="none"/>
              </w:rPr>
              <w:t>汽车零部件及配件制造367</w:t>
            </w:r>
            <w:r>
              <w:rPr>
                <w:rFonts w:hint="eastAsia" w:cs="Times New Roman"/>
                <w:color w:val="auto"/>
                <w:sz w:val="24"/>
                <w:szCs w:val="24"/>
                <w:highlight w:val="none"/>
                <w:lang w:val="en-US" w:eastAsia="zh-CN"/>
              </w:rPr>
              <w:t>-其他</w:t>
            </w:r>
          </w:p>
        </w:tc>
      </w:tr>
      <w:tr w14:paraId="13E10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39" w:type="dxa"/>
            <w:noWrap w:val="0"/>
            <w:tcMar>
              <w:top w:w="16" w:type="dxa"/>
              <w:left w:w="16" w:type="dxa"/>
              <w:right w:w="16" w:type="dxa"/>
            </w:tcMar>
            <w:vAlign w:val="center"/>
          </w:tcPr>
          <w:p w14:paraId="68A1EF7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3106" w:type="dxa"/>
            <w:noWrap w:val="0"/>
            <w:vAlign w:val="center"/>
          </w:tcPr>
          <w:p w14:paraId="2E1684CE">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598CD767">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570FD526">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707DEE9B">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153" w:type="dxa"/>
            <w:noWrap w:val="0"/>
            <w:vAlign w:val="center"/>
          </w:tcPr>
          <w:p w14:paraId="62F142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1F4F94E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572" w:type="dxa"/>
            <w:noWrap w:val="0"/>
            <w:vAlign w:val="center"/>
          </w:tcPr>
          <w:p w14:paraId="35074A67">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14:paraId="13B6EB18">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2E99CA28">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14:paraId="5215FFDB">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23EDA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39" w:type="dxa"/>
            <w:noWrap w:val="0"/>
            <w:tcMar>
              <w:top w:w="16" w:type="dxa"/>
              <w:left w:w="16" w:type="dxa"/>
              <w:right w:w="16" w:type="dxa"/>
            </w:tcMar>
            <w:vAlign w:val="center"/>
          </w:tcPr>
          <w:p w14:paraId="0EC9C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项目审批（核准/备案）部门（选填）</w:t>
            </w:r>
          </w:p>
        </w:tc>
        <w:tc>
          <w:tcPr>
            <w:tcW w:w="3106" w:type="dxa"/>
            <w:noWrap w:val="0"/>
            <w:vAlign w:val="center"/>
          </w:tcPr>
          <w:p w14:paraId="3808E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蔡家坡经开区经济发展局</w:t>
            </w:r>
          </w:p>
        </w:tc>
        <w:tc>
          <w:tcPr>
            <w:tcW w:w="1153" w:type="dxa"/>
            <w:noWrap w:val="0"/>
            <w:vAlign w:val="center"/>
          </w:tcPr>
          <w:p w14:paraId="02876C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3572" w:type="dxa"/>
            <w:noWrap w:val="0"/>
            <w:vAlign w:val="center"/>
          </w:tcPr>
          <w:p w14:paraId="2A815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6909A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156A2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w:t>
            </w:r>
          </w:p>
          <w:p w14:paraId="78C281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（万元）</w:t>
            </w:r>
          </w:p>
        </w:tc>
        <w:tc>
          <w:tcPr>
            <w:tcW w:w="3106" w:type="dxa"/>
            <w:noWrap w:val="0"/>
            <w:vAlign w:val="center"/>
          </w:tcPr>
          <w:p w14:paraId="6E921C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3822</w:t>
            </w:r>
          </w:p>
        </w:tc>
        <w:tc>
          <w:tcPr>
            <w:tcW w:w="1153" w:type="dxa"/>
            <w:noWrap w:val="0"/>
            <w:tcMar>
              <w:top w:w="16" w:type="dxa"/>
              <w:left w:w="16" w:type="dxa"/>
              <w:right w:w="16" w:type="dxa"/>
            </w:tcMar>
            <w:vAlign w:val="center"/>
          </w:tcPr>
          <w:p w14:paraId="1F50D7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p w14:paraId="70A933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（万元）</w:t>
            </w:r>
          </w:p>
        </w:tc>
        <w:tc>
          <w:tcPr>
            <w:tcW w:w="3572" w:type="dxa"/>
            <w:noWrap w:val="0"/>
            <w:vAlign w:val="center"/>
          </w:tcPr>
          <w:p w14:paraId="4143F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40.3</w:t>
            </w:r>
          </w:p>
        </w:tc>
      </w:tr>
      <w:tr w14:paraId="59515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62B8BA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3106" w:type="dxa"/>
            <w:noWrap w:val="0"/>
            <w:vAlign w:val="center"/>
          </w:tcPr>
          <w:p w14:paraId="6D694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1.05</w:t>
            </w:r>
          </w:p>
        </w:tc>
        <w:tc>
          <w:tcPr>
            <w:tcW w:w="1153" w:type="dxa"/>
            <w:noWrap w:val="0"/>
            <w:tcMar>
              <w:top w:w="16" w:type="dxa"/>
              <w:left w:w="16" w:type="dxa"/>
              <w:right w:w="16" w:type="dxa"/>
            </w:tcMar>
            <w:vAlign w:val="center"/>
          </w:tcPr>
          <w:p w14:paraId="6465F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572" w:type="dxa"/>
            <w:noWrap w:val="0"/>
            <w:vAlign w:val="center"/>
          </w:tcPr>
          <w:p w14:paraId="24728C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6个月</w:t>
            </w:r>
          </w:p>
        </w:tc>
      </w:tr>
      <w:tr w14:paraId="04D5B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39" w:type="dxa"/>
            <w:noWrap w:val="0"/>
            <w:tcMar>
              <w:top w:w="16" w:type="dxa"/>
              <w:left w:w="16" w:type="dxa"/>
              <w:right w:w="16" w:type="dxa"/>
            </w:tcMar>
            <w:vAlign w:val="center"/>
          </w:tcPr>
          <w:p w14:paraId="2BA155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3106" w:type="dxa"/>
            <w:noWrap w:val="0"/>
            <w:vAlign w:val="center"/>
          </w:tcPr>
          <w:p w14:paraId="47293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20B0F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1153" w:type="dxa"/>
            <w:noWrap w:val="0"/>
            <w:tcMar>
              <w:top w:w="16" w:type="dxa"/>
              <w:left w:w="16" w:type="dxa"/>
              <w:right w:w="16" w:type="dxa"/>
            </w:tcMar>
            <w:vAlign w:val="center"/>
          </w:tcPr>
          <w:p w14:paraId="3E731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用地（用海）面积（m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tc>
        <w:tc>
          <w:tcPr>
            <w:tcW w:w="3572" w:type="dxa"/>
            <w:noWrap w:val="0"/>
            <w:vAlign w:val="center"/>
          </w:tcPr>
          <w:p w14:paraId="1CFD7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3000</w:t>
            </w:r>
          </w:p>
        </w:tc>
      </w:tr>
      <w:tr w14:paraId="2FADE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9" w:type="dxa"/>
            <w:noWrap w:val="0"/>
            <w:vAlign w:val="center"/>
          </w:tcPr>
          <w:p w14:paraId="348480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7831" w:type="dxa"/>
            <w:gridSpan w:val="3"/>
            <w:noWrap w:val="0"/>
            <w:vAlign w:val="center"/>
          </w:tcPr>
          <w:p w14:paraId="12C0270B">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1、专项评价设置情况判定</w:t>
            </w:r>
          </w:p>
          <w:p w14:paraId="35086A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根据建设项目环境影响报告表编制技术指南（污染影响类）（试行）专项评价设置原则表，本项目专项评价设置原则见表1-1。 </w:t>
            </w:r>
          </w:p>
          <w:p w14:paraId="3D4CFE84">
            <w:pPr>
              <w:pStyle w:val="58"/>
              <w:bidi w:val="0"/>
              <w:rPr>
                <w:rFonts w:hint="default"/>
                <w:color w:val="auto"/>
                <w:highlight w:val="none"/>
                <w:lang w:val="en-US" w:eastAsia="zh-CN"/>
              </w:rPr>
            </w:pPr>
            <w:r>
              <w:rPr>
                <w:rFonts w:hint="eastAsia"/>
                <w:color w:val="auto"/>
                <w:highlight w:val="none"/>
                <w:lang w:val="en-US" w:eastAsia="zh-CN"/>
              </w:rPr>
              <w:t xml:space="preserve">表1-1  本项目专项评价设置情况判定 </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4483"/>
              <w:gridCol w:w="1455"/>
              <w:gridCol w:w="722"/>
            </w:tblGrid>
            <w:tr w14:paraId="69C3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 w:type="pct"/>
                  <w:tcBorders>
                    <w:tl2br w:val="nil"/>
                    <w:tr2bl w:val="nil"/>
                  </w:tcBorders>
                  <w:noWrap w:val="0"/>
                  <w:vAlign w:val="center"/>
                </w:tcPr>
                <w:p w14:paraId="638FA0DD">
                  <w:pPr>
                    <w:pStyle w:val="53"/>
                    <w:bidi w:val="0"/>
                    <w:rPr>
                      <w:rFonts w:hint="default"/>
                      <w:b/>
                      <w:bCs/>
                      <w:color w:val="auto"/>
                      <w:highlight w:val="none"/>
                      <w:lang w:val="en-US" w:eastAsia="zh-CN"/>
                    </w:rPr>
                  </w:pPr>
                  <w:r>
                    <w:rPr>
                      <w:rFonts w:hint="eastAsia"/>
                      <w:b/>
                      <w:bCs/>
                      <w:color w:val="auto"/>
                      <w:highlight w:val="none"/>
                      <w:lang w:val="en-US" w:eastAsia="zh-CN"/>
                    </w:rPr>
                    <w:t>专项评价类别</w:t>
                  </w:r>
                </w:p>
              </w:tc>
              <w:tc>
                <w:tcPr>
                  <w:tcW w:w="2949" w:type="pct"/>
                  <w:tcBorders>
                    <w:tl2br w:val="nil"/>
                    <w:tr2bl w:val="nil"/>
                  </w:tcBorders>
                  <w:noWrap w:val="0"/>
                  <w:vAlign w:val="center"/>
                </w:tcPr>
                <w:p w14:paraId="3F6BF8DE">
                  <w:pPr>
                    <w:pStyle w:val="53"/>
                    <w:bidi w:val="0"/>
                    <w:rPr>
                      <w:rFonts w:hint="default"/>
                      <w:b/>
                      <w:bCs/>
                      <w:color w:val="auto"/>
                      <w:highlight w:val="none"/>
                      <w:lang w:val="en-US" w:eastAsia="zh-CN"/>
                    </w:rPr>
                  </w:pPr>
                  <w:r>
                    <w:rPr>
                      <w:rFonts w:hint="eastAsia"/>
                      <w:b/>
                      <w:bCs/>
                      <w:color w:val="auto"/>
                      <w:highlight w:val="none"/>
                      <w:lang w:val="en-US" w:eastAsia="zh-CN"/>
                    </w:rPr>
                    <w:t>设置原则</w:t>
                  </w:r>
                </w:p>
              </w:tc>
              <w:tc>
                <w:tcPr>
                  <w:tcW w:w="957" w:type="pct"/>
                  <w:tcBorders>
                    <w:tl2br w:val="nil"/>
                    <w:tr2bl w:val="nil"/>
                  </w:tcBorders>
                  <w:noWrap w:val="0"/>
                  <w:vAlign w:val="center"/>
                </w:tcPr>
                <w:p w14:paraId="7BA57201">
                  <w:pPr>
                    <w:pStyle w:val="53"/>
                    <w:bidi w:val="0"/>
                    <w:rPr>
                      <w:rFonts w:hint="default"/>
                      <w:b/>
                      <w:bCs/>
                      <w:color w:val="auto"/>
                      <w:highlight w:val="none"/>
                      <w:lang w:val="en-US" w:eastAsia="zh-CN"/>
                    </w:rPr>
                  </w:pPr>
                  <w:r>
                    <w:rPr>
                      <w:rFonts w:hint="eastAsia"/>
                      <w:b/>
                      <w:bCs/>
                      <w:color w:val="auto"/>
                      <w:highlight w:val="none"/>
                      <w:lang w:val="en-US" w:eastAsia="zh-CN"/>
                    </w:rPr>
                    <w:t>专项评价设置情况判定</w:t>
                  </w:r>
                </w:p>
              </w:tc>
              <w:tc>
                <w:tcPr>
                  <w:tcW w:w="475" w:type="pct"/>
                  <w:tcBorders>
                    <w:tl2br w:val="nil"/>
                    <w:tr2bl w:val="nil"/>
                  </w:tcBorders>
                  <w:noWrap w:val="0"/>
                  <w:vAlign w:val="center"/>
                </w:tcPr>
                <w:p w14:paraId="2428CC48">
                  <w:pPr>
                    <w:pStyle w:val="53"/>
                    <w:bidi w:val="0"/>
                    <w:rPr>
                      <w:rFonts w:hint="default"/>
                      <w:b/>
                      <w:bCs/>
                      <w:color w:val="auto"/>
                      <w:highlight w:val="none"/>
                      <w:lang w:val="en-US" w:eastAsia="zh-CN"/>
                    </w:rPr>
                  </w:pPr>
                  <w:r>
                    <w:rPr>
                      <w:rFonts w:hint="eastAsia"/>
                      <w:b/>
                      <w:bCs/>
                      <w:color w:val="auto"/>
                      <w:highlight w:val="none"/>
                      <w:lang w:val="en-US" w:eastAsia="zh-CN"/>
                    </w:rPr>
                    <w:t>设置情况</w:t>
                  </w:r>
                </w:p>
              </w:tc>
            </w:tr>
            <w:tr w14:paraId="7886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 w:type="pct"/>
                  <w:tcBorders>
                    <w:tl2br w:val="nil"/>
                    <w:tr2bl w:val="nil"/>
                  </w:tcBorders>
                  <w:noWrap w:val="0"/>
                  <w:vAlign w:val="center"/>
                </w:tcPr>
                <w:p w14:paraId="21DD9152">
                  <w:pPr>
                    <w:pStyle w:val="53"/>
                    <w:bidi w:val="0"/>
                    <w:rPr>
                      <w:rFonts w:hint="default"/>
                      <w:color w:val="auto"/>
                      <w:highlight w:val="none"/>
                      <w:lang w:val="en-US" w:eastAsia="zh-CN"/>
                    </w:rPr>
                  </w:pPr>
                  <w:r>
                    <w:rPr>
                      <w:rFonts w:hint="default"/>
                      <w:color w:val="auto"/>
                      <w:highlight w:val="none"/>
                      <w:lang w:val="en-US" w:eastAsia="zh-CN"/>
                    </w:rPr>
                    <w:t xml:space="preserve">大气 </w:t>
                  </w:r>
                </w:p>
              </w:tc>
              <w:tc>
                <w:tcPr>
                  <w:tcW w:w="2949" w:type="pct"/>
                  <w:tcBorders>
                    <w:tl2br w:val="nil"/>
                    <w:tr2bl w:val="nil"/>
                  </w:tcBorders>
                  <w:noWrap w:val="0"/>
                  <w:vAlign w:val="center"/>
                </w:tcPr>
                <w:p w14:paraId="70043775">
                  <w:pPr>
                    <w:pStyle w:val="53"/>
                    <w:bidi w:val="0"/>
                    <w:rPr>
                      <w:rFonts w:hint="default"/>
                      <w:color w:val="auto"/>
                      <w:highlight w:val="none"/>
                      <w:lang w:val="en-US" w:eastAsia="zh-CN"/>
                    </w:rPr>
                  </w:pPr>
                  <w:r>
                    <w:rPr>
                      <w:rFonts w:hint="eastAsia"/>
                      <w:color w:val="auto"/>
                      <w:highlight w:val="none"/>
                      <w:lang w:val="en-US" w:eastAsia="zh-CN"/>
                    </w:rPr>
                    <w:t>排放废气含有毒有害污染物</w:t>
                  </w:r>
                  <w:r>
                    <w:rPr>
                      <w:rFonts w:hint="eastAsia"/>
                      <w:color w:val="auto"/>
                      <w:highlight w:val="none"/>
                      <w:vertAlign w:val="superscript"/>
                      <w:lang w:val="en-US" w:eastAsia="zh-CN"/>
                    </w:rPr>
                    <w:t>1</w:t>
                  </w:r>
                  <w:r>
                    <w:rPr>
                      <w:rFonts w:hint="eastAsia"/>
                      <w:color w:val="auto"/>
                      <w:highlight w:val="none"/>
                      <w:lang w:val="en-US" w:eastAsia="zh-CN"/>
                    </w:rPr>
                    <w:t>、二噁英、苯并[a]芘、氰化物、氯气且厂界外500米范围内有环境空气保护目标</w:t>
                  </w:r>
                  <w:r>
                    <w:rPr>
                      <w:rFonts w:hint="eastAsia"/>
                      <w:color w:val="auto"/>
                      <w:highlight w:val="none"/>
                      <w:vertAlign w:val="superscript"/>
                      <w:lang w:val="en-US" w:eastAsia="zh-CN"/>
                    </w:rPr>
                    <w:t>2</w:t>
                  </w:r>
                  <w:r>
                    <w:rPr>
                      <w:rFonts w:hint="eastAsia"/>
                      <w:color w:val="auto"/>
                      <w:highlight w:val="none"/>
                      <w:lang w:val="en-US" w:eastAsia="zh-CN"/>
                    </w:rPr>
                    <w:t xml:space="preserve">的建设项目 </w:t>
                  </w:r>
                </w:p>
              </w:tc>
              <w:tc>
                <w:tcPr>
                  <w:tcW w:w="957" w:type="pct"/>
                  <w:tcBorders>
                    <w:tl2br w:val="nil"/>
                    <w:tr2bl w:val="nil"/>
                  </w:tcBorders>
                  <w:noWrap w:val="0"/>
                  <w:vAlign w:val="center"/>
                </w:tcPr>
                <w:p w14:paraId="7CDAF740">
                  <w:pPr>
                    <w:pStyle w:val="53"/>
                    <w:bidi w:val="0"/>
                    <w:rPr>
                      <w:rFonts w:hint="default"/>
                      <w:color w:val="auto"/>
                      <w:highlight w:val="none"/>
                      <w:lang w:val="en-US" w:eastAsia="zh-CN"/>
                    </w:rPr>
                  </w:pPr>
                  <w:r>
                    <w:rPr>
                      <w:rFonts w:hint="eastAsia"/>
                      <w:color w:val="auto"/>
                      <w:highlight w:val="none"/>
                      <w:lang w:val="en-US" w:eastAsia="zh-CN"/>
                    </w:rPr>
                    <w:t>不涉及</w:t>
                  </w:r>
                </w:p>
              </w:tc>
              <w:tc>
                <w:tcPr>
                  <w:tcW w:w="475" w:type="pct"/>
                  <w:tcBorders>
                    <w:tl2br w:val="nil"/>
                    <w:tr2bl w:val="nil"/>
                  </w:tcBorders>
                  <w:noWrap w:val="0"/>
                  <w:vAlign w:val="center"/>
                </w:tcPr>
                <w:p w14:paraId="7DBD9BC8">
                  <w:pPr>
                    <w:pStyle w:val="53"/>
                    <w:bidi w:val="0"/>
                    <w:rPr>
                      <w:rFonts w:hint="default"/>
                      <w:color w:val="auto"/>
                      <w:highlight w:val="none"/>
                      <w:lang w:val="en-US" w:eastAsia="zh-CN"/>
                    </w:rPr>
                  </w:pPr>
                  <w:r>
                    <w:rPr>
                      <w:rFonts w:hint="eastAsia"/>
                      <w:color w:val="auto"/>
                      <w:highlight w:val="none"/>
                      <w:lang w:val="en-US" w:eastAsia="zh-CN"/>
                    </w:rPr>
                    <w:t>无</w:t>
                  </w:r>
                </w:p>
              </w:tc>
            </w:tr>
            <w:tr w14:paraId="08DB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 w:type="pct"/>
                  <w:tcBorders>
                    <w:tl2br w:val="nil"/>
                    <w:tr2bl w:val="nil"/>
                  </w:tcBorders>
                  <w:noWrap w:val="0"/>
                  <w:vAlign w:val="center"/>
                </w:tcPr>
                <w:p w14:paraId="012C20FD">
                  <w:pPr>
                    <w:pStyle w:val="53"/>
                    <w:bidi w:val="0"/>
                    <w:rPr>
                      <w:rFonts w:hint="default"/>
                      <w:color w:val="auto"/>
                      <w:highlight w:val="none"/>
                      <w:lang w:val="en-US" w:eastAsia="zh-CN"/>
                    </w:rPr>
                  </w:pPr>
                  <w:r>
                    <w:rPr>
                      <w:rFonts w:hint="eastAsia"/>
                      <w:color w:val="auto"/>
                      <w:highlight w:val="none"/>
                      <w:lang w:val="en-US" w:eastAsia="zh-CN"/>
                    </w:rPr>
                    <w:t>地表水</w:t>
                  </w:r>
                </w:p>
              </w:tc>
              <w:tc>
                <w:tcPr>
                  <w:tcW w:w="2949" w:type="pct"/>
                  <w:tcBorders>
                    <w:tl2br w:val="nil"/>
                    <w:tr2bl w:val="nil"/>
                  </w:tcBorders>
                  <w:noWrap w:val="0"/>
                  <w:vAlign w:val="center"/>
                </w:tcPr>
                <w:p w14:paraId="51E016DD">
                  <w:pPr>
                    <w:pStyle w:val="53"/>
                    <w:bidi w:val="0"/>
                    <w:rPr>
                      <w:rFonts w:hint="eastAsia"/>
                      <w:color w:val="auto"/>
                      <w:highlight w:val="none"/>
                      <w:lang w:val="en-US" w:eastAsia="zh-CN"/>
                    </w:rPr>
                  </w:pPr>
                  <w:r>
                    <w:rPr>
                      <w:rFonts w:hint="eastAsia"/>
                      <w:color w:val="auto"/>
                      <w:highlight w:val="none"/>
                      <w:lang w:val="en-US" w:eastAsia="zh-CN"/>
                    </w:rPr>
                    <w:t>新增工业废水直排建设项目（槽罐车外送污水处理厂的除外）；新增废水直排的污水集中处理厂</w:t>
                  </w:r>
                </w:p>
              </w:tc>
              <w:tc>
                <w:tcPr>
                  <w:tcW w:w="957" w:type="pct"/>
                  <w:tcBorders>
                    <w:tl2br w:val="nil"/>
                    <w:tr2bl w:val="nil"/>
                  </w:tcBorders>
                  <w:noWrap w:val="0"/>
                  <w:vAlign w:val="center"/>
                </w:tcPr>
                <w:p w14:paraId="43817540">
                  <w:pPr>
                    <w:pStyle w:val="53"/>
                    <w:bidi w:val="0"/>
                    <w:rPr>
                      <w:rFonts w:hint="default"/>
                      <w:color w:val="auto"/>
                      <w:highlight w:val="none"/>
                      <w:lang w:val="en-US" w:eastAsia="zh-CN"/>
                    </w:rPr>
                  </w:pPr>
                  <w:r>
                    <w:rPr>
                      <w:rFonts w:hint="eastAsia"/>
                      <w:color w:val="auto"/>
                      <w:highlight w:val="none"/>
                      <w:lang w:val="en-US" w:eastAsia="zh-CN"/>
                    </w:rPr>
                    <w:t>不涉及</w:t>
                  </w:r>
                </w:p>
              </w:tc>
              <w:tc>
                <w:tcPr>
                  <w:tcW w:w="475" w:type="pct"/>
                  <w:tcBorders>
                    <w:tl2br w:val="nil"/>
                    <w:tr2bl w:val="nil"/>
                  </w:tcBorders>
                  <w:noWrap w:val="0"/>
                  <w:vAlign w:val="center"/>
                </w:tcPr>
                <w:p w14:paraId="64A3597B">
                  <w:pPr>
                    <w:pStyle w:val="53"/>
                    <w:bidi w:val="0"/>
                    <w:rPr>
                      <w:rFonts w:hint="default"/>
                      <w:color w:val="auto"/>
                      <w:highlight w:val="none"/>
                      <w:lang w:val="en-US" w:eastAsia="zh-CN"/>
                    </w:rPr>
                  </w:pPr>
                  <w:r>
                    <w:rPr>
                      <w:rFonts w:hint="eastAsia"/>
                      <w:color w:val="auto"/>
                      <w:highlight w:val="none"/>
                      <w:lang w:val="en-US" w:eastAsia="zh-CN"/>
                    </w:rPr>
                    <w:t>无</w:t>
                  </w:r>
                </w:p>
              </w:tc>
            </w:tr>
            <w:tr w14:paraId="3697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 w:type="pct"/>
                  <w:tcBorders>
                    <w:tl2br w:val="nil"/>
                    <w:tr2bl w:val="nil"/>
                  </w:tcBorders>
                  <w:noWrap w:val="0"/>
                  <w:vAlign w:val="center"/>
                </w:tcPr>
                <w:p w14:paraId="5F9134BB">
                  <w:pPr>
                    <w:pStyle w:val="53"/>
                    <w:bidi w:val="0"/>
                    <w:rPr>
                      <w:rFonts w:hint="default"/>
                      <w:color w:val="auto"/>
                      <w:highlight w:val="none"/>
                      <w:lang w:val="en-US" w:eastAsia="zh-CN"/>
                    </w:rPr>
                  </w:pPr>
                  <w:r>
                    <w:rPr>
                      <w:rFonts w:hint="eastAsia"/>
                      <w:color w:val="auto"/>
                      <w:highlight w:val="none"/>
                      <w:lang w:val="en-US" w:eastAsia="zh-CN"/>
                    </w:rPr>
                    <w:t>环境风险</w:t>
                  </w:r>
                </w:p>
              </w:tc>
              <w:tc>
                <w:tcPr>
                  <w:tcW w:w="2949" w:type="pct"/>
                  <w:tcBorders>
                    <w:tl2br w:val="nil"/>
                    <w:tr2bl w:val="nil"/>
                  </w:tcBorders>
                  <w:noWrap w:val="0"/>
                  <w:vAlign w:val="center"/>
                </w:tcPr>
                <w:p w14:paraId="60185678">
                  <w:pPr>
                    <w:pStyle w:val="53"/>
                    <w:bidi w:val="0"/>
                    <w:rPr>
                      <w:rFonts w:hint="eastAsia"/>
                      <w:color w:val="auto"/>
                      <w:highlight w:val="none"/>
                      <w:lang w:val="en-US" w:eastAsia="zh-CN"/>
                    </w:rPr>
                  </w:pPr>
                  <w:r>
                    <w:rPr>
                      <w:rFonts w:hint="eastAsia"/>
                      <w:color w:val="auto"/>
                      <w:highlight w:val="none"/>
                      <w:lang w:val="en-US" w:eastAsia="zh-CN"/>
                    </w:rPr>
                    <w:t xml:space="preserve">有毒有害和易燃易爆危险物质存储量超过临界量的建设项目 </w:t>
                  </w:r>
                </w:p>
              </w:tc>
              <w:tc>
                <w:tcPr>
                  <w:tcW w:w="957" w:type="pct"/>
                  <w:tcBorders>
                    <w:tl2br w:val="nil"/>
                    <w:tr2bl w:val="nil"/>
                  </w:tcBorders>
                  <w:noWrap w:val="0"/>
                  <w:vAlign w:val="center"/>
                </w:tcPr>
                <w:p w14:paraId="1326BDA1">
                  <w:pPr>
                    <w:pStyle w:val="53"/>
                    <w:bidi w:val="0"/>
                    <w:rPr>
                      <w:rFonts w:hint="default"/>
                      <w:color w:val="auto"/>
                      <w:highlight w:val="none"/>
                      <w:lang w:val="en-US" w:eastAsia="zh-CN"/>
                    </w:rPr>
                  </w:pPr>
                  <w:r>
                    <w:rPr>
                      <w:rFonts w:hint="eastAsia"/>
                      <w:color w:val="auto"/>
                      <w:highlight w:val="none"/>
                      <w:lang w:val="en-US" w:eastAsia="zh-CN"/>
                    </w:rPr>
                    <w:t>不涉及</w:t>
                  </w:r>
                </w:p>
              </w:tc>
              <w:tc>
                <w:tcPr>
                  <w:tcW w:w="475" w:type="pct"/>
                  <w:tcBorders>
                    <w:tl2br w:val="nil"/>
                    <w:tr2bl w:val="nil"/>
                  </w:tcBorders>
                  <w:noWrap w:val="0"/>
                  <w:vAlign w:val="center"/>
                </w:tcPr>
                <w:p w14:paraId="21D52667">
                  <w:pPr>
                    <w:pStyle w:val="53"/>
                    <w:bidi w:val="0"/>
                    <w:rPr>
                      <w:rFonts w:hint="default"/>
                      <w:color w:val="auto"/>
                      <w:highlight w:val="none"/>
                      <w:lang w:val="en-US" w:eastAsia="zh-CN"/>
                    </w:rPr>
                  </w:pPr>
                  <w:r>
                    <w:rPr>
                      <w:rFonts w:hint="eastAsia"/>
                      <w:color w:val="auto"/>
                      <w:highlight w:val="none"/>
                      <w:lang w:val="en-US" w:eastAsia="zh-CN"/>
                    </w:rPr>
                    <w:t>无</w:t>
                  </w:r>
                </w:p>
              </w:tc>
            </w:tr>
            <w:tr w14:paraId="677B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 w:type="pct"/>
                  <w:tcBorders>
                    <w:tl2br w:val="nil"/>
                    <w:tr2bl w:val="nil"/>
                  </w:tcBorders>
                  <w:noWrap w:val="0"/>
                  <w:vAlign w:val="center"/>
                </w:tcPr>
                <w:p w14:paraId="429CCAB6">
                  <w:pPr>
                    <w:pStyle w:val="53"/>
                    <w:bidi w:val="0"/>
                    <w:rPr>
                      <w:rFonts w:hint="default"/>
                      <w:color w:val="auto"/>
                      <w:highlight w:val="none"/>
                      <w:lang w:val="en-US" w:eastAsia="zh-CN"/>
                    </w:rPr>
                  </w:pPr>
                  <w:r>
                    <w:rPr>
                      <w:rFonts w:hint="eastAsia"/>
                      <w:color w:val="auto"/>
                      <w:highlight w:val="none"/>
                      <w:lang w:val="en-US" w:eastAsia="zh-CN"/>
                    </w:rPr>
                    <w:t>生态</w:t>
                  </w:r>
                </w:p>
              </w:tc>
              <w:tc>
                <w:tcPr>
                  <w:tcW w:w="2949" w:type="pct"/>
                  <w:tcBorders>
                    <w:tl2br w:val="nil"/>
                    <w:tr2bl w:val="nil"/>
                  </w:tcBorders>
                  <w:noWrap w:val="0"/>
                  <w:vAlign w:val="center"/>
                </w:tcPr>
                <w:p w14:paraId="47185FAD">
                  <w:pPr>
                    <w:pStyle w:val="53"/>
                    <w:bidi w:val="0"/>
                    <w:rPr>
                      <w:rFonts w:hint="eastAsia"/>
                      <w:color w:val="auto"/>
                      <w:highlight w:val="none"/>
                      <w:lang w:val="en-US" w:eastAsia="zh-CN"/>
                    </w:rPr>
                  </w:pPr>
                  <w:r>
                    <w:rPr>
                      <w:rFonts w:hint="eastAsia"/>
                      <w:color w:val="auto"/>
                      <w:highlight w:val="none"/>
                      <w:lang w:val="en-US" w:eastAsia="zh-CN"/>
                    </w:rPr>
                    <w:t xml:space="preserve">取水口下游500米范围内有重要水生生物的自然产卵场、索饵场、越冬场和洄游通道的新增河道取水的污染类建设项目 </w:t>
                  </w:r>
                </w:p>
              </w:tc>
              <w:tc>
                <w:tcPr>
                  <w:tcW w:w="957" w:type="pct"/>
                  <w:tcBorders>
                    <w:tl2br w:val="nil"/>
                    <w:tr2bl w:val="nil"/>
                  </w:tcBorders>
                  <w:noWrap w:val="0"/>
                  <w:vAlign w:val="center"/>
                </w:tcPr>
                <w:p w14:paraId="02824CAF">
                  <w:pPr>
                    <w:pStyle w:val="53"/>
                    <w:bidi w:val="0"/>
                    <w:rPr>
                      <w:rFonts w:hint="default"/>
                      <w:color w:val="auto"/>
                      <w:highlight w:val="none"/>
                      <w:lang w:val="en-US" w:eastAsia="zh-CN"/>
                    </w:rPr>
                  </w:pPr>
                  <w:r>
                    <w:rPr>
                      <w:rFonts w:hint="eastAsia"/>
                      <w:color w:val="auto"/>
                      <w:highlight w:val="none"/>
                      <w:lang w:val="en-US" w:eastAsia="zh-CN"/>
                    </w:rPr>
                    <w:t>不涉及</w:t>
                  </w:r>
                </w:p>
              </w:tc>
              <w:tc>
                <w:tcPr>
                  <w:tcW w:w="475" w:type="pct"/>
                  <w:tcBorders>
                    <w:tl2br w:val="nil"/>
                    <w:tr2bl w:val="nil"/>
                  </w:tcBorders>
                  <w:noWrap w:val="0"/>
                  <w:vAlign w:val="center"/>
                </w:tcPr>
                <w:p w14:paraId="285B803A">
                  <w:pPr>
                    <w:pStyle w:val="53"/>
                    <w:bidi w:val="0"/>
                    <w:rPr>
                      <w:rFonts w:hint="default"/>
                      <w:color w:val="auto"/>
                      <w:highlight w:val="none"/>
                      <w:lang w:val="en-US" w:eastAsia="zh-CN"/>
                    </w:rPr>
                  </w:pPr>
                  <w:r>
                    <w:rPr>
                      <w:rFonts w:hint="eastAsia"/>
                      <w:color w:val="auto"/>
                      <w:highlight w:val="none"/>
                      <w:lang w:val="en-US" w:eastAsia="zh-CN"/>
                    </w:rPr>
                    <w:t>无</w:t>
                  </w:r>
                </w:p>
              </w:tc>
            </w:tr>
            <w:tr w14:paraId="1E9E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 w:type="pct"/>
                  <w:tcBorders>
                    <w:tl2br w:val="nil"/>
                    <w:tr2bl w:val="nil"/>
                  </w:tcBorders>
                  <w:noWrap w:val="0"/>
                  <w:vAlign w:val="center"/>
                </w:tcPr>
                <w:p w14:paraId="1D1FE26D">
                  <w:pPr>
                    <w:pStyle w:val="53"/>
                    <w:bidi w:val="0"/>
                    <w:rPr>
                      <w:rFonts w:hint="default"/>
                      <w:color w:val="auto"/>
                      <w:highlight w:val="none"/>
                      <w:lang w:val="en-US" w:eastAsia="zh-CN"/>
                    </w:rPr>
                  </w:pPr>
                  <w:r>
                    <w:rPr>
                      <w:rFonts w:hint="eastAsia"/>
                      <w:color w:val="auto"/>
                      <w:highlight w:val="none"/>
                      <w:lang w:val="en-US" w:eastAsia="zh-CN"/>
                    </w:rPr>
                    <w:t>海洋</w:t>
                  </w:r>
                </w:p>
              </w:tc>
              <w:tc>
                <w:tcPr>
                  <w:tcW w:w="2949" w:type="pct"/>
                  <w:tcBorders>
                    <w:tl2br w:val="nil"/>
                    <w:tr2bl w:val="nil"/>
                  </w:tcBorders>
                  <w:noWrap w:val="0"/>
                  <w:vAlign w:val="center"/>
                </w:tcPr>
                <w:p w14:paraId="56DA192C">
                  <w:pPr>
                    <w:pStyle w:val="53"/>
                    <w:bidi w:val="0"/>
                    <w:rPr>
                      <w:rFonts w:hint="eastAsia"/>
                      <w:color w:val="auto"/>
                      <w:highlight w:val="none"/>
                      <w:lang w:val="en-US" w:eastAsia="zh-CN"/>
                    </w:rPr>
                  </w:pPr>
                  <w:r>
                    <w:rPr>
                      <w:rFonts w:hint="eastAsia"/>
                      <w:color w:val="auto"/>
                      <w:highlight w:val="none"/>
                      <w:lang w:val="en-US" w:eastAsia="zh-CN"/>
                    </w:rPr>
                    <w:t xml:space="preserve">直接向海排放污染物的海洋工程建设项目 </w:t>
                  </w:r>
                </w:p>
              </w:tc>
              <w:tc>
                <w:tcPr>
                  <w:tcW w:w="957" w:type="pct"/>
                  <w:tcBorders>
                    <w:tl2br w:val="nil"/>
                    <w:tr2bl w:val="nil"/>
                  </w:tcBorders>
                  <w:noWrap w:val="0"/>
                  <w:vAlign w:val="center"/>
                </w:tcPr>
                <w:p w14:paraId="140D900E">
                  <w:pPr>
                    <w:pStyle w:val="53"/>
                    <w:bidi w:val="0"/>
                    <w:rPr>
                      <w:rFonts w:hint="default"/>
                      <w:color w:val="auto"/>
                      <w:highlight w:val="none"/>
                      <w:lang w:val="en-US" w:eastAsia="zh-CN"/>
                    </w:rPr>
                  </w:pPr>
                  <w:r>
                    <w:rPr>
                      <w:rFonts w:hint="eastAsia"/>
                      <w:color w:val="auto"/>
                      <w:highlight w:val="none"/>
                      <w:lang w:val="en-US" w:eastAsia="zh-CN"/>
                    </w:rPr>
                    <w:t>不涉及</w:t>
                  </w:r>
                </w:p>
              </w:tc>
              <w:tc>
                <w:tcPr>
                  <w:tcW w:w="475" w:type="pct"/>
                  <w:tcBorders>
                    <w:tl2br w:val="nil"/>
                    <w:tr2bl w:val="nil"/>
                  </w:tcBorders>
                  <w:noWrap w:val="0"/>
                  <w:vAlign w:val="center"/>
                </w:tcPr>
                <w:p w14:paraId="3F2508B5">
                  <w:pPr>
                    <w:pStyle w:val="53"/>
                    <w:bidi w:val="0"/>
                    <w:rPr>
                      <w:rFonts w:hint="default"/>
                      <w:color w:val="auto"/>
                      <w:highlight w:val="none"/>
                      <w:lang w:val="en-US" w:eastAsia="zh-CN"/>
                    </w:rPr>
                  </w:pPr>
                  <w:r>
                    <w:rPr>
                      <w:rFonts w:hint="eastAsia"/>
                      <w:color w:val="auto"/>
                      <w:highlight w:val="none"/>
                      <w:lang w:val="en-US" w:eastAsia="zh-CN"/>
                    </w:rPr>
                    <w:t>无</w:t>
                  </w:r>
                </w:p>
              </w:tc>
            </w:tr>
          </w:tbl>
          <w:p w14:paraId="6234428F">
            <w:pPr>
              <w:rPr>
                <w:rFonts w:hint="eastAsia" w:ascii="Times New Roman" w:hAnsi="Times New Roman" w:eastAsia="宋体" w:cs="Times New Roman"/>
                <w:color w:val="auto"/>
                <w:kern w:val="0"/>
                <w:sz w:val="24"/>
                <w:szCs w:val="24"/>
                <w:highlight w:val="none"/>
                <w:lang w:val="en-US" w:eastAsia="zh-CN"/>
              </w:rPr>
            </w:pPr>
            <w:r>
              <w:rPr>
                <w:rFonts w:hint="eastAsia"/>
                <w:lang w:val="en-US" w:eastAsia="zh-CN"/>
              </w:rPr>
              <w:t>综上，本项目不需设置专项评价。</w:t>
            </w:r>
          </w:p>
        </w:tc>
      </w:tr>
      <w:tr w14:paraId="3B43B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039" w:type="dxa"/>
            <w:noWrap w:val="0"/>
            <w:vAlign w:val="center"/>
          </w:tcPr>
          <w:p w14:paraId="5508115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7831" w:type="dxa"/>
            <w:gridSpan w:val="3"/>
            <w:noWrap w:val="0"/>
            <w:vAlign w:val="center"/>
          </w:tcPr>
          <w:p w14:paraId="3008D72E">
            <w:pPr>
              <w:pStyle w:val="83"/>
              <w:ind w:left="0" w:leftChars="0" w:firstLine="0" w:firstLineChars="0"/>
              <w:rPr>
                <w:rFonts w:hint="default"/>
                <w:color w:val="auto"/>
              </w:rPr>
            </w:pPr>
            <w:r>
              <w:rPr>
                <w:color w:val="auto"/>
              </w:rPr>
              <w:t>规划名称：《蔡家坡经济技术开发区总体规划》（2024-2035）</w:t>
            </w:r>
          </w:p>
          <w:p w14:paraId="5E33C88A">
            <w:pPr>
              <w:pStyle w:val="83"/>
              <w:ind w:left="0" w:leftChars="0" w:firstLine="0" w:firstLineChars="0"/>
              <w:rPr>
                <w:rFonts w:hint="default"/>
                <w:color w:val="auto"/>
              </w:rPr>
            </w:pPr>
            <w:r>
              <w:rPr>
                <w:color w:val="auto"/>
              </w:rPr>
              <w:t>审批机关：陕西省人民政府</w:t>
            </w:r>
          </w:p>
          <w:p w14:paraId="5B46F2A4">
            <w:pPr>
              <w:bidi w:val="0"/>
              <w:ind w:left="0" w:leftChars="0" w:firstLine="0" w:firstLineChars="0"/>
              <w:rPr>
                <w:rFonts w:hint="default" w:ascii="Times New Roman" w:hAnsi="Times New Roman" w:eastAsia="宋体" w:cs="Times New Roman"/>
                <w:color w:val="auto"/>
                <w:kern w:val="0"/>
                <w:szCs w:val="24"/>
                <w:highlight w:val="none"/>
                <w:lang w:val="en-US" w:eastAsia="zh-CN"/>
              </w:rPr>
            </w:pPr>
            <w:r>
              <w:rPr>
                <w:color w:val="auto"/>
              </w:rPr>
              <w:t>审查文号：《陕西省人民政府关于蔡家坡经济技术开发区调区扩区的批复》陕政函〔2024〕130号</w:t>
            </w:r>
          </w:p>
        </w:tc>
      </w:tr>
      <w:tr w14:paraId="62886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9" w:type="dxa"/>
            <w:noWrap w:val="0"/>
            <w:vAlign w:val="center"/>
          </w:tcPr>
          <w:p w14:paraId="7542854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w:t>
            </w:r>
          </w:p>
          <w:p w14:paraId="205FBFA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评价情况</w:t>
            </w:r>
          </w:p>
        </w:tc>
        <w:tc>
          <w:tcPr>
            <w:tcW w:w="7831" w:type="dxa"/>
            <w:gridSpan w:val="3"/>
            <w:noWrap w:val="0"/>
            <w:vAlign w:val="center"/>
          </w:tcPr>
          <w:p w14:paraId="7C1E92A6">
            <w:pPr>
              <w:numPr>
                <w:ilvl w:val="0"/>
                <w:numId w:val="0"/>
              </w:numPr>
              <w:bidi w:val="0"/>
              <w:rPr>
                <w:rFonts w:hint="default"/>
                <w:color w:val="auto"/>
                <w:highlight w:val="none"/>
                <w:lang w:val="en-US" w:eastAsia="zh-CN"/>
              </w:rPr>
            </w:pPr>
            <w:r>
              <w:rPr>
                <w:rFonts w:hint="default"/>
                <w:color w:val="auto"/>
                <w:highlight w:val="none"/>
                <w:lang w:val="en-US" w:eastAsia="zh-CN"/>
              </w:rPr>
              <w:t>文件名称：《蔡家坡经济技术开发区总体规划（2024-2035）环境影响报告书》</w:t>
            </w:r>
          </w:p>
          <w:p w14:paraId="0B8E3818">
            <w:pPr>
              <w:numPr>
                <w:ilvl w:val="0"/>
                <w:numId w:val="0"/>
              </w:numPr>
              <w:bidi w:val="0"/>
              <w:rPr>
                <w:rFonts w:hint="default"/>
                <w:color w:val="auto"/>
                <w:highlight w:val="none"/>
                <w:lang w:val="en-US" w:eastAsia="zh-CN"/>
              </w:rPr>
            </w:pPr>
            <w:r>
              <w:rPr>
                <w:rFonts w:hint="default"/>
                <w:color w:val="auto"/>
                <w:highlight w:val="none"/>
                <w:lang w:val="en-US" w:eastAsia="zh-CN"/>
              </w:rPr>
              <w:t>审查机关：陕西省生态环境厅</w:t>
            </w:r>
          </w:p>
          <w:p w14:paraId="5EB9DE94">
            <w:pPr>
              <w:numPr>
                <w:ilvl w:val="0"/>
                <w:numId w:val="0"/>
              </w:numPr>
              <w:bidi w:val="0"/>
              <w:rPr>
                <w:rFonts w:hint="default"/>
                <w:color w:val="auto"/>
                <w:highlight w:val="none"/>
                <w:lang w:val="en-US" w:eastAsia="zh-CN"/>
              </w:rPr>
            </w:pPr>
            <w:r>
              <w:rPr>
                <w:rFonts w:hint="default"/>
                <w:color w:val="auto"/>
                <w:highlight w:val="none"/>
                <w:lang w:val="en-US" w:eastAsia="zh-CN"/>
              </w:rPr>
              <w:t>审查文件：《陕西省生态环境厅关于蔡家坡经济技术开发区总体规划（2024-2035）环境影响报告书审查意见的函》</w:t>
            </w:r>
          </w:p>
          <w:p w14:paraId="6900C514">
            <w:pPr>
              <w:numPr>
                <w:ilvl w:val="0"/>
                <w:numId w:val="0"/>
              </w:numPr>
              <w:bidi w:val="0"/>
              <w:rPr>
                <w:rFonts w:hint="eastAsia" w:ascii="Times New Roman" w:hAnsi="Times New Roman" w:eastAsia="宋体" w:cs="Times New Roman"/>
                <w:color w:val="auto"/>
                <w:kern w:val="0"/>
                <w:szCs w:val="24"/>
                <w:highlight w:val="none"/>
                <w:lang w:val="en-US" w:eastAsia="zh-CN"/>
              </w:rPr>
            </w:pPr>
            <w:r>
              <w:rPr>
                <w:rFonts w:hint="default"/>
                <w:color w:val="auto"/>
                <w:highlight w:val="none"/>
                <w:lang w:val="en-US" w:eastAsia="zh-CN"/>
              </w:rPr>
              <w:t>审查文号（陕环环评函〔2024〕113号）</w:t>
            </w:r>
          </w:p>
        </w:tc>
      </w:tr>
      <w:tr w14:paraId="6B2F2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9" w:type="dxa"/>
            <w:noWrap w:val="0"/>
            <w:vAlign w:val="center"/>
          </w:tcPr>
          <w:p w14:paraId="27DAD1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规划及规划环境影响评价符合性分析</w:t>
            </w:r>
          </w:p>
        </w:tc>
        <w:tc>
          <w:tcPr>
            <w:tcW w:w="7831" w:type="dxa"/>
            <w:gridSpan w:val="3"/>
            <w:noWrap w:val="0"/>
            <w:vAlign w:val="center"/>
          </w:tcPr>
          <w:p w14:paraId="3B52C579">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4779645" cy="3302635"/>
                  <wp:effectExtent l="0" t="0" r="1905" b="12065"/>
                  <wp:docPr id="2" name="图片 2" descr="绘图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绘图1(42)(1)"/>
                          <pic:cNvPicPr>
                            <a:picLocks noChangeAspect="1"/>
                          </pic:cNvPicPr>
                        </pic:nvPicPr>
                        <pic:blipFill>
                          <a:blip r:embed="rId12"/>
                          <a:stretch>
                            <a:fillRect/>
                          </a:stretch>
                        </pic:blipFill>
                        <pic:spPr>
                          <a:xfrm>
                            <a:off x="0" y="0"/>
                            <a:ext cx="4779645" cy="3302635"/>
                          </a:xfrm>
                          <a:prstGeom prst="rect">
                            <a:avLst/>
                          </a:prstGeom>
                        </pic:spPr>
                      </pic:pic>
                    </a:graphicData>
                  </a:graphic>
                </wp:inline>
              </w:drawing>
            </w:r>
          </w:p>
          <w:p w14:paraId="472F9201">
            <w:pPr>
              <w:pStyle w:val="29"/>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color w:val="auto"/>
                <w:kern w:val="0"/>
                <w:sz w:val="21"/>
                <w:szCs w:val="21"/>
                <w:highlight w:val="none"/>
                <w:lang w:val="en-US" w:eastAsia="zh-CN"/>
              </w:rPr>
              <w:t>图1</w:t>
            </w:r>
            <w:r>
              <w:rPr>
                <w:rFonts w:hint="eastAsia" w:ascii="Times New Roman" w:hAnsi="Times New Roman" w:eastAsia="宋体" w:cs="Times New Roman"/>
                <w:b/>
                <w:bCs/>
                <w:color w:val="auto"/>
                <w:kern w:val="0"/>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rPr>
              <w:t>1 本项目在《蔡家坡经济技术开发区总体规划（2024-2035）-产业布局规划图》</w:t>
            </w:r>
            <w:r>
              <w:rPr>
                <w:rFonts w:hint="eastAsia" w:ascii="Times New Roman" w:hAnsi="Times New Roman" w:eastAsia="宋体" w:cs="Times New Roman"/>
                <w:b/>
                <w:bCs/>
                <w:color w:val="auto"/>
                <w:kern w:val="0"/>
                <w:sz w:val="21"/>
                <w:szCs w:val="21"/>
                <w:highlight w:val="none"/>
                <w:lang w:val="en-US" w:eastAsia="zh-CN"/>
              </w:rPr>
              <w:t>中</w:t>
            </w:r>
            <w:r>
              <w:rPr>
                <w:rFonts w:hint="default" w:ascii="Times New Roman" w:hAnsi="Times New Roman" w:eastAsia="宋体" w:cs="Times New Roman"/>
                <w:b/>
                <w:bCs/>
                <w:color w:val="auto"/>
                <w:kern w:val="0"/>
                <w:sz w:val="21"/>
                <w:szCs w:val="21"/>
                <w:highlight w:val="none"/>
                <w:lang w:val="en-US" w:eastAsia="zh-CN"/>
              </w:rPr>
              <w:t>位置图</w:t>
            </w:r>
          </w:p>
          <w:p w14:paraId="06192DBB">
            <w:pPr>
              <w:pStyle w:val="58"/>
              <w:bidi w:val="0"/>
              <w:rPr>
                <w:rFonts w:hint="eastAsia"/>
                <w:color w:val="auto"/>
                <w:highlight w:val="none"/>
                <w:lang w:val="en-US" w:eastAsia="zh-CN"/>
              </w:rPr>
            </w:pPr>
            <w:r>
              <w:rPr>
                <w:rFonts w:hint="eastAsia"/>
                <w:color w:val="auto"/>
                <w:highlight w:val="none"/>
                <w:lang w:val="en-US" w:eastAsia="zh-CN"/>
              </w:rPr>
              <w:t>表1-2  项目与规划及规划环评的符合性分析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3007"/>
              <w:gridCol w:w="2919"/>
              <w:gridCol w:w="750"/>
            </w:tblGrid>
            <w:tr w14:paraId="2F8D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927" w:type="dxa"/>
                  <w:noWrap w:val="0"/>
                  <w:vAlign w:val="center"/>
                </w:tcPr>
                <w:p w14:paraId="58D4D636">
                  <w:pPr>
                    <w:pStyle w:val="53"/>
                    <w:bidi w:val="0"/>
                    <w:jc w:val="center"/>
                    <w:rPr>
                      <w:rFonts w:hint="default"/>
                      <w:b/>
                      <w:bCs/>
                      <w:color w:val="auto"/>
                      <w:highlight w:val="none"/>
                      <w:lang w:val="en-US" w:eastAsia="zh-CN"/>
                    </w:rPr>
                  </w:pPr>
                  <w:r>
                    <w:rPr>
                      <w:rFonts w:hint="eastAsia"/>
                      <w:b/>
                      <w:bCs/>
                      <w:color w:val="auto"/>
                      <w:highlight w:val="none"/>
                      <w:lang w:val="en-US" w:eastAsia="zh-CN"/>
                    </w:rPr>
                    <w:t>文件名称</w:t>
                  </w:r>
                </w:p>
              </w:tc>
              <w:tc>
                <w:tcPr>
                  <w:tcW w:w="3007" w:type="dxa"/>
                  <w:noWrap w:val="0"/>
                  <w:vAlign w:val="center"/>
                </w:tcPr>
                <w:p w14:paraId="4F20A11B">
                  <w:pPr>
                    <w:pStyle w:val="53"/>
                    <w:bidi w:val="0"/>
                    <w:jc w:val="center"/>
                    <w:rPr>
                      <w:rFonts w:hint="default"/>
                      <w:b/>
                      <w:bCs/>
                      <w:color w:val="auto"/>
                      <w:highlight w:val="none"/>
                      <w:lang w:val="en-US" w:eastAsia="zh-CN"/>
                    </w:rPr>
                  </w:pPr>
                  <w:r>
                    <w:rPr>
                      <w:rFonts w:hint="eastAsia"/>
                      <w:b/>
                      <w:bCs/>
                      <w:color w:val="auto"/>
                      <w:highlight w:val="none"/>
                      <w:lang w:val="en-US" w:eastAsia="zh-CN"/>
                    </w:rPr>
                    <w:t>规划内容</w:t>
                  </w:r>
                </w:p>
              </w:tc>
              <w:tc>
                <w:tcPr>
                  <w:tcW w:w="2919" w:type="dxa"/>
                  <w:noWrap w:val="0"/>
                  <w:vAlign w:val="center"/>
                </w:tcPr>
                <w:p w14:paraId="1CDFB8CF">
                  <w:pPr>
                    <w:pStyle w:val="53"/>
                    <w:bidi w:val="0"/>
                    <w:jc w:val="center"/>
                    <w:rPr>
                      <w:rFonts w:hint="default"/>
                      <w:b/>
                      <w:bCs/>
                      <w:color w:val="auto"/>
                      <w:highlight w:val="none"/>
                      <w:lang w:val="en-US" w:eastAsia="zh-CN"/>
                    </w:rPr>
                  </w:pPr>
                  <w:r>
                    <w:rPr>
                      <w:rFonts w:hint="eastAsia"/>
                      <w:b/>
                      <w:bCs/>
                      <w:color w:val="auto"/>
                      <w:highlight w:val="none"/>
                      <w:lang w:val="en-US" w:eastAsia="zh-CN"/>
                    </w:rPr>
                    <w:t>本项目情况</w:t>
                  </w:r>
                </w:p>
              </w:tc>
              <w:tc>
                <w:tcPr>
                  <w:tcW w:w="750" w:type="dxa"/>
                  <w:noWrap w:val="0"/>
                  <w:vAlign w:val="center"/>
                </w:tcPr>
                <w:p w14:paraId="44D2AF37">
                  <w:pPr>
                    <w:pStyle w:val="53"/>
                    <w:bidi w:val="0"/>
                    <w:jc w:val="center"/>
                    <w:rPr>
                      <w:rFonts w:hint="default"/>
                      <w:b/>
                      <w:bCs/>
                      <w:color w:val="auto"/>
                      <w:highlight w:val="none"/>
                      <w:lang w:val="en-US" w:eastAsia="zh-CN"/>
                    </w:rPr>
                  </w:pPr>
                  <w:r>
                    <w:rPr>
                      <w:rFonts w:hint="eastAsia"/>
                      <w:b/>
                      <w:bCs/>
                      <w:color w:val="auto"/>
                      <w:highlight w:val="none"/>
                      <w:lang w:val="en-US" w:eastAsia="zh-CN"/>
                    </w:rPr>
                    <w:t>符合性</w:t>
                  </w:r>
                </w:p>
              </w:tc>
            </w:tr>
            <w:tr w14:paraId="0CDF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restart"/>
                  <w:noWrap w:val="0"/>
                  <w:vAlign w:val="center"/>
                </w:tcPr>
                <w:p w14:paraId="56EB665B">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蔡家坡经济技术开发区总体规划</w:t>
                  </w:r>
                </w:p>
                <w:p w14:paraId="3165681C">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（2024-2035年）</w:t>
                  </w:r>
                </w:p>
              </w:tc>
              <w:tc>
                <w:tcPr>
                  <w:tcW w:w="3007" w:type="dxa"/>
                  <w:noWrap w:val="0"/>
                  <w:vAlign w:val="center"/>
                </w:tcPr>
                <w:p w14:paraId="064C366E">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蔡家坡经济技术开发区申报面积为952.39公顷，由两个区块组成。区块一182.91公顷：东至水城三国小镇，南至众喜路，西至法士特大桥，北至连霍高速。区块二769.48公顷：东至石头河，南至南环路以南200米，西至法士特大道，北至德馨路。</w:t>
                  </w:r>
                </w:p>
              </w:tc>
              <w:tc>
                <w:tcPr>
                  <w:tcW w:w="2919" w:type="dxa"/>
                  <w:noWrap w:val="0"/>
                  <w:vAlign w:val="center"/>
                </w:tcPr>
                <w:p w14:paraId="69813FD0">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本项目位于陕西省宝鸡市岐山县蔡家坡经济技术开发区，在蔡家坡经济技术开发区-区块二范围内。</w:t>
                  </w:r>
                </w:p>
              </w:tc>
              <w:tc>
                <w:tcPr>
                  <w:tcW w:w="750" w:type="dxa"/>
                  <w:noWrap w:val="0"/>
                  <w:vAlign w:val="center"/>
                </w:tcPr>
                <w:p w14:paraId="2A252F2D">
                  <w:pPr>
                    <w:pStyle w:val="53"/>
                    <w:bidi w:val="0"/>
                    <w:jc w:val="center"/>
                    <w:rPr>
                      <w:rFonts w:hint="default"/>
                      <w:color w:val="auto"/>
                      <w:highlight w:val="none"/>
                      <w:lang w:val="en-US" w:eastAsia="zh-CN"/>
                    </w:rPr>
                  </w:pPr>
                  <w:r>
                    <w:rPr>
                      <w:rFonts w:hint="eastAsia"/>
                      <w:color w:val="auto"/>
                      <w:highlight w:val="none"/>
                      <w:lang w:val="en-US" w:eastAsia="zh-CN"/>
                    </w:rPr>
                    <w:t>符合</w:t>
                  </w:r>
                </w:p>
              </w:tc>
            </w:tr>
            <w:tr w14:paraId="4D7C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002ED9A5">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noWrap w:val="0"/>
                  <w:vAlign w:val="center"/>
                </w:tcPr>
                <w:p w14:paraId="6A111C73">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第十六条 产业空间布局</w:t>
                  </w:r>
                </w:p>
                <w:p w14:paraId="7001414B">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打造汽车产业园、智能制造装备产业园和新材料产业园三大新质产业园。汽车产业园主要位于渭河南岸区域，智能制造装备产业园布局在渭河以北东段和石头河西侧区域，新材料产业园主要在渭河以北西段和汽车大道东段北侧区域。</w:t>
                  </w:r>
                </w:p>
              </w:tc>
              <w:tc>
                <w:tcPr>
                  <w:tcW w:w="2919" w:type="dxa"/>
                  <w:noWrap w:val="0"/>
                  <w:vAlign w:val="center"/>
                </w:tcPr>
                <w:p w14:paraId="46B915A7">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本项目位于陕西省宝鸡市岐山县蔡家坡经济技术开发区，对照《蔡家坡经济技术开发区总体规划（2024-2035）-产业布局规划图》本项目位于蔡家坡经济技术开发区-区块二-汽车产业园范围内。</w:t>
                  </w:r>
                </w:p>
              </w:tc>
              <w:tc>
                <w:tcPr>
                  <w:tcW w:w="750" w:type="dxa"/>
                  <w:noWrap w:val="0"/>
                  <w:vAlign w:val="center"/>
                </w:tcPr>
                <w:p w14:paraId="1ABBFFEF">
                  <w:pPr>
                    <w:pStyle w:val="53"/>
                    <w:bidi w:val="0"/>
                    <w:jc w:val="center"/>
                    <w:rPr>
                      <w:rFonts w:hint="eastAsia"/>
                      <w:color w:val="auto"/>
                      <w:highlight w:val="none"/>
                      <w:lang w:val="en-US" w:eastAsia="zh-CN"/>
                    </w:rPr>
                  </w:pPr>
                </w:p>
              </w:tc>
            </w:tr>
            <w:tr w14:paraId="08E2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3AAA1F30">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noWrap w:val="0"/>
                  <w:vAlign w:val="center"/>
                </w:tcPr>
                <w:p w14:paraId="4E5C3D16">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二、产业发展引导</w:t>
                  </w:r>
                </w:p>
                <w:p w14:paraId="35FE31BF">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 xml:space="preserve">做强汽车产业 </w:t>
                  </w:r>
                </w:p>
                <w:p w14:paraId="47D8F840">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立足蔡家坡经开区汽车产业基础，把握汽车</w:t>
                  </w:r>
                  <w:r>
                    <w:rPr>
                      <w:rFonts w:hint="eastAsia" w:ascii="Times New Roman" w:hAnsi="Times New Roman" w:eastAsia="宋体" w:cs="Times New Roman"/>
                      <w:bCs/>
                      <w:color w:val="auto"/>
                      <w:kern w:val="0"/>
                      <w:sz w:val="21"/>
                      <w:szCs w:val="21"/>
                      <w:highlight w:val="none"/>
                      <w:vertAlign w:val="baseline"/>
                      <w:lang w:val="en-US" w:eastAsia="zh-CN" w:bidi="ar-SA"/>
                    </w:rPr>
                    <w:t>“</w:t>
                  </w:r>
                  <w:r>
                    <w:rPr>
                      <w:rFonts w:hint="default" w:ascii="Times New Roman" w:hAnsi="Times New Roman" w:eastAsia="宋体" w:cs="Times New Roman"/>
                      <w:bCs/>
                      <w:color w:val="auto"/>
                      <w:kern w:val="0"/>
                      <w:sz w:val="21"/>
                      <w:szCs w:val="21"/>
                      <w:highlight w:val="none"/>
                      <w:vertAlign w:val="baseline"/>
                      <w:lang w:val="en-US" w:eastAsia="zh-CN" w:bidi="ar-SA"/>
                    </w:rPr>
                    <w:t>新四化</w:t>
                  </w:r>
                  <w:r>
                    <w:rPr>
                      <w:rFonts w:hint="eastAsia" w:ascii="Times New Roman" w:hAnsi="Times New Roman" w:eastAsia="宋体" w:cs="Times New Roman"/>
                      <w:bCs/>
                      <w:color w:val="auto"/>
                      <w:kern w:val="0"/>
                      <w:sz w:val="21"/>
                      <w:szCs w:val="21"/>
                      <w:highlight w:val="none"/>
                      <w:vertAlign w:val="baseline"/>
                      <w:lang w:val="en-US" w:eastAsia="zh-CN" w:bidi="ar-SA"/>
                    </w:rPr>
                    <w:t>”</w:t>
                  </w:r>
                  <w:r>
                    <w:rPr>
                      <w:rFonts w:hint="default" w:ascii="Times New Roman" w:hAnsi="Times New Roman" w:eastAsia="宋体" w:cs="Times New Roman"/>
                      <w:bCs/>
                      <w:color w:val="auto"/>
                      <w:kern w:val="0"/>
                      <w:sz w:val="21"/>
                      <w:szCs w:val="21"/>
                      <w:highlight w:val="none"/>
                      <w:vertAlign w:val="baseline"/>
                      <w:lang w:val="en-US" w:eastAsia="zh-CN" w:bidi="ar-SA"/>
                    </w:rPr>
                    <w:t>发展趋势，按照</w:t>
                  </w:r>
                  <w:r>
                    <w:rPr>
                      <w:rFonts w:hint="eastAsia" w:ascii="Times New Roman" w:hAnsi="Times New Roman" w:eastAsia="宋体" w:cs="Times New Roman"/>
                      <w:bCs/>
                      <w:color w:val="auto"/>
                      <w:kern w:val="0"/>
                      <w:sz w:val="21"/>
                      <w:szCs w:val="21"/>
                      <w:highlight w:val="none"/>
                      <w:vertAlign w:val="baseline"/>
                      <w:lang w:val="en-US" w:eastAsia="zh-CN" w:bidi="ar-SA"/>
                    </w:rPr>
                    <w:t>“</w:t>
                  </w:r>
                  <w:r>
                    <w:rPr>
                      <w:rFonts w:hint="default" w:ascii="Times New Roman" w:hAnsi="Times New Roman" w:eastAsia="宋体" w:cs="Times New Roman"/>
                      <w:bCs/>
                      <w:color w:val="auto"/>
                      <w:kern w:val="0"/>
                      <w:sz w:val="21"/>
                      <w:szCs w:val="21"/>
                      <w:highlight w:val="none"/>
                      <w:vertAlign w:val="baseline"/>
                      <w:lang w:val="en-US" w:eastAsia="zh-CN" w:bidi="ar-SA"/>
                    </w:rPr>
                    <w:t>做大整车、做强配套、突破关键</w:t>
                  </w:r>
                  <w:r>
                    <w:rPr>
                      <w:rFonts w:hint="eastAsia" w:ascii="Times New Roman" w:hAnsi="Times New Roman" w:eastAsia="宋体" w:cs="Times New Roman"/>
                      <w:bCs/>
                      <w:color w:val="auto"/>
                      <w:kern w:val="0"/>
                      <w:sz w:val="21"/>
                      <w:szCs w:val="21"/>
                      <w:highlight w:val="none"/>
                      <w:vertAlign w:val="baseline"/>
                      <w:lang w:val="en-US" w:eastAsia="zh-CN" w:bidi="ar-SA"/>
                    </w:rPr>
                    <w:t>”</w:t>
                  </w:r>
                  <w:r>
                    <w:rPr>
                      <w:rFonts w:hint="default" w:ascii="Times New Roman" w:hAnsi="Times New Roman" w:eastAsia="宋体" w:cs="Times New Roman"/>
                      <w:bCs/>
                      <w:color w:val="auto"/>
                      <w:kern w:val="0"/>
                      <w:sz w:val="21"/>
                      <w:szCs w:val="21"/>
                      <w:highlight w:val="none"/>
                      <w:vertAlign w:val="baseline"/>
                      <w:lang w:val="en-US" w:eastAsia="zh-CN" w:bidi="ar-SA"/>
                    </w:rPr>
                    <w:t>的总体思路，全力推动汽车产业规模扩张和质量提升，重点发展专用车、商用车两大整车制造，动力总成和底盘总成为主、车身总成为辅的三大总成零部件，积极布局新能源汽车零部件，培育发展以智能网联汽车为引领的汽车电子，构建完善的汽车产业链条，建设中国西部汽车及零部件制造基地和丝路汽车名城。</w:t>
                  </w:r>
                </w:p>
                <w:p w14:paraId="337DD99D">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2919" w:type="dxa"/>
                  <w:noWrap w:val="0"/>
                  <w:vAlign w:val="center"/>
                </w:tcPr>
                <w:p w14:paraId="5A51406B">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本企业</w:t>
                  </w:r>
                  <w:r>
                    <w:rPr>
                      <w:rFonts w:hint="eastAsia" w:cs="Times New Roman"/>
                      <w:bCs/>
                      <w:color w:val="auto"/>
                      <w:kern w:val="0"/>
                      <w:sz w:val="21"/>
                      <w:szCs w:val="21"/>
                      <w:highlight w:val="none"/>
                      <w:vertAlign w:val="baseline"/>
                      <w:lang w:val="en-US" w:eastAsia="zh-CN" w:bidi="ar-SA"/>
                    </w:rPr>
                    <w:t>为汽车零部件及配件制造</w:t>
                  </w:r>
                  <w:r>
                    <w:rPr>
                      <w:rFonts w:hint="default" w:ascii="Times New Roman" w:hAnsi="Times New Roman" w:eastAsia="宋体" w:cs="Times New Roman"/>
                      <w:bCs/>
                      <w:color w:val="auto"/>
                      <w:kern w:val="0"/>
                      <w:sz w:val="21"/>
                      <w:szCs w:val="21"/>
                      <w:highlight w:val="none"/>
                      <w:vertAlign w:val="baseline"/>
                      <w:lang w:val="en-US" w:eastAsia="zh-CN" w:bidi="ar-SA"/>
                    </w:rPr>
                    <w:t>，符合蔡家坡经开区产业发展引导方向。从产业定位来看，产品属于园区重点发展的汽车产业核心零部件范畴，是动力总成系统的关键组成部分，契合园区</w:t>
                  </w:r>
                  <w:r>
                    <w:rPr>
                      <w:rFonts w:hint="eastAsia" w:cs="Times New Roman"/>
                      <w:bCs/>
                      <w:color w:val="auto"/>
                      <w:kern w:val="0"/>
                      <w:sz w:val="21"/>
                      <w:szCs w:val="21"/>
                      <w:highlight w:val="none"/>
                      <w:vertAlign w:val="baseline"/>
                      <w:lang w:val="en-US" w:eastAsia="zh-CN" w:bidi="ar-SA"/>
                    </w:rPr>
                    <w:t>“</w:t>
                  </w:r>
                  <w:r>
                    <w:rPr>
                      <w:rFonts w:hint="default" w:ascii="Times New Roman" w:hAnsi="Times New Roman" w:eastAsia="宋体" w:cs="Times New Roman"/>
                      <w:bCs/>
                      <w:color w:val="auto"/>
                      <w:kern w:val="0"/>
                      <w:sz w:val="21"/>
                      <w:szCs w:val="21"/>
                      <w:highlight w:val="none"/>
                      <w:vertAlign w:val="baseline"/>
                      <w:lang w:val="en-US" w:eastAsia="zh-CN" w:bidi="ar-SA"/>
                    </w:rPr>
                    <w:t>做强配套、突破关键</w:t>
                  </w:r>
                  <w:r>
                    <w:rPr>
                      <w:rFonts w:hint="eastAsia" w:cs="Times New Roman"/>
                      <w:bCs/>
                      <w:color w:val="auto"/>
                      <w:kern w:val="0"/>
                      <w:sz w:val="21"/>
                      <w:szCs w:val="21"/>
                      <w:highlight w:val="none"/>
                      <w:vertAlign w:val="baseline"/>
                      <w:lang w:val="en-US" w:eastAsia="zh-CN" w:bidi="ar-SA"/>
                    </w:rPr>
                    <w:t>”</w:t>
                  </w:r>
                  <w:r>
                    <w:rPr>
                      <w:rFonts w:hint="default" w:ascii="Times New Roman" w:hAnsi="Times New Roman" w:eastAsia="宋体" w:cs="Times New Roman"/>
                      <w:bCs/>
                      <w:color w:val="auto"/>
                      <w:kern w:val="0"/>
                      <w:sz w:val="21"/>
                      <w:szCs w:val="21"/>
                      <w:highlight w:val="none"/>
                      <w:vertAlign w:val="baseline"/>
                      <w:lang w:val="en-US" w:eastAsia="zh-CN" w:bidi="ar-SA"/>
                    </w:rPr>
                    <w:t>的汽车产业发展思路，能够直接支撑园区专用车、商用车整车制造产业发展，助力完善区域汽车产业链条。产业协同</w:t>
                  </w:r>
                  <w:r>
                    <w:rPr>
                      <w:rFonts w:hint="eastAsia" w:cs="Times New Roman"/>
                      <w:bCs/>
                      <w:color w:val="auto"/>
                      <w:kern w:val="0"/>
                      <w:sz w:val="21"/>
                      <w:szCs w:val="21"/>
                      <w:highlight w:val="none"/>
                      <w:vertAlign w:val="baseline"/>
                      <w:lang w:val="en-US" w:eastAsia="zh-CN" w:bidi="ar-SA"/>
                    </w:rPr>
                    <w:t>方面</w:t>
                  </w:r>
                  <w:r>
                    <w:rPr>
                      <w:rFonts w:hint="default" w:ascii="Times New Roman" w:hAnsi="Times New Roman" w:eastAsia="宋体" w:cs="Times New Roman"/>
                      <w:bCs/>
                      <w:color w:val="auto"/>
                      <w:kern w:val="0"/>
                      <w:sz w:val="21"/>
                      <w:szCs w:val="21"/>
                      <w:highlight w:val="none"/>
                      <w:vertAlign w:val="baseline"/>
                      <w:lang w:val="en-US" w:eastAsia="zh-CN" w:bidi="ar-SA"/>
                    </w:rPr>
                    <w:t>，园区重点发展的高性能复合材料、智能制造装备产业可为企业提供上游材料供给和生产设备升级支持，形成完整的产业协同生态。企业落地后将有效融入园区汽车及零部件制造产业体系，助力西部汽车及零部件制造基地建设。</w:t>
                  </w:r>
                </w:p>
                <w:p w14:paraId="75EB2E56">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750" w:type="dxa"/>
                  <w:noWrap w:val="0"/>
                  <w:vAlign w:val="center"/>
                </w:tcPr>
                <w:p w14:paraId="123196E4">
                  <w:pPr>
                    <w:pStyle w:val="53"/>
                    <w:bidi w:val="0"/>
                    <w:jc w:val="center"/>
                    <w:rPr>
                      <w:rFonts w:hint="eastAsia"/>
                      <w:color w:val="auto"/>
                      <w:highlight w:val="none"/>
                      <w:lang w:val="en-US" w:eastAsia="zh-CN"/>
                    </w:rPr>
                  </w:pPr>
                </w:p>
              </w:tc>
            </w:tr>
            <w:tr w14:paraId="3DCA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restart"/>
                  <w:noWrap w:val="0"/>
                  <w:vAlign w:val="center"/>
                </w:tcPr>
                <w:p w14:paraId="5C39046C">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《蔡家坡经济技术开发区总体规划（2024-2035）环境影响报告书》</w:t>
                  </w:r>
                </w:p>
              </w:tc>
              <w:tc>
                <w:tcPr>
                  <w:tcW w:w="3007" w:type="dxa"/>
                  <w:shd w:val="clear" w:color="auto" w:fill="auto"/>
                  <w:noWrap w:val="0"/>
                  <w:vAlign w:val="center"/>
                </w:tcPr>
                <w:p w14:paraId="17029247">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2.1.1规划范围</w:t>
                  </w:r>
                </w:p>
                <w:p w14:paraId="7AF8960C">
                  <w:pPr>
                    <w:pStyle w:val="84"/>
                    <w:tabs>
                      <w:tab w:val="left" w:pos="250"/>
                    </w:tabs>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蔡家坡经济技术开发区规划面积952.39公顷，由两个区块组成。区块一182.91公顷：东至水城三国小镇，南至众喜路，西至法士特大桥，北至连霍高速。区块二769.48公顷：东至石头河，南至南环路以南200米，西至法士特大道，北至德馨路。</w:t>
                  </w:r>
                </w:p>
              </w:tc>
              <w:tc>
                <w:tcPr>
                  <w:tcW w:w="2919" w:type="dxa"/>
                  <w:shd w:val="clear" w:color="auto" w:fill="auto"/>
                  <w:noWrap w:val="0"/>
                  <w:vAlign w:val="center"/>
                </w:tcPr>
                <w:p w14:paraId="376F89CE">
                  <w:pPr>
                    <w:pStyle w:val="84"/>
                    <w:tabs>
                      <w:tab w:val="left" w:pos="250"/>
                    </w:tabs>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本项目位于陕西省宝鸡市岐山县蔡家坡经济技术开发区，在蔡家坡经济技术开发区-区块二范围内。</w:t>
                  </w:r>
                </w:p>
              </w:tc>
              <w:tc>
                <w:tcPr>
                  <w:tcW w:w="750" w:type="dxa"/>
                  <w:noWrap w:val="0"/>
                  <w:vAlign w:val="center"/>
                </w:tcPr>
                <w:p w14:paraId="033DCD80">
                  <w:pPr>
                    <w:pStyle w:val="53"/>
                    <w:bidi w:val="0"/>
                    <w:jc w:val="center"/>
                    <w:rPr>
                      <w:rFonts w:hint="eastAsia"/>
                      <w:color w:val="auto"/>
                      <w:highlight w:val="none"/>
                      <w:lang w:val="en-US" w:eastAsia="zh-CN"/>
                    </w:rPr>
                  </w:pPr>
                </w:p>
              </w:tc>
            </w:tr>
            <w:tr w14:paraId="417E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317BD4BC">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shd w:val="clear" w:color="auto" w:fill="auto"/>
                  <w:noWrap w:val="0"/>
                  <w:vAlign w:val="center"/>
                </w:tcPr>
                <w:p w14:paraId="647E7A10">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8.4生态环境准入清单</w:t>
                  </w:r>
                </w:p>
                <w:p w14:paraId="6AEDAC0B">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8.4.2负面清单类</w:t>
                  </w:r>
                </w:p>
                <w:p w14:paraId="40CE2262">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（1）《产业结构调整目录》中限制类和淘汰类项目，《市场准入负面清单（2020年版）》中项目；国家和地方产业政策中淘汰、禁止的落后产能、工艺和产品，禁止入区；</w:t>
                  </w:r>
                </w:p>
                <w:p w14:paraId="3848498B">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新增钢铁、焦化、水泥熟料、平板玻璃、电解铝、氧化铝、煤化工产能的项目；排放重点重金属污染物的新、改、扩建涉重金属重点行业建设项目中无重金属污染物排放总量来源的；新建或改造升级的高端铸造建设项目中无等量或减量产能置换指标的；</w:t>
                  </w:r>
                </w:p>
                <w:p w14:paraId="2527EE44">
                  <w:pPr>
                    <w:pStyle w:val="84"/>
                    <w:tabs>
                      <w:tab w:val="left" w:pos="250"/>
                    </w:tabs>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（3）不符合《宝鸡市生态环境准入清单》相关管控要求的项目。</w:t>
                  </w:r>
                </w:p>
              </w:tc>
              <w:tc>
                <w:tcPr>
                  <w:tcW w:w="2919" w:type="dxa"/>
                  <w:noWrap w:val="0"/>
                  <w:vAlign w:val="center"/>
                </w:tcPr>
                <w:p w14:paraId="04C66DDD">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1.本项目为</w:t>
                  </w:r>
                  <w:r>
                    <w:rPr>
                      <w:rFonts w:hint="eastAsia" w:cs="Times New Roman"/>
                      <w:bCs/>
                      <w:color w:val="auto"/>
                      <w:kern w:val="0"/>
                      <w:sz w:val="21"/>
                      <w:szCs w:val="21"/>
                      <w:highlight w:val="none"/>
                      <w:vertAlign w:val="baseline"/>
                      <w:lang w:val="en-US" w:eastAsia="zh-CN" w:bidi="ar-SA"/>
                    </w:rPr>
                    <w:t>汽车零部件及配件制造</w:t>
                  </w:r>
                  <w:r>
                    <w:rPr>
                      <w:rFonts w:hint="default" w:ascii="Times New Roman" w:hAnsi="Times New Roman" w:eastAsia="宋体" w:cs="Times New Roman"/>
                      <w:color w:val="auto"/>
                      <w:sz w:val="21"/>
                      <w:szCs w:val="21"/>
                      <w:highlight w:val="none"/>
                      <w:lang w:val="en-US" w:eastAsia="zh-CN"/>
                    </w:rPr>
                    <w:t>，主要产污工序为下料、</w:t>
                  </w:r>
                  <w:r>
                    <w:rPr>
                      <w:rFonts w:hint="eastAsia" w:ascii="Times New Roman" w:hAnsi="Times New Roman" w:cs="Times New Roman"/>
                      <w:color w:val="auto"/>
                      <w:sz w:val="21"/>
                      <w:szCs w:val="21"/>
                      <w:highlight w:val="none"/>
                      <w:lang w:val="en-US" w:eastAsia="zh-CN"/>
                    </w:rPr>
                    <w:t>加热、锻造、抛丸、分选</w:t>
                  </w:r>
                  <w:r>
                    <w:rPr>
                      <w:rFonts w:hint="default" w:ascii="Times New Roman" w:hAnsi="Times New Roman" w:eastAsia="宋体" w:cs="Times New Roman"/>
                      <w:color w:val="auto"/>
                      <w:sz w:val="21"/>
                      <w:szCs w:val="21"/>
                      <w:highlight w:val="none"/>
                      <w:lang w:val="en-US" w:eastAsia="zh-CN"/>
                    </w:rPr>
                    <w:t>，主要产品为</w:t>
                  </w:r>
                  <w:r>
                    <w:rPr>
                      <w:rFonts w:hint="eastAsia" w:ascii="Times New Roman" w:hAnsi="Times New Roman" w:eastAsia="宋体" w:cs="Times New Roman"/>
                      <w:color w:val="auto"/>
                      <w:sz w:val="21"/>
                      <w:szCs w:val="21"/>
                      <w:highlight w:val="none"/>
                      <w:lang w:val="en-US" w:eastAsia="zh-CN"/>
                    </w:rPr>
                    <w:t>同步器齿毂</w:t>
                  </w:r>
                  <w:r>
                    <w:rPr>
                      <w:rFonts w:hint="eastAsia" w:ascii="Times New Roman" w:hAnsi="Times New Roman" w:cs="Times New Roman"/>
                      <w:color w:val="auto"/>
                      <w:sz w:val="21"/>
                      <w:szCs w:val="21"/>
                      <w:highlight w:val="none"/>
                      <w:lang w:val="en-US" w:eastAsia="zh-CN"/>
                    </w:rPr>
                    <w:t>和同步器结合齿圈</w:t>
                  </w:r>
                  <w:r>
                    <w:rPr>
                      <w:rFonts w:hint="default" w:ascii="Times New Roman" w:hAnsi="Times New Roman" w:eastAsia="宋体" w:cs="Times New Roman"/>
                      <w:color w:val="auto"/>
                      <w:sz w:val="21"/>
                      <w:szCs w:val="21"/>
                      <w:highlight w:val="none"/>
                      <w:lang w:val="en-US" w:eastAsia="zh-CN"/>
                    </w:rPr>
                    <w:t>，对照《产业结构调整指导目录（2024年本）》，该行业未被列入鼓励类、限制类或淘汰类目录，因此本项目属于允许类项目；对照《市场准入负面清单（2025年版）》，本项目不涉及禁止事项；</w:t>
                  </w:r>
                </w:p>
                <w:p w14:paraId="01E10A87">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2.本项目不属于钢铁、焦化、水泥熟料、平板玻璃、电解铝、氧化铝、煤化工产能的项目；本项目排放的大气污染物主要为颗粒物、</w:t>
                  </w:r>
                  <w:r>
                    <w:rPr>
                      <w:rFonts w:hint="eastAsia" w:ascii="Times New Roman" w:hAnsi="Times New Roman" w:cs="Times New Roman"/>
                      <w:color w:val="auto"/>
                      <w:sz w:val="21"/>
                      <w:szCs w:val="21"/>
                      <w:highlight w:val="none"/>
                      <w:lang w:val="en-US" w:eastAsia="zh-CN"/>
                    </w:rPr>
                    <w:t>SO</w:t>
                  </w:r>
                  <w:r>
                    <w:rPr>
                      <w:rFonts w:hint="eastAsia" w:ascii="Times New Roman" w:hAnsi="Times New Roman"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val="en-US" w:eastAsia="zh-CN"/>
                    </w:rPr>
                    <w:t>，不涉及重金属排放；本项目不属于铸造行业，不涉及产能置换指标；</w:t>
                  </w:r>
                </w:p>
                <w:p w14:paraId="73374DB3">
                  <w:pPr>
                    <w:pStyle w:val="53"/>
                    <w:bidi w:val="0"/>
                    <w:jc w:val="left"/>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3.经分析《关于印发2023年宝鸡市生态环境分区管控调整方案的通知》（宝区环办〔2024〕1号）中附件3-宝鸡市生态环境准入清单（2023年），本项目符合管控要求，详见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分析。</w:t>
                  </w:r>
                </w:p>
              </w:tc>
              <w:tc>
                <w:tcPr>
                  <w:tcW w:w="750" w:type="dxa"/>
                  <w:noWrap w:val="0"/>
                  <w:vAlign w:val="center"/>
                </w:tcPr>
                <w:p w14:paraId="208F97F8">
                  <w:pPr>
                    <w:pStyle w:val="53"/>
                    <w:bidi w:val="0"/>
                    <w:jc w:val="center"/>
                    <w:rPr>
                      <w:rFonts w:hint="eastAsia"/>
                      <w:color w:val="auto"/>
                      <w:highlight w:val="none"/>
                      <w:lang w:val="en-US" w:eastAsia="zh-CN"/>
                    </w:rPr>
                  </w:pPr>
                </w:p>
              </w:tc>
            </w:tr>
            <w:tr w14:paraId="7ACF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2AFE7854">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shd w:val="clear" w:color="auto" w:fill="auto"/>
                  <w:noWrap w:val="0"/>
                  <w:vAlign w:val="center"/>
                </w:tcPr>
                <w:p w14:paraId="12CB9746">
                  <w:pPr>
                    <w:pStyle w:val="84"/>
                    <w:numPr>
                      <w:ilvl w:val="0"/>
                      <w:numId w:val="0"/>
                    </w:numPr>
                    <w:tabs>
                      <w:tab w:val="left" w:pos="250"/>
                    </w:tabs>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完善企业内部污水处理</w:t>
                  </w:r>
                </w:p>
                <w:p w14:paraId="67358768">
                  <w:pPr>
                    <w:pStyle w:val="84"/>
                    <w:numPr>
                      <w:ilvl w:val="0"/>
                      <w:numId w:val="0"/>
                    </w:numPr>
                    <w:tabs>
                      <w:tab w:val="left" w:pos="250"/>
                    </w:tabs>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①废水收集和排放体系：各企业按照清污分流、雨污分流的原则建立完善的收集和排水系统，确保各类废水得到有效收集和处理。根据废水产生的情况和特点，选择合理的废水处理工艺，确保污水处理达标后排放。清净废水应进行单独收集单独处理，不得与其他高浓度废水混合处理，降低废水处理建设投资及运营成本，同时也便于处理及循环利用。生产废液按照固体废物集中处置，不得混入废水稀释排入污水管网。严禁将高浓度废水稀释排放。重点排污企业污水排放口应安装在线监测装置。</w:t>
                  </w:r>
                </w:p>
              </w:tc>
              <w:tc>
                <w:tcPr>
                  <w:tcW w:w="2919" w:type="dxa"/>
                  <w:noWrap w:val="0"/>
                  <w:vAlign w:val="center"/>
                </w:tcPr>
                <w:p w14:paraId="40F59812">
                  <w:pPr>
                    <w:pStyle w:val="53"/>
                    <w:bidi w:val="0"/>
                    <w:jc w:val="left"/>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本项目污水采取雨污分流，外排废水主要为生活污水，依托厂区现有化粪池处理后排入</w:t>
                  </w:r>
                  <w:r>
                    <w:rPr>
                      <w:rFonts w:hint="eastAsia"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lang w:val="en-US" w:eastAsia="zh-CN"/>
                    </w:rPr>
                    <w:t>污水管网，最终排入</w:t>
                  </w:r>
                  <w:r>
                    <w:rPr>
                      <w:rFonts w:hint="eastAsia" w:cs="Times New Roman"/>
                      <w:color w:val="auto"/>
                      <w:sz w:val="21"/>
                      <w:szCs w:val="21"/>
                      <w:highlight w:val="none"/>
                      <w:lang w:val="en-US" w:eastAsia="zh-CN"/>
                    </w:rPr>
                    <w:t>岐山县五丈原</w:t>
                  </w:r>
                  <w:r>
                    <w:rPr>
                      <w:rFonts w:hint="default" w:ascii="Times New Roman" w:hAnsi="Times New Roman" w:eastAsia="宋体" w:cs="Times New Roman"/>
                      <w:color w:val="auto"/>
                      <w:sz w:val="21"/>
                      <w:szCs w:val="21"/>
                      <w:highlight w:val="none"/>
                      <w:lang w:val="en-US" w:eastAsia="zh-CN"/>
                    </w:rPr>
                    <w:t>污水处理厂集中处理。</w:t>
                  </w:r>
                </w:p>
              </w:tc>
              <w:tc>
                <w:tcPr>
                  <w:tcW w:w="750" w:type="dxa"/>
                  <w:noWrap w:val="0"/>
                  <w:vAlign w:val="center"/>
                </w:tcPr>
                <w:p w14:paraId="418D5254">
                  <w:pPr>
                    <w:pStyle w:val="53"/>
                    <w:bidi w:val="0"/>
                    <w:jc w:val="center"/>
                    <w:rPr>
                      <w:rFonts w:hint="eastAsia"/>
                      <w:color w:val="auto"/>
                      <w:highlight w:val="none"/>
                      <w:lang w:val="en-US" w:eastAsia="zh-CN"/>
                    </w:rPr>
                  </w:pPr>
                </w:p>
              </w:tc>
            </w:tr>
            <w:tr w14:paraId="7E6E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7B7ACCA3">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shd w:val="clear" w:color="auto" w:fill="auto"/>
                  <w:noWrap w:val="0"/>
                  <w:vAlign w:val="center"/>
                </w:tcPr>
                <w:p w14:paraId="71331788">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7.3.4声环境影响减缓对策措施</w:t>
                  </w:r>
                </w:p>
                <w:p w14:paraId="06A7221B">
                  <w:pPr>
                    <w:pStyle w:val="84"/>
                    <w:tabs>
                      <w:tab w:val="left" w:pos="250"/>
                    </w:tabs>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蔡家坡经济技术开发区噪声污染控制目标是：声环境达标区覆盖率为100%，各类功能区声环境质量达到《声环境质量标准》（GB3096-2008）中相应标准限值的要求。声环境污染控制原则：以</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闹静分开</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和</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以人为本</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为原则，在规划具体实施过程中加强区域内噪声源与声环境敏感目标的规划布局，针对性的对各类噪声源采取相应的综合治理措施，通过采取调整布局、留足绿化带宽度、营造防护林等措施，将因规划实施产生声环境影响控制在较小的范围内。</w:t>
                  </w:r>
                </w:p>
              </w:tc>
              <w:tc>
                <w:tcPr>
                  <w:tcW w:w="2919" w:type="dxa"/>
                  <w:noWrap w:val="0"/>
                  <w:vAlign w:val="center"/>
                </w:tcPr>
                <w:p w14:paraId="702EEBEF">
                  <w:pPr>
                    <w:pStyle w:val="53"/>
                    <w:bidi w:val="0"/>
                    <w:jc w:val="left"/>
                    <w:rPr>
                      <w:rFonts w:hint="default" w:eastAsia="宋体"/>
                      <w:color w:val="auto"/>
                      <w:highlight w:val="none"/>
                      <w:lang w:val="en-US" w:eastAsia="zh-CN"/>
                    </w:rPr>
                  </w:pPr>
                  <w:r>
                    <w:rPr>
                      <w:rFonts w:hint="eastAsia"/>
                      <w:color w:val="auto"/>
                      <w:highlight w:val="none"/>
                      <w:lang w:val="en-US" w:eastAsia="zh-CN"/>
                    </w:rPr>
                    <w:t>本项目</w:t>
                  </w:r>
                  <w:r>
                    <w:rPr>
                      <w:color w:val="auto"/>
                      <w:highlight w:val="none"/>
                    </w:rPr>
                    <w:t>各类机加工设备均安置于厂房内，</w:t>
                  </w:r>
                  <w:r>
                    <w:rPr>
                      <w:rFonts w:hint="eastAsia"/>
                      <w:color w:val="auto"/>
                      <w:highlight w:val="none"/>
                      <w:lang w:val="en-US" w:eastAsia="zh-CN"/>
                    </w:rPr>
                    <w:t>采取</w:t>
                  </w:r>
                  <w:r>
                    <w:rPr>
                      <w:color w:val="auto"/>
                      <w:highlight w:val="none"/>
                    </w:rPr>
                    <w:t>基础减震、</w:t>
                  </w:r>
                  <w:r>
                    <w:rPr>
                      <w:rFonts w:hint="eastAsia"/>
                      <w:color w:val="auto"/>
                      <w:highlight w:val="none"/>
                      <w:lang w:val="en-US" w:eastAsia="zh-CN"/>
                    </w:rPr>
                    <w:t>低噪声设备等措施</w:t>
                  </w:r>
                  <w:r>
                    <w:rPr>
                      <w:rFonts w:hint="default" w:ascii="Times New Roman" w:hAnsi="Times New Roman" w:eastAsia="宋体" w:cs="Times New Roman"/>
                      <w:color w:val="auto"/>
                      <w:sz w:val="21"/>
                      <w:szCs w:val="21"/>
                      <w:highlight w:val="none"/>
                      <w:lang w:val="en-US" w:eastAsia="zh-CN"/>
                    </w:rPr>
                    <w:t>确保噪声达标</w:t>
                  </w:r>
                </w:p>
              </w:tc>
              <w:tc>
                <w:tcPr>
                  <w:tcW w:w="750" w:type="dxa"/>
                  <w:noWrap w:val="0"/>
                  <w:vAlign w:val="center"/>
                </w:tcPr>
                <w:p w14:paraId="5ADDF837">
                  <w:pPr>
                    <w:pStyle w:val="53"/>
                    <w:bidi w:val="0"/>
                    <w:jc w:val="center"/>
                    <w:rPr>
                      <w:rFonts w:hint="eastAsia"/>
                      <w:color w:val="auto"/>
                      <w:highlight w:val="none"/>
                      <w:lang w:val="en-US" w:eastAsia="zh-CN"/>
                    </w:rPr>
                  </w:pPr>
                </w:p>
              </w:tc>
            </w:tr>
            <w:tr w14:paraId="6BDE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632FB03D">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shd w:val="clear" w:color="auto" w:fill="auto"/>
                  <w:noWrap w:val="0"/>
                  <w:vAlign w:val="center"/>
                </w:tcPr>
                <w:p w14:paraId="1E5D8063">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7.3.5.1一般工业固废处理措施</w:t>
                  </w:r>
                </w:p>
                <w:p w14:paraId="4DCABE4B">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（1）各企业应对一般工业固废实行分类收集，分类储存。一般固体废物临时贮存、处置须满足《一般工业固体废物贮存和填埋污染控制标准》（GB 18599-2020）的要求。对废零部件、废边角料、金属废料、废包装等一般工业固废应充分考虑回收利用，不能回收的合理处置。</w:t>
                  </w:r>
                </w:p>
                <w:p w14:paraId="66B9F465">
                  <w:pPr>
                    <w:pStyle w:val="84"/>
                    <w:tabs>
                      <w:tab w:val="left" w:pos="250"/>
                    </w:tabs>
                    <w:spacing w:line="240" w:lineRule="auto"/>
                    <w:ind w:firstLine="420" w:firstLineChars="200"/>
                    <w:jc w:val="left"/>
                    <w:rPr>
                      <w:rFonts w:hint="eastAsia" w:ascii="Times New Roman" w:hAnsi="Times New Roman" w:eastAsia="宋体" w:cs="Times New Roman"/>
                      <w:color w:val="auto"/>
                      <w:kern w:val="2"/>
                      <w:sz w:val="21"/>
                      <w:szCs w:val="21"/>
                      <w:highlight w:val="none"/>
                      <w:lang w:val="en-US" w:eastAsia="zh-CN" w:bidi="zh-TW"/>
                    </w:rPr>
                  </w:pPr>
                </w:p>
              </w:tc>
              <w:tc>
                <w:tcPr>
                  <w:tcW w:w="2919" w:type="dxa"/>
                  <w:noWrap w:val="0"/>
                  <w:vAlign w:val="center"/>
                </w:tcPr>
                <w:p w14:paraId="23EB6494">
                  <w:pPr>
                    <w:pStyle w:val="53"/>
                    <w:bidi w:val="0"/>
                    <w:jc w:val="left"/>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锻造废料及不合格品，全部集中收集后外售废品回收站</w:t>
                  </w:r>
                  <w:r>
                    <w:rPr>
                      <w:rFonts w:hint="eastAsia"/>
                      <w:color w:val="auto"/>
                      <w:highlight w:val="none"/>
                      <w:lang w:val="en-US" w:eastAsia="zh-CN"/>
                    </w:rPr>
                    <w:t>；抛丸机打磨所产生的粉尘，定期清理，集中收集后外售废品回收站</w:t>
                  </w:r>
                </w:p>
              </w:tc>
              <w:tc>
                <w:tcPr>
                  <w:tcW w:w="750" w:type="dxa"/>
                  <w:noWrap w:val="0"/>
                  <w:vAlign w:val="center"/>
                </w:tcPr>
                <w:p w14:paraId="5F49A790">
                  <w:pPr>
                    <w:pStyle w:val="53"/>
                    <w:bidi w:val="0"/>
                    <w:jc w:val="center"/>
                    <w:rPr>
                      <w:rFonts w:hint="eastAsia"/>
                      <w:color w:val="auto"/>
                      <w:highlight w:val="none"/>
                      <w:lang w:val="en-US" w:eastAsia="zh-CN"/>
                    </w:rPr>
                  </w:pPr>
                </w:p>
              </w:tc>
            </w:tr>
            <w:tr w14:paraId="1CD1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74FD1108">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shd w:val="clear" w:color="auto" w:fill="auto"/>
                  <w:noWrap w:val="0"/>
                  <w:vAlign w:val="center"/>
                </w:tcPr>
                <w:p w14:paraId="6F7E4371">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7.3.5.2危险废物处理措施</w:t>
                  </w:r>
                </w:p>
                <w:p w14:paraId="29159388">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凡属于《国家危险废物名录》中规定的危险废物，应严格分类、收集和管理，危险废物最终由有资质单位统一收集处置。</w:t>
                  </w:r>
                </w:p>
                <w:p w14:paraId="54AFC737">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（1）产生危险废物的企业，应到当地环保主管部门进行申报登记，并落实危险废物处置协议，对危险废物实施全过程管理。</w:t>
                  </w:r>
                </w:p>
                <w:p w14:paraId="6F2E7365">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（2）危险废物的转运应按照《危险废物转移联单管理办法》等有关规定执行，必须交有资质单位处置，严厉打击非法违规转移危险废物和流入环境的违法行为。</w:t>
                  </w:r>
                </w:p>
                <w:p w14:paraId="4F638422">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凡有危险废物暂存的企业都应按照《危险废物贮存污染控制标准》（GB18597-2023）的要求设置专用暂存间，避免泄漏、误用、火灾及爆炸等事故。危险废物在厂内暂存后，应按废物的形态、化学性质和危害等进行分类贮存，并由专人负责统计企业危险废物产生与处置情况，进行全过程管理，最终委托有资质单位进行处置。</w:t>
                  </w:r>
                </w:p>
                <w:p w14:paraId="66AE1430">
                  <w:pPr>
                    <w:pStyle w:val="84"/>
                    <w:tabs>
                      <w:tab w:val="left" w:pos="250"/>
                    </w:tabs>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（4）对性质不明确的固体废物应进行危险废物鉴定，按鉴定结果处置。</w:t>
                  </w:r>
                </w:p>
              </w:tc>
              <w:tc>
                <w:tcPr>
                  <w:tcW w:w="2919" w:type="dxa"/>
                  <w:noWrap w:val="0"/>
                  <w:vAlign w:val="center"/>
                </w:tcPr>
                <w:p w14:paraId="1C9B4FE8">
                  <w:pPr>
                    <w:pStyle w:val="84"/>
                    <w:tabs>
                      <w:tab w:val="left" w:pos="250"/>
                    </w:tabs>
                    <w:spacing w:line="240" w:lineRule="auto"/>
                    <w:ind w:left="0" w:leftChars="0" w:firstLine="0" w:firstLineChars="0"/>
                    <w:jc w:val="left"/>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产生的</w:t>
                  </w:r>
                  <w:r>
                    <w:rPr>
                      <w:rFonts w:hint="default" w:ascii="Times New Roman" w:hAnsi="Times New Roman" w:eastAsia="宋体" w:cs="Times New Roman"/>
                      <w:b w:val="0"/>
                      <w:bCs w:val="0"/>
                      <w:color w:val="auto"/>
                      <w:sz w:val="21"/>
                      <w:szCs w:val="21"/>
                      <w:highlight w:val="none"/>
                    </w:rPr>
                    <w:t>危险废物废</w:t>
                  </w:r>
                  <w:r>
                    <w:rPr>
                      <w:rFonts w:hint="eastAsia" w:ascii="Times New Roman" w:hAnsi="Times New Roman" w:cs="Times New Roman"/>
                      <w:b w:val="0"/>
                      <w:bCs w:val="0"/>
                      <w:color w:val="auto"/>
                      <w:sz w:val="21"/>
                      <w:szCs w:val="21"/>
                      <w:highlight w:val="none"/>
                      <w:lang w:val="en-US" w:eastAsia="zh-CN"/>
                    </w:rPr>
                    <w:t>润滑油</w:t>
                  </w:r>
                  <w:r>
                    <w:rPr>
                      <w:rFonts w:hint="default" w:ascii="Times New Roman" w:hAnsi="Times New Roman" w:eastAsia="宋体" w:cs="Times New Roman"/>
                      <w:b w:val="0"/>
                      <w:bCs w:val="0"/>
                      <w:color w:val="auto"/>
                      <w:sz w:val="21"/>
                      <w:szCs w:val="21"/>
                      <w:highlight w:val="none"/>
                      <w:lang w:eastAsia="zh-CN"/>
                    </w:rPr>
                    <w:t>、</w:t>
                  </w:r>
                  <w:r>
                    <w:rPr>
                      <w:rFonts w:hint="eastAsia" w:ascii="Times New Roman" w:hAnsi="Times New Roman" w:cs="Times New Roman"/>
                      <w:b w:val="0"/>
                      <w:bCs w:val="0"/>
                      <w:color w:val="auto"/>
                      <w:sz w:val="21"/>
                      <w:szCs w:val="21"/>
                      <w:highlight w:val="none"/>
                      <w:lang w:val="en-US" w:eastAsia="zh-CN"/>
                    </w:rPr>
                    <w:t>废液压油、废包装桶</w:t>
                  </w:r>
                  <w:r>
                    <w:rPr>
                      <w:rFonts w:hint="default" w:ascii="Times New Roman" w:hAnsi="Times New Roman" w:eastAsia="宋体" w:cs="Times New Roman"/>
                      <w:b w:val="0"/>
                      <w:bCs w:val="0"/>
                      <w:color w:val="auto"/>
                      <w:sz w:val="21"/>
                      <w:szCs w:val="21"/>
                      <w:highlight w:val="none"/>
                      <w:lang w:eastAsia="zh-CN"/>
                    </w:rPr>
                    <w:t>、</w:t>
                  </w:r>
                  <w:r>
                    <w:rPr>
                      <w:rFonts w:hint="eastAsia" w:ascii="Times New Roman" w:hAnsi="Times New Roman" w:cs="Times New Roman"/>
                      <w:b w:val="0"/>
                      <w:bCs w:val="0"/>
                      <w:color w:val="auto"/>
                      <w:sz w:val="21"/>
                      <w:szCs w:val="21"/>
                      <w:highlight w:val="none"/>
                      <w:lang w:val="en-US" w:eastAsia="zh-CN"/>
                    </w:rPr>
                    <w:t>废磁粉液、</w:t>
                  </w:r>
                  <w:r>
                    <w:rPr>
                      <w:rFonts w:hint="default" w:ascii="Times New Roman" w:hAnsi="Times New Roman" w:eastAsia="宋体" w:cs="Times New Roman"/>
                      <w:b w:val="0"/>
                      <w:bCs w:val="0"/>
                      <w:color w:val="auto"/>
                      <w:sz w:val="21"/>
                      <w:szCs w:val="21"/>
                      <w:highlight w:val="none"/>
                    </w:rPr>
                    <w:t>废含油抹布及</w:t>
                  </w:r>
                  <w:r>
                    <w:rPr>
                      <w:rFonts w:hint="default" w:ascii="Times New Roman" w:hAnsi="Times New Roman" w:eastAsia="宋体" w:cs="Times New Roman"/>
                      <w:color w:val="auto"/>
                      <w:sz w:val="21"/>
                      <w:szCs w:val="21"/>
                      <w:highlight w:val="none"/>
                      <w:lang w:val="en-US" w:eastAsia="zh-CN"/>
                    </w:rPr>
                    <w:t>手套收集后妥善暂存于危险废物贮存</w:t>
                  </w:r>
                  <w:r>
                    <w:rPr>
                      <w:rFonts w:hint="eastAsia" w:ascii="Times New Roman" w:hAnsi="Times New Roman" w:cs="Times New Roman"/>
                      <w:color w:val="auto"/>
                      <w:sz w:val="21"/>
                      <w:szCs w:val="21"/>
                      <w:highlight w:val="none"/>
                      <w:lang w:val="en-US" w:eastAsia="zh-CN"/>
                    </w:rPr>
                    <w:t>点</w:t>
                  </w:r>
                  <w:r>
                    <w:rPr>
                      <w:rFonts w:hint="default" w:ascii="Times New Roman" w:hAnsi="Times New Roman" w:eastAsia="宋体" w:cs="Times New Roman"/>
                      <w:color w:val="auto"/>
                      <w:sz w:val="21"/>
                      <w:szCs w:val="21"/>
                      <w:highlight w:val="none"/>
                      <w:lang w:val="en-US" w:eastAsia="zh-CN"/>
                    </w:rPr>
                    <w:t>（占地面积为</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），定期交由有资质单位处置。并严格按照《危险废物转移管理办法》（2022年1月1日）《陕西省危险废物转移电子联单管理办法（试行）》（2013年1月1日），进行危险废物转移。</w:t>
                  </w:r>
                </w:p>
              </w:tc>
              <w:tc>
                <w:tcPr>
                  <w:tcW w:w="750" w:type="dxa"/>
                  <w:noWrap w:val="0"/>
                  <w:vAlign w:val="center"/>
                </w:tcPr>
                <w:p w14:paraId="2CCDF47E">
                  <w:pPr>
                    <w:pStyle w:val="53"/>
                    <w:bidi w:val="0"/>
                    <w:jc w:val="center"/>
                    <w:rPr>
                      <w:rFonts w:hint="eastAsia"/>
                      <w:color w:val="auto"/>
                      <w:highlight w:val="none"/>
                      <w:lang w:val="en-US" w:eastAsia="zh-CN"/>
                    </w:rPr>
                  </w:pPr>
                </w:p>
              </w:tc>
            </w:tr>
            <w:tr w14:paraId="3FE0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vMerge w:val="continue"/>
                  <w:noWrap w:val="0"/>
                  <w:vAlign w:val="center"/>
                </w:tcPr>
                <w:p w14:paraId="41434337">
                  <w:pPr>
                    <w:pStyle w:val="1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3007" w:type="dxa"/>
                  <w:shd w:val="clear" w:color="auto" w:fill="auto"/>
                  <w:noWrap w:val="0"/>
                  <w:vAlign w:val="center"/>
                </w:tcPr>
                <w:p w14:paraId="339AC5B4">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7.3.5.3生活垃圾处置措施</w:t>
                  </w:r>
                </w:p>
                <w:p w14:paraId="365ECAF5">
                  <w:pPr>
                    <w:pStyle w:val="84"/>
                    <w:tabs>
                      <w:tab w:val="left" w:pos="250"/>
                    </w:tabs>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rPr>
                    <w:t>规划区不建设生活垃圾转运站，生活垃圾收集采用定时、定点的收集方式，推广垃圾袋装化和分类收集，最终由环卫部门收运至岐山县生活垃圾焚烧发电厂（处理能力600t/d）进行处理。垃圾无害化处理率达到100%。</w:t>
                  </w:r>
                </w:p>
              </w:tc>
              <w:tc>
                <w:tcPr>
                  <w:tcW w:w="2919" w:type="dxa"/>
                  <w:noWrap w:val="0"/>
                  <w:vAlign w:val="center"/>
                </w:tcPr>
                <w:p w14:paraId="6D0AB356">
                  <w:pPr>
                    <w:pStyle w:val="53"/>
                    <w:bidi w:val="0"/>
                    <w:jc w:val="left"/>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本项目员工日常生活产生的生活垃圾，厂区设置垃圾桶，生活垃圾集中收集后，交由环卫部门统一处理。</w:t>
                  </w:r>
                </w:p>
              </w:tc>
              <w:tc>
                <w:tcPr>
                  <w:tcW w:w="750" w:type="dxa"/>
                  <w:noWrap w:val="0"/>
                  <w:vAlign w:val="center"/>
                </w:tcPr>
                <w:p w14:paraId="582507C1">
                  <w:pPr>
                    <w:pStyle w:val="53"/>
                    <w:bidi w:val="0"/>
                    <w:jc w:val="center"/>
                    <w:rPr>
                      <w:rFonts w:hint="eastAsia"/>
                      <w:color w:val="auto"/>
                      <w:highlight w:val="none"/>
                      <w:lang w:val="en-US" w:eastAsia="zh-CN"/>
                    </w:rPr>
                  </w:pPr>
                </w:p>
              </w:tc>
            </w:tr>
            <w:tr w14:paraId="6815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 w:type="dxa"/>
                  <w:noWrap w:val="0"/>
                  <w:vAlign w:val="center"/>
                </w:tcPr>
                <w:p w14:paraId="369313EB">
                  <w:pPr>
                    <w:pStyle w:val="84"/>
                    <w:tabs>
                      <w:tab w:val="left" w:pos="250"/>
                    </w:tabs>
                    <w:spacing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《陕西省生态环境厅关于蔡家坡经济技术开发区总体规划（2024-2035）环境影响报告书审查意见的函》</w:t>
                  </w:r>
                </w:p>
                <w:p w14:paraId="6C507C98">
                  <w:pPr>
                    <w:pStyle w:val="84"/>
                    <w:tabs>
                      <w:tab w:val="left" w:pos="250"/>
                    </w:tabs>
                    <w:spacing w:line="240" w:lineRule="auto"/>
                    <w:ind w:left="0" w:leftChars="0" w:firstLine="0" w:firstLineChars="0"/>
                    <w:jc w:val="both"/>
                    <w:rPr>
                      <w:rFonts w:hint="eastAsia"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（陕环环评函〔2024〕113号）</w:t>
                  </w:r>
                </w:p>
              </w:tc>
              <w:tc>
                <w:tcPr>
                  <w:tcW w:w="3007" w:type="dxa"/>
                  <w:noWrap w:val="0"/>
                  <w:vAlign w:val="center"/>
                </w:tcPr>
                <w:p w14:paraId="7E9AE0C4">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三、《规划》的生态建设目标及实施过程中需要解决的主要环境问题</w:t>
                  </w:r>
                </w:p>
                <w:p w14:paraId="54DCA150">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（一）生态建设目标</w:t>
                  </w:r>
                </w:p>
                <w:p w14:paraId="74E175EF">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规划区周边环境状况、环境质量状况以及规划项目排污特征、影响特征，《规划》确定的环境保护目标为：环境空气质量满足《环境空气质量标准》（GB3095-2012）二级标准限值，地表水、地下水、声及土壤环境均达到相对应的环境质量标准要求；污水处理率达到100%，再生水利用率近期≥30%、远期≥35%；生活垃圾无害化处理率≥100%，一般工业固废处置利用率100%，危险废物无害化处理与处置率100％。</w:t>
                  </w:r>
                </w:p>
                <w:p w14:paraId="797A3789">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（二）需要解决的主要问题</w:t>
                  </w:r>
                </w:p>
                <w:p w14:paraId="0C31F9E4">
                  <w:pPr>
                    <w:pStyle w:val="84"/>
                    <w:tabs>
                      <w:tab w:val="left" w:pos="250"/>
                    </w:tabs>
                    <w:spacing w:line="240" w:lineRule="auto"/>
                    <w:ind w:left="0" w:leftChars="0" w:firstLine="0" w:firstLineChars="0"/>
                    <w:jc w:val="left"/>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因此《规划》在实施时，应充分关注挥发性有机物治理问题，提升现有重点行业环保绩效水平，严控入园项目类型，加快污染防治基础设施、再生水厂以及配套管网、环境监测网络等的建设，加强水资源综合利用，提高再生水回用率。</w:t>
                  </w:r>
                </w:p>
              </w:tc>
              <w:tc>
                <w:tcPr>
                  <w:tcW w:w="2919" w:type="dxa"/>
                  <w:noWrap w:val="0"/>
                  <w:vAlign w:val="center"/>
                </w:tcPr>
                <w:p w14:paraId="31324286">
                  <w:pPr>
                    <w:pStyle w:val="84"/>
                    <w:tabs>
                      <w:tab w:val="left" w:pos="250"/>
                    </w:tabs>
                    <w:spacing w:line="240" w:lineRule="auto"/>
                    <w:ind w:left="0" w:lef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本项目外排废水主要为生活污水，依托厂内现有化粪池，生活废水经化粪池预处理后</w:t>
                  </w:r>
                  <w:r>
                    <w:rPr>
                      <w:rFonts w:hint="eastAsia" w:ascii="Times New Roman" w:hAnsi="Times New Roman" w:eastAsia="宋体" w:cs="Times New Roman"/>
                      <w:color w:val="auto"/>
                      <w:sz w:val="21"/>
                      <w:szCs w:val="21"/>
                      <w:highlight w:val="none"/>
                      <w:lang w:val="en-US" w:eastAsia="zh-CN"/>
                    </w:rPr>
                    <w:t>由园区污水管网排入五丈原污水处理厂处理；生活垃圾分类收集后由环卫部门统一清运，切割下脚料、锻造废料及不合格品等一般固废集中收集后外售废品回收站，废润滑油、废液压油等危险废物暂存于危废</w:t>
                  </w:r>
                  <w:r>
                    <w:rPr>
                      <w:rFonts w:hint="eastAsia" w:ascii="Times New Roman" w:hAnsi="Times New Roman" w:cs="Times New Roman"/>
                      <w:color w:val="auto"/>
                      <w:sz w:val="21"/>
                      <w:szCs w:val="21"/>
                      <w:highlight w:val="none"/>
                      <w:lang w:val="en-US" w:eastAsia="zh-CN"/>
                    </w:rPr>
                    <w:t>贮存点</w:t>
                  </w:r>
                  <w:r>
                    <w:rPr>
                      <w:rFonts w:hint="eastAsia" w:ascii="Times New Roman" w:hAnsi="Times New Roman" w:eastAsia="宋体" w:cs="Times New Roman"/>
                      <w:color w:val="auto"/>
                      <w:sz w:val="21"/>
                      <w:szCs w:val="21"/>
                      <w:highlight w:val="none"/>
                      <w:lang w:val="en-US" w:eastAsia="zh-CN"/>
                    </w:rPr>
                    <w:t>，定期交由有资质单位处理</w:t>
                  </w:r>
                </w:p>
                <w:p w14:paraId="55341090">
                  <w:pPr>
                    <w:pStyle w:val="84"/>
                    <w:tabs>
                      <w:tab w:val="left" w:pos="250"/>
                    </w:tabs>
                    <w:spacing w:line="240" w:lineRule="auto"/>
                    <w:ind w:firstLine="600" w:firstLineChars="200"/>
                    <w:jc w:val="left"/>
                    <w:rPr>
                      <w:rFonts w:hint="default"/>
                      <w:color w:val="auto"/>
                      <w:highlight w:val="none"/>
                      <w:lang w:val="en-US" w:eastAsia="zh-CN"/>
                    </w:rPr>
                  </w:pPr>
                </w:p>
              </w:tc>
              <w:tc>
                <w:tcPr>
                  <w:tcW w:w="750" w:type="dxa"/>
                  <w:noWrap w:val="0"/>
                  <w:vAlign w:val="center"/>
                </w:tcPr>
                <w:p w14:paraId="2708918C">
                  <w:pPr>
                    <w:pStyle w:val="53"/>
                    <w:bidi w:val="0"/>
                    <w:jc w:val="center"/>
                    <w:rPr>
                      <w:rFonts w:hint="eastAsia"/>
                      <w:color w:val="auto"/>
                      <w:highlight w:val="none"/>
                      <w:lang w:val="en-US" w:eastAsia="zh-CN"/>
                    </w:rPr>
                  </w:pPr>
                </w:p>
              </w:tc>
            </w:tr>
          </w:tbl>
          <w:p w14:paraId="6E03ACA0">
            <w:pPr>
              <w:pStyle w:val="53"/>
              <w:bidi w:val="0"/>
              <w:rPr>
                <w:rFonts w:hint="default"/>
                <w:color w:val="auto"/>
                <w:highlight w:val="none"/>
                <w:lang w:val="en-US" w:eastAsia="zh-CN"/>
              </w:rPr>
            </w:pPr>
          </w:p>
        </w:tc>
      </w:tr>
      <w:tr w14:paraId="530B0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9" w:type="dxa"/>
            <w:noWrap w:val="0"/>
            <w:vAlign w:val="center"/>
          </w:tcPr>
          <w:p w14:paraId="4BCBDF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其他符合性分析</w:t>
            </w:r>
          </w:p>
        </w:tc>
        <w:tc>
          <w:tcPr>
            <w:tcW w:w="7831" w:type="dxa"/>
            <w:gridSpan w:val="3"/>
            <w:noWrap w:val="0"/>
            <w:vAlign w:val="center"/>
          </w:tcPr>
          <w:p w14:paraId="7200CF82">
            <w:pPr>
              <w:numPr>
                <w:ilvl w:val="0"/>
                <w:numId w:val="3"/>
              </w:numPr>
              <w:bidi w:val="0"/>
              <w:jc w:val="both"/>
              <w:rPr>
                <w:rFonts w:hint="eastAsia"/>
                <w:b/>
                <w:bCs/>
                <w:color w:val="auto"/>
                <w:highlight w:val="none"/>
              </w:rPr>
            </w:pPr>
            <w:r>
              <w:rPr>
                <w:rFonts w:hint="eastAsia"/>
                <w:b/>
                <w:bCs/>
                <w:color w:val="auto"/>
                <w:highlight w:val="none"/>
              </w:rPr>
              <w:t>产业政策符合性分析</w:t>
            </w:r>
          </w:p>
          <w:p w14:paraId="2179E77D">
            <w:pPr>
              <w:bidi w:val="0"/>
              <w:rPr>
                <w:rFonts w:hint="default"/>
                <w:color w:val="auto"/>
                <w:highlight w:val="none"/>
                <w:lang w:val="en-US" w:eastAsia="zh-CN"/>
              </w:rPr>
            </w:pPr>
            <w:r>
              <w:rPr>
                <w:rFonts w:hint="default"/>
                <w:color w:val="auto"/>
                <w:highlight w:val="none"/>
                <w:lang w:val="en-US" w:eastAsia="zh-CN"/>
              </w:rPr>
              <w:t>本项目属</w:t>
            </w:r>
            <w:r>
              <w:rPr>
                <w:rFonts w:hint="eastAsia"/>
                <w:color w:val="auto"/>
                <w:highlight w:val="none"/>
                <w:lang w:val="en-US" w:eastAsia="zh-CN"/>
              </w:rPr>
              <w:t>于3670汽车零部件及配件制造</w:t>
            </w:r>
            <w:r>
              <w:rPr>
                <w:rFonts w:hint="default"/>
                <w:color w:val="auto"/>
                <w:highlight w:val="none"/>
                <w:lang w:val="en-US" w:eastAsia="zh-CN"/>
              </w:rPr>
              <w:t>，根据国家发展和改革委员会发布的《产业结构调整指导目录（2024年本）》，</w:t>
            </w:r>
            <w:r>
              <w:rPr>
                <w:rFonts w:hint="eastAsia"/>
                <w:color w:val="auto"/>
                <w:highlight w:val="none"/>
                <w:lang w:val="en-US" w:eastAsia="zh-CN"/>
              </w:rPr>
              <w:t>本项目属于“鼓励类”中的“十六、汽车 1、汽车关键零部件”</w:t>
            </w:r>
            <w:r>
              <w:rPr>
                <w:rFonts w:hint="eastAsia"/>
                <w:color w:val="auto"/>
                <w:highlight w:val="none"/>
              </w:rPr>
              <w:t>。依据《市场准入负面清单（202</w:t>
            </w:r>
            <w:r>
              <w:rPr>
                <w:rFonts w:hint="eastAsia"/>
                <w:color w:val="auto"/>
                <w:highlight w:val="none"/>
                <w:lang w:val="en-US" w:eastAsia="zh-CN"/>
              </w:rPr>
              <w:t>5</w:t>
            </w:r>
            <w:r>
              <w:rPr>
                <w:rFonts w:hint="eastAsia"/>
                <w:color w:val="auto"/>
                <w:highlight w:val="none"/>
              </w:rPr>
              <w:t>年版）》（发改体改规</w:t>
            </w:r>
            <w:r>
              <w:rPr>
                <w:rFonts w:hint="eastAsia"/>
                <w:color w:val="auto"/>
                <w:highlight w:val="none"/>
                <w:lang w:val="en-US" w:eastAsia="zh-CN"/>
              </w:rPr>
              <w:t>〔</w:t>
            </w:r>
            <w:r>
              <w:rPr>
                <w:rFonts w:hint="eastAsia"/>
                <w:color w:val="auto"/>
                <w:highlight w:val="none"/>
              </w:rPr>
              <w:t>202</w:t>
            </w:r>
            <w:r>
              <w:rPr>
                <w:rFonts w:hint="eastAsia"/>
                <w:color w:val="auto"/>
                <w:highlight w:val="none"/>
                <w:lang w:val="en-US" w:eastAsia="zh-CN"/>
              </w:rPr>
              <w:t>5〕466</w:t>
            </w:r>
            <w:r>
              <w:rPr>
                <w:rFonts w:hint="eastAsia"/>
                <w:color w:val="auto"/>
                <w:highlight w:val="none"/>
              </w:rPr>
              <w:t>号），本项目不属于其中禁止准入类、许可准入类项目</w:t>
            </w:r>
            <w:r>
              <w:rPr>
                <w:rFonts w:hint="default"/>
                <w:color w:val="auto"/>
                <w:highlight w:val="none"/>
                <w:lang w:val="en-US" w:eastAsia="zh-CN"/>
              </w:rPr>
              <w:t>。</w:t>
            </w:r>
          </w:p>
          <w:p w14:paraId="5D749EEB">
            <w:pPr>
              <w:bidi w:val="0"/>
              <w:rPr>
                <w:rFonts w:hint="default"/>
                <w:color w:val="auto"/>
                <w:highlight w:val="none"/>
                <w:lang w:val="en-US" w:eastAsia="zh-CN"/>
              </w:rPr>
            </w:pPr>
            <w:r>
              <w:rPr>
                <w:rFonts w:hint="eastAsia"/>
                <w:color w:val="auto"/>
                <w:highlight w:val="none"/>
              </w:rPr>
              <w:t>陕西磐固捷创精锻科技有限公司</w:t>
            </w:r>
            <w:r>
              <w:rPr>
                <w:rFonts w:hint="default"/>
                <w:color w:val="auto"/>
                <w:highlight w:val="none"/>
                <w:lang w:val="en-US" w:eastAsia="zh-CN"/>
              </w:rPr>
              <w:t>于202</w:t>
            </w:r>
            <w:r>
              <w:rPr>
                <w:rFonts w:hint="eastAsia"/>
                <w:color w:val="auto"/>
                <w:highlight w:val="none"/>
                <w:lang w:val="en-US" w:eastAsia="zh-CN"/>
              </w:rPr>
              <w:t>6</w:t>
            </w:r>
            <w:r>
              <w:rPr>
                <w:rFonts w:hint="default"/>
                <w:color w:val="auto"/>
                <w:highlight w:val="none"/>
                <w:lang w:val="en-US" w:eastAsia="zh-CN"/>
              </w:rPr>
              <w:t>年</w:t>
            </w:r>
            <w:r>
              <w:rPr>
                <w:rFonts w:hint="eastAsia"/>
                <w:color w:val="auto"/>
                <w:highlight w:val="none"/>
                <w:lang w:val="en-US" w:eastAsia="zh-CN"/>
              </w:rPr>
              <w:t>01</w:t>
            </w:r>
            <w:r>
              <w:rPr>
                <w:rFonts w:hint="default"/>
                <w:color w:val="auto"/>
                <w:highlight w:val="none"/>
                <w:lang w:val="en-US" w:eastAsia="zh-CN"/>
              </w:rPr>
              <w:t>月</w:t>
            </w:r>
            <w:r>
              <w:rPr>
                <w:rFonts w:hint="eastAsia"/>
                <w:color w:val="auto"/>
                <w:highlight w:val="none"/>
                <w:lang w:val="en-US" w:eastAsia="zh-CN"/>
              </w:rPr>
              <w:t>22</w:t>
            </w:r>
            <w:r>
              <w:rPr>
                <w:rFonts w:hint="default"/>
                <w:color w:val="auto"/>
                <w:highlight w:val="none"/>
                <w:lang w:val="en-US" w:eastAsia="zh-CN"/>
              </w:rPr>
              <w:t>日取得了</w:t>
            </w:r>
            <w:r>
              <w:rPr>
                <w:rFonts w:hint="eastAsia"/>
                <w:color w:val="auto"/>
                <w:highlight w:val="none"/>
                <w:lang w:val="en-US" w:eastAsia="zh-CN"/>
              </w:rPr>
              <w:t>蔡家坡经开区经济发展科技局</w:t>
            </w:r>
            <w:r>
              <w:rPr>
                <w:rFonts w:hint="default"/>
                <w:color w:val="auto"/>
                <w:highlight w:val="none"/>
                <w:lang w:val="en-US" w:eastAsia="zh-CN"/>
              </w:rPr>
              <w:t>对于本项目的备案确认书，项目编码为</w:t>
            </w:r>
            <w:r>
              <w:rPr>
                <w:rFonts w:hint="eastAsia"/>
                <w:color w:val="auto"/>
                <w:highlight w:val="none"/>
              </w:rPr>
              <w:t>2601-610362-04-01-758189</w:t>
            </w:r>
            <w:r>
              <w:rPr>
                <w:rFonts w:hint="eastAsia"/>
                <w:color w:val="auto"/>
                <w:highlight w:val="none"/>
                <w:lang w:eastAsia="zh-CN"/>
              </w:rPr>
              <w:t>（</w:t>
            </w:r>
            <w:r>
              <w:rPr>
                <w:rFonts w:hint="default"/>
                <w:color w:val="auto"/>
                <w:highlight w:val="none"/>
                <w:lang w:val="en-US" w:eastAsia="zh-CN"/>
              </w:rPr>
              <w:t>见附件</w:t>
            </w:r>
            <w:r>
              <w:rPr>
                <w:rFonts w:hint="eastAsia"/>
                <w:color w:val="auto"/>
                <w:highlight w:val="none"/>
                <w:lang w:val="en-US" w:eastAsia="zh-CN"/>
              </w:rPr>
              <w:t>）</w:t>
            </w:r>
            <w:r>
              <w:rPr>
                <w:rFonts w:hint="default"/>
                <w:color w:val="auto"/>
                <w:highlight w:val="none"/>
                <w:lang w:val="en-US" w:eastAsia="zh-CN"/>
              </w:rPr>
              <w:t>。</w:t>
            </w:r>
          </w:p>
          <w:p w14:paraId="1628F61A">
            <w:pPr>
              <w:bidi w:val="0"/>
              <w:jc w:val="both"/>
              <w:rPr>
                <w:color w:val="auto"/>
                <w:highlight w:val="none"/>
              </w:rPr>
            </w:pPr>
            <w:r>
              <w:rPr>
                <w:rFonts w:hint="eastAsia"/>
                <w:color w:val="auto"/>
                <w:highlight w:val="none"/>
                <w:lang w:val="en-US" w:eastAsia="zh-CN"/>
              </w:rPr>
              <w:t>综上，本项目</w:t>
            </w:r>
            <w:r>
              <w:rPr>
                <w:rFonts w:hint="eastAsia"/>
                <w:color w:val="auto"/>
                <w:highlight w:val="none"/>
              </w:rPr>
              <w:t>符合国家产业政策。</w:t>
            </w:r>
          </w:p>
          <w:p w14:paraId="334FE18E">
            <w:pPr>
              <w:numPr>
                <w:ilvl w:val="0"/>
                <w:numId w:val="4"/>
              </w:numPr>
              <w:bidi w:val="0"/>
              <w:jc w:val="both"/>
              <w:rPr>
                <w:rFonts w:hint="eastAsia"/>
                <w:b/>
                <w:bCs/>
                <w:color w:val="auto"/>
                <w:highlight w:val="none"/>
                <w:lang w:val="en-US" w:eastAsia="zh-CN"/>
              </w:rPr>
            </w:pPr>
            <w:r>
              <w:rPr>
                <w:rFonts w:hint="eastAsia"/>
                <w:b/>
                <w:bCs/>
                <w:color w:val="auto"/>
                <w:highlight w:val="none"/>
                <w:lang w:val="en-US" w:eastAsia="zh-CN"/>
              </w:rPr>
              <w:t>与“三线一单”符合性分析</w:t>
            </w:r>
          </w:p>
          <w:p w14:paraId="17D30038">
            <w:pPr>
              <w:keepNext w:val="0"/>
              <w:keepLines w:val="0"/>
              <w:widowControl/>
              <w:suppressLineNumbers w:val="0"/>
              <w:spacing w:line="360" w:lineRule="auto"/>
              <w:ind w:firstLine="480" w:firstLineChars="200"/>
              <w:jc w:val="left"/>
              <w:rPr>
                <w:rFonts w:hint="default"/>
                <w:color w:val="auto"/>
                <w:highlight w:val="none"/>
                <w:lang w:eastAsia="zh-CN"/>
              </w:rPr>
            </w:pPr>
            <w:r>
              <w:rPr>
                <w:rFonts w:hint="eastAsia"/>
                <w:color w:val="auto"/>
                <w:highlight w:val="none"/>
                <w:lang w:val="en-US" w:eastAsia="zh-CN"/>
              </w:rPr>
              <w:t>根据环境保护部《关于以改善环境质量为核心加强环境影响评价管理的通知》（环环评〔</w:t>
            </w:r>
            <w:r>
              <w:rPr>
                <w:rFonts w:hint="default"/>
                <w:color w:val="auto"/>
                <w:highlight w:val="none"/>
                <w:lang w:val="en-US" w:eastAsia="zh-CN"/>
              </w:rPr>
              <w:t>2016</w:t>
            </w:r>
            <w:r>
              <w:rPr>
                <w:rFonts w:hint="eastAsia"/>
                <w:color w:val="auto"/>
                <w:highlight w:val="none"/>
                <w:lang w:val="en-US" w:eastAsia="zh-CN"/>
              </w:rPr>
              <w:t>〕</w:t>
            </w:r>
            <w:r>
              <w:rPr>
                <w:rFonts w:hint="default"/>
                <w:color w:val="auto"/>
                <w:highlight w:val="none"/>
                <w:lang w:val="en-US" w:eastAsia="zh-CN"/>
              </w:rPr>
              <w:t>150</w:t>
            </w:r>
            <w:r>
              <w:rPr>
                <w:rFonts w:hint="eastAsia"/>
                <w:color w:val="auto"/>
                <w:highlight w:val="none"/>
                <w:lang w:val="en-US" w:eastAsia="zh-CN"/>
              </w:rPr>
              <w:t>号）的要求，切实加强环境管理，建设项目选址选线、规模、性质和工艺路线等应与“生态保护红线、环境质量底线、资源利用上线和环境准入负面清单”（以下简称“三线一单”）进行对照。本项目与“三线一单”的符合性分析见</w:t>
            </w:r>
            <w:r>
              <w:rPr>
                <w:color w:val="auto"/>
                <w:highlight w:val="none"/>
              </w:rPr>
              <w:t>表</w:t>
            </w:r>
            <w:r>
              <w:rPr>
                <w:rFonts w:hint="default"/>
                <w:color w:val="auto"/>
                <w:highlight w:val="none"/>
                <w:lang w:val="en-US" w:eastAsia="zh-CN"/>
              </w:rPr>
              <w:t>1-</w:t>
            </w:r>
            <w:r>
              <w:rPr>
                <w:rFonts w:hint="eastAsia"/>
                <w:color w:val="auto"/>
                <w:highlight w:val="none"/>
                <w:lang w:val="en-US" w:eastAsia="zh-CN"/>
              </w:rPr>
              <w:t>3。</w:t>
            </w:r>
          </w:p>
          <w:p w14:paraId="12E2FAA7">
            <w:pPr>
              <w:pStyle w:val="58"/>
              <w:bidi w:val="0"/>
              <w:rPr>
                <w:rFonts w:hint="default"/>
                <w:color w:val="auto"/>
                <w:highlight w:val="none"/>
                <w:lang w:val="en-US" w:eastAsia="zh-CN"/>
              </w:rPr>
            </w:pPr>
            <w:r>
              <w:rPr>
                <w:rFonts w:hint="eastAsia"/>
                <w:color w:val="auto"/>
                <w:highlight w:val="none"/>
                <w:lang w:val="en-US" w:eastAsia="zh-CN"/>
              </w:rPr>
              <w:t xml:space="preserve">表1-3  </w:t>
            </w:r>
            <w:r>
              <w:rPr>
                <w:color w:val="auto"/>
                <w:highlight w:val="none"/>
              </w:rPr>
              <w:t>本项目与“三线一单”的符合性分析表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4996"/>
              <w:gridCol w:w="996"/>
            </w:tblGrid>
            <w:tr w14:paraId="6A3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504" w:type="dxa"/>
                  <w:noWrap w:val="0"/>
                  <w:vAlign w:val="center"/>
                </w:tcPr>
                <w:p w14:paraId="2F63D03E">
                  <w:pPr>
                    <w:pStyle w:val="53"/>
                    <w:bidi w:val="0"/>
                    <w:rPr>
                      <w:rFonts w:hint="default"/>
                      <w:b/>
                      <w:bCs/>
                      <w:color w:val="auto"/>
                      <w:highlight w:val="none"/>
                      <w:lang w:eastAsia="zh-CN"/>
                    </w:rPr>
                  </w:pPr>
                  <w:r>
                    <w:rPr>
                      <w:rFonts w:hint="default"/>
                      <w:b/>
                      <w:bCs/>
                      <w:color w:val="auto"/>
                      <w:highlight w:val="none"/>
                      <w:lang w:eastAsia="zh-CN"/>
                    </w:rPr>
                    <w:t>“</w:t>
                  </w:r>
                  <w:r>
                    <w:rPr>
                      <w:rFonts w:hint="default"/>
                      <w:b/>
                      <w:bCs/>
                      <w:color w:val="auto"/>
                      <w:highlight w:val="none"/>
                      <w:lang w:val="en-US" w:eastAsia="zh-CN"/>
                    </w:rPr>
                    <w:t>三线一单</w:t>
                  </w:r>
                  <w:r>
                    <w:rPr>
                      <w:rFonts w:hint="default"/>
                      <w:b/>
                      <w:bCs/>
                      <w:color w:val="auto"/>
                      <w:highlight w:val="none"/>
                      <w:lang w:eastAsia="zh-CN"/>
                    </w:rPr>
                    <w:t>”</w:t>
                  </w:r>
                </w:p>
              </w:tc>
              <w:tc>
                <w:tcPr>
                  <w:tcW w:w="4672" w:type="dxa"/>
                  <w:noWrap w:val="0"/>
                  <w:vAlign w:val="center"/>
                </w:tcPr>
                <w:p w14:paraId="0E082937">
                  <w:pPr>
                    <w:pStyle w:val="53"/>
                    <w:bidi w:val="0"/>
                    <w:rPr>
                      <w:rFonts w:hint="default"/>
                      <w:b/>
                      <w:bCs/>
                      <w:color w:val="auto"/>
                      <w:highlight w:val="none"/>
                      <w:lang w:val="en-US" w:eastAsia="zh-CN"/>
                    </w:rPr>
                  </w:pPr>
                  <w:r>
                    <w:rPr>
                      <w:rFonts w:hint="default"/>
                      <w:b/>
                      <w:bCs/>
                      <w:color w:val="auto"/>
                      <w:highlight w:val="none"/>
                      <w:lang w:val="en-US" w:eastAsia="zh-CN"/>
                    </w:rPr>
                    <w:t>本项目</w:t>
                  </w:r>
                </w:p>
              </w:tc>
              <w:tc>
                <w:tcPr>
                  <w:tcW w:w="928" w:type="dxa"/>
                  <w:noWrap w:val="0"/>
                  <w:vAlign w:val="center"/>
                </w:tcPr>
                <w:p w14:paraId="4906E0AD">
                  <w:pPr>
                    <w:pStyle w:val="53"/>
                    <w:bidi w:val="0"/>
                    <w:rPr>
                      <w:rFonts w:hint="default"/>
                      <w:b/>
                      <w:bCs/>
                      <w:color w:val="auto"/>
                      <w:highlight w:val="none"/>
                      <w:lang w:val="en-US" w:eastAsia="zh-CN"/>
                    </w:rPr>
                  </w:pPr>
                  <w:r>
                    <w:rPr>
                      <w:rFonts w:hint="default"/>
                      <w:b/>
                      <w:bCs/>
                      <w:color w:val="auto"/>
                      <w:highlight w:val="none"/>
                      <w:lang w:val="en-US" w:eastAsia="zh-CN"/>
                    </w:rPr>
                    <w:t>相符性</w:t>
                  </w:r>
                </w:p>
              </w:tc>
            </w:tr>
            <w:tr w14:paraId="4C8C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504" w:type="dxa"/>
                  <w:noWrap w:val="0"/>
                  <w:vAlign w:val="center"/>
                </w:tcPr>
                <w:p w14:paraId="2094D24A">
                  <w:pPr>
                    <w:pStyle w:val="53"/>
                    <w:bidi w:val="0"/>
                    <w:rPr>
                      <w:rFonts w:hint="default"/>
                      <w:color w:val="auto"/>
                      <w:highlight w:val="none"/>
                    </w:rPr>
                  </w:pPr>
                  <w:r>
                    <w:rPr>
                      <w:rFonts w:hint="default"/>
                      <w:color w:val="auto"/>
                      <w:highlight w:val="none"/>
                    </w:rPr>
                    <w:t>生态保护红线</w:t>
                  </w:r>
                </w:p>
              </w:tc>
              <w:tc>
                <w:tcPr>
                  <w:tcW w:w="4672" w:type="dxa"/>
                  <w:noWrap w:val="0"/>
                  <w:vAlign w:val="center"/>
                </w:tcPr>
                <w:p w14:paraId="1E7C18D5">
                  <w:pPr>
                    <w:pStyle w:val="53"/>
                    <w:bidi w:val="0"/>
                    <w:rPr>
                      <w:rFonts w:hint="default"/>
                      <w:color w:val="auto"/>
                      <w:highlight w:val="none"/>
                    </w:rPr>
                  </w:pPr>
                  <w:r>
                    <w:rPr>
                      <w:rFonts w:hint="default"/>
                      <w:color w:val="auto"/>
                      <w:highlight w:val="none"/>
                    </w:rPr>
                    <w:t>项目地不在文物保护单位、自然保护区、名胜古迹、饮用水源保护区以及其他需要特殊保护的范围，不涉及生态保护红线</w:t>
                  </w:r>
                </w:p>
              </w:tc>
              <w:tc>
                <w:tcPr>
                  <w:tcW w:w="928" w:type="dxa"/>
                  <w:noWrap w:val="0"/>
                  <w:vAlign w:val="center"/>
                </w:tcPr>
                <w:p w14:paraId="5A8B559D">
                  <w:pPr>
                    <w:pStyle w:val="53"/>
                    <w:bidi w:val="0"/>
                    <w:rPr>
                      <w:rFonts w:hint="default"/>
                      <w:color w:val="auto"/>
                      <w:highlight w:val="none"/>
                      <w:lang w:val="en-US" w:eastAsia="zh-CN"/>
                    </w:rPr>
                  </w:pPr>
                  <w:r>
                    <w:rPr>
                      <w:rFonts w:hint="default"/>
                      <w:color w:val="auto"/>
                      <w:highlight w:val="none"/>
                      <w:lang w:val="en-US" w:eastAsia="zh-CN"/>
                    </w:rPr>
                    <w:t>符合</w:t>
                  </w:r>
                </w:p>
              </w:tc>
            </w:tr>
            <w:tr w14:paraId="38B4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504" w:type="dxa"/>
                  <w:noWrap w:val="0"/>
                  <w:vAlign w:val="center"/>
                </w:tcPr>
                <w:p w14:paraId="3ADE9C1A">
                  <w:pPr>
                    <w:pStyle w:val="53"/>
                    <w:bidi w:val="0"/>
                    <w:rPr>
                      <w:rFonts w:hint="default"/>
                      <w:color w:val="auto"/>
                      <w:highlight w:val="none"/>
                    </w:rPr>
                  </w:pPr>
                  <w:r>
                    <w:rPr>
                      <w:rFonts w:hint="default"/>
                      <w:color w:val="auto"/>
                      <w:highlight w:val="none"/>
                      <w:lang w:val="en-US" w:eastAsia="zh-CN"/>
                    </w:rPr>
                    <w:t>环</w:t>
                  </w:r>
                  <w:r>
                    <w:rPr>
                      <w:rFonts w:hint="default"/>
                      <w:color w:val="auto"/>
                      <w:highlight w:val="none"/>
                    </w:rPr>
                    <w:t>境质量底线</w:t>
                  </w:r>
                </w:p>
              </w:tc>
              <w:tc>
                <w:tcPr>
                  <w:tcW w:w="4672" w:type="dxa"/>
                  <w:noWrap w:val="0"/>
                  <w:vAlign w:val="center"/>
                </w:tcPr>
                <w:p w14:paraId="58A4B3AB">
                  <w:pPr>
                    <w:pStyle w:val="53"/>
                    <w:bidi w:val="0"/>
                    <w:rPr>
                      <w:rFonts w:hint="default"/>
                      <w:color w:val="auto"/>
                      <w:highlight w:val="none"/>
                    </w:rPr>
                  </w:pPr>
                  <w:r>
                    <w:rPr>
                      <w:rFonts w:hint="default"/>
                      <w:color w:val="auto"/>
                      <w:highlight w:val="none"/>
                    </w:rPr>
                    <w:t>评价区环境空气、地表水、声环境均符合环境功能区划，项目运营期采取环评要求的措施能够合理</w:t>
                  </w:r>
                  <w:r>
                    <w:rPr>
                      <w:rFonts w:hint="eastAsia"/>
                      <w:color w:val="auto"/>
                      <w:highlight w:val="none"/>
                      <w:lang w:val="en-US" w:eastAsia="zh-CN"/>
                    </w:rPr>
                    <w:t>治理及</w:t>
                  </w:r>
                  <w:r>
                    <w:rPr>
                      <w:rFonts w:hint="default"/>
                      <w:color w:val="auto"/>
                      <w:highlight w:val="none"/>
                    </w:rPr>
                    <w:t>处置各项污染物，对周边环境影响较小，不触及环境质量底线</w:t>
                  </w:r>
                </w:p>
              </w:tc>
              <w:tc>
                <w:tcPr>
                  <w:tcW w:w="928" w:type="dxa"/>
                  <w:noWrap w:val="0"/>
                  <w:vAlign w:val="center"/>
                </w:tcPr>
                <w:p w14:paraId="4D2E1F9E">
                  <w:pPr>
                    <w:pStyle w:val="53"/>
                    <w:bidi w:val="0"/>
                    <w:rPr>
                      <w:rFonts w:hint="default"/>
                      <w:color w:val="auto"/>
                      <w:highlight w:val="none"/>
                    </w:rPr>
                  </w:pPr>
                  <w:r>
                    <w:rPr>
                      <w:rFonts w:hint="default"/>
                      <w:color w:val="auto"/>
                      <w:highlight w:val="none"/>
                      <w:lang w:val="en-US" w:eastAsia="zh-CN"/>
                    </w:rPr>
                    <w:t>符合</w:t>
                  </w:r>
                </w:p>
              </w:tc>
            </w:tr>
            <w:tr w14:paraId="0E17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04" w:type="dxa"/>
                  <w:noWrap w:val="0"/>
                  <w:vAlign w:val="center"/>
                </w:tcPr>
                <w:p w14:paraId="7CDCDBAD">
                  <w:pPr>
                    <w:pStyle w:val="53"/>
                    <w:bidi w:val="0"/>
                    <w:rPr>
                      <w:rFonts w:hint="eastAsia"/>
                      <w:color w:val="auto"/>
                      <w:highlight w:val="none"/>
                      <w:lang w:eastAsia="zh-CN"/>
                    </w:rPr>
                  </w:pPr>
                  <w:r>
                    <w:rPr>
                      <w:rFonts w:hint="default"/>
                      <w:color w:val="auto"/>
                      <w:highlight w:val="none"/>
                      <w:lang w:val="en-US" w:eastAsia="zh-CN"/>
                    </w:rPr>
                    <w:t>资</w:t>
                  </w:r>
                  <w:r>
                    <w:rPr>
                      <w:rFonts w:hint="default"/>
                      <w:color w:val="auto"/>
                      <w:highlight w:val="none"/>
                    </w:rPr>
                    <w:t>源利用上</w:t>
                  </w:r>
                  <w:r>
                    <w:rPr>
                      <w:rFonts w:hint="eastAsia"/>
                      <w:color w:val="auto"/>
                      <w:highlight w:val="none"/>
                      <w:lang w:val="en-US" w:eastAsia="zh-CN"/>
                    </w:rPr>
                    <w:t>线</w:t>
                  </w:r>
                </w:p>
              </w:tc>
              <w:tc>
                <w:tcPr>
                  <w:tcW w:w="4672" w:type="dxa"/>
                  <w:noWrap w:val="0"/>
                  <w:vAlign w:val="center"/>
                </w:tcPr>
                <w:p w14:paraId="0455FD2F">
                  <w:pPr>
                    <w:pStyle w:val="53"/>
                    <w:bidi w:val="0"/>
                    <w:rPr>
                      <w:rFonts w:hint="default"/>
                      <w:color w:val="auto"/>
                      <w:highlight w:val="none"/>
                    </w:rPr>
                  </w:pPr>
                  <w:r>
                    <w:rPr>
                      <w:rFonts w:hint="eastAsia"/>
                      <w:color w:val="auto"/>
                      <w:highlight w:val="none"/>
                      <w:lang w:val="en-US" w:eastAsia="zh-CN"/>
                    </w:rPr>
                    <w:t>项目用电、用水量不会超过区域水、电负荷；用地已取得国有土地使用手续，因此项目符合资源利用上线的要求。</w:t>
                  </w:r>
                </w:p>
              </w:tc>
              <w:tc>
                <w:tcPr>
                  <w:tcW w:w="928" w:type="dxa"/>
                  <w:noWrap w:val="0"/>
                  <w:vAlign w:val="center"/>
                </w:tcPr>
                <w:p w14:paraId="2839DE49">
                  <w:pPr>
                    <w:pStyle w:val="53"/>
                    <w:bidi w:val="0"/>
                    <w:rPr>
                      <w:rFonts w:hint="default"/>
                      <w:color w:val="auto"/>
                      <w:highlight w:val="none"/>
                    </w:rPr>
                  </w:pPr>
                  <w:r>
                    <w:rPr>
                      <w:rFonts w:hint="default"/>
                      <w:color w:val="auto"/>
                      <w:highlight w:val="none"/>
                      <w:lang w:val="en-US" w:eastAsia="zh-CN"/>
                    </w:rPr>
                    <w:t>符合</w:t>
                  </w:r>
                </w:p>
              </w:tc>
            </w:tr>
            <w:tr w14:paraId="1CA5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504" w:type="dxa"/>
                  <w:noWrap w:val="0"/>
                  <w:vAlign w:val="center"/>
                </w:tcPr>
                <w:p w14:paraId="4119CB91">
                  <w:pPr>
                    <w:pStyle w:val="53"/>
                    <w:bidi w:val="0"/>
                    <w:rPr>
                      <w:rFonts w:hint="default"/>
                      <w:color w:val="auto"/>
                      <w:highlight w:val="none"/>
                      <w:lang w:val="en-US" w:eastAsia="zh-CN"/>
                    </w:rPr>
                  </w:pPr>
                  <w:r>
                    <w:rPr>
                      <w:rFonts w:hint="default"/>
                      <w:color w:val="auto"/>
                      <w:highlight w:val="none"/>
                      <w:lang w:val="en-US" w:eastAsia="zh-CN"/>
                    </w:rPr>
                    <w:t>生态环境准入清单</w:t>
                  </w:r>
                </w:p>
              </w:tc>
              <w:tc>
                <w:tcPr>
                  <w:tcW w:w="4672" w:type="dxa"/>
                  <w:noWrap w:val="0"/>
                  <w:vAlign w:val="center"/>
                </w:tcPr>
                <w:p w14:paraId="666B99F7">
                  <w:pPr>
                    <w:pStyle w:val="53"/>
                    <w:bidi w:val="0"/>
                    <w:rPr>
                      <w:rFonts w:hint="eastAsia"/>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为重点</w:t>
                  </w:r>
                  <w:r>
                    <w:rPr>
                      <w:rFonts w:hint="default"/>
                      <w:color w:val="auto"/>
                      <w:highlight w:val="none"/>
                      <w:lang w:val="en-US" w:eastAsia="zh-CN"/>
                    </w:rPr>
                    <w:t>管控单元，</w:t>
                  </w:r>
                  <w:r>
                    <w:rPr>
                      <w:rFonts w:hint="eastAsia"/>
                      <w:color w:val="auto"/>
                      <w:highlight w:val="none"/>
                      <w:lang w:val="en-US" w:eastAsia="zh-CN"/>
                    </w:rPr>
                    <w:t>项目建设符合国家产业政策，不属于陕西省发展和改革委员会《关于印发</w:t>
                  </w:r>
                  <w:r>
                    <w:rPr>
                      <w:rFonts w:hint="default"/>
                      <w:color w:val="auto"/>
                      <w:highlight w:val="none"/>
                      <w:lang w:val="en-US" w:eastAsia="zh-CN"/>
                    </w:rPr>
                    <w:t>&lt;</w:t>
                  </w:r>
                  <w:r>
                    <w:rPr>
                      <w:rFonts w:hint="eastAsia"/>
                      <w:color w:val="auto"/>
                      <w:highlight w:val="none"/>
                      <w:lang w:val="en-US" w:eastAsia="zh-CN"/>
                    </w:rPr>
                    <w:t>陕西省国家重点生态功能区产业准入负面清单（试行）</w:t>
                  </w:r>
                  <w:r>
                    <w:rPr>
                      <w:rFonts w:hint="default"/>
                      <w:color w:val="auto"/>
                      <w:highlight w:val="none"/>
                      <w:lang w:val="en-US" w:eastAsia="zh-CN"/>
                    </w:rPr>
                    <w:t>&gt;</w:t>
                  </w:r>
                  <w:r>
                    <w:rPr>
                      <w:rFonts w:hint="eastAsia"/>
                      <w:color w:val="auto"/>
                      <w:highlight w:val="none"/>
                      <w:lang w:val="en-US" w:eastAsia="zh-CN"/>
                    </w:rPr>
                    <w:t>的通知》（陕发改规划〔</w:t>
                  </w:r>
                  <w:r>
                    <w:rPr>
                      <w:rFonts w:hint="default"/>
                      <w:color w:val="auto"/>
                      <w:highlight w:val="none"/>
                      <w:lang w:val="en-US" w:eastAsia="zh-CN"/>
                    </w:rPr>
                    <w:t>2018</w:t>
                  </w:r>
                  <w:r>
                    <w:rPr>
                      <w:rFonts w:hint="eastAsia"/>
                      <w:color w:val="auto"/>
                      <w:highlight w:val="none"/>
                      <w:lang w:val="en-US" w:eastAsia="zh-CN"/>
                    </w:rPr>
                    <w:t>〕</w:t>
                  </w:r>
                  <w:r>
                    <w:rPr>
                      <w:rFonts w:hint="default"/>
                      <w:color w:val="auto"/>
                      <w:highlight w:val="none"/>
                      <w:lang w:val="en-US" w:eastAsia="zh-CN"/>
                    </w:rPr>
                    <w:t>213</w:t>
                  </w:r>
                  <w:r>
                    <w:rPr>
                      <w:rFonts w:hint="eastAsia"/>
                      <w:color w:val="auto"/>
                      <w:highlight w:val="none"/>
                      <w:lang w:val="en-US" w:eastAsia="zh-CN"/>
                    </w:rPr>
                    <w:t>号）中限制类、禁止类项目。</w:t>
                  </w:r>
                </w:p>
              </w:tc>
              <w:tc>
                <w:tcPr>
                  <w:tcW w:w="928" w:type="dxa"/>
                  <w:noWrap w:val="0"/>
                  <w:vAlign w:val="center"/>
                </w:tcPr>
                <w:p w14:paraId="5A8D8BA8">
                  <w:pPr>
                    <w:pStyle w:val="53"/>
                    <w:bidi w:val="0"/>
                    <w:rPr>
                      <w:rFonts w:hint="default"/>
                      <w:color w:val="auto"/>
                      <w:highlight w:val="none"/>
                    </w:rPr>
                  </w:pPr>
                  <w:r>
                    <w:rPr>
                      <w:rFonts w:hint="default"/>
                      <w:color w:val="auto"/>
                      <w:highlight w:val="none"/>
                      <w:lang w:val="en-US" w:eastAsia="zh-CN"/>
                    </w:rPr>
                    <w:t>符合</w:t>
                  </w:r>
                </w:p>
              </w:tc>
            </w:tr>
          </w:tbl>
          <w:p w14:paraId="5FF8AC95">
            <w:pPr>
              <w:bidi w:val="0"/>
              <w:rPr>
                <w:rFonts w:hint="eastAsia"/>
                <w:color w:val="auto"/>
                <w:highlight w:val="none"/>
                <w:lang w:val="en-US" w:eastAsia="zh-CN"/>
              </w:rPr>
            </w:pPr>
            <w:r>
              <w:rPr>
                <w:rFonts w:hint="eastAsia" w:ascii="Times New Roman" w:hAnsi="Times New Roman" w:cs="宋体"/>
                <w:color w:val="auto"/>
                <w:sz w:val="24"/>
                <w:szCs w:val="21"/>
              </w:rPr>
              <w:t>根据《陕西省“三线一单”生态环境分区管控应用技术指南</w:t>
            </w:r>
            <w:r>
              <w:rPr>
                <w:rFonts w:hint="eastAsia" w:ascii="Times New Roman" w:hAnsi="Times New Roman" w:cs="宋体"/>
                <w:color w:val="auto"/>
                <w:sz w:val="24"/>
                <w:szCs w:val="21"/>
                <w:lang w:eastAsia="zh-CN"/>
              </w:rPr>
              <w:t>：</w:t>
            </w:r>
            <w:r>
              <w:rPr>
                <w:rFonts w:hint="eastAsia" w:ascii="Times New Roman" w:hAnsi="Times New Roman" w:cs="宋体"/>
                <w:color w:val="auto"/>
                <w:sz w:val="24"/>
                <w:szCs w:val="21"/>
              </w:rPr>
              <w:t>环境影响评价</w:t>
            </w:r>
            <w:r>
              <w:rPr>
                <w:rFonts w:hint="eastAsia" w:ascii="Times New Roman" w:hAnsi="Times New Roman" w:cs="宋体"/>
                <w:color w:val="auto"/>
                <w:sz w:val="24"/>
                <w:szCs w:val="21"/>
                <w:lang w:eastAsia="zh-CN"/>
              </w:rPr>
              <w:t>（</w:t>
            </w:r>
            <w:r>
              <w:rPr>
                <w:rFonts w:hint="eastAsia" w:ascii="Times New Roman" w:hAnsi="Times New Roman" w:cs="宋体"/>
                <w:color w:val="auto"/>
                <w:sz w:val="24"/>
                <w:szCs w:val="21"/>
              </w:rPr>
              <w:t>试行</w:t>
            </w:r>
            <w:r>
              <w:rPr>
                <w:rFonts w:hint="eastAsia" w:ascii="Times New Roman" w:hAnsi="Times New Roman" w:cs="宋体"/>
                <w:color w:val="auto"/>
                <w:sz w:val="24"/>
                <w:szCs w:val="21"/>
                <w:lang w:eastAsia="zh-CN"/>
              </w:rPr>
              <w:t>）</w:t>
            </w:r>
            <w:r>
              <w:rPr>
                <w:rFonts w:hint="eastAsia" w:ascii="Times New Roman" w:hAnsi="Times New Roman" w:cs="宋体"/>
                <w:color w:val="auto"/>
                <w:sz w:val="24"/>
                <w:szCs w:val="21"/>
              </w:rPr>
              <w:t>》</w:t>
            </w:r>
            <w:r>
              <w:rPr>
                <w:rFonts w:hint="eastAsia" w:ascii="Times New Roman" w:hAnsi="Times New Roman" w:cs="宋体"/>
                <w:color w:val="auto"/>
                <w:sz w:val="24"/>
                <w:szCs w:val="21"/>
                <w:lang w:eastAsia="zh-CN"/>
              </w:rPr>
              <w:t>（</w:t>
            </w:r>
            <w:r>
              <w:rPr>
                <w:rFonts w:hint="eastAsia" w:ascii="Times New Roman" w:hAnsi="Times New Roman" w:cs="宋体"/>
                <w:color w:val="auto"/>
                <w:sz w:val="24"/>
                <w:szCs w:val="21"/>
              </w:rPr>
              <w:t>陕环办发</w:t>
            </w:r>
            <w:r>
              <w:rPr>
                <w:rFonts w:hint="eastAsia" w:ascii="Times New Roman" w:hAnsi="Times New Roman" w:cs="宋体"/>
                <w:color w:val="auto"/>
                <w:sz w:val="24"/>
                <w:szCs w:val="21"/>
                <w:lang w:eastAsia="zh-CN"/>
              </w:rPr>
              <w:t>〔2022〕76号）</w:t>
            </w:r>
            <w:r>
              <w:rPr>
                <w:rFonts w:hint="eastAsia" w:ascii="Times New Roman" w:hAnsi="Times New Roman" w:cs="宋体"/>
                <w:color w:val="auto"/>
                <w:sz w:val="24"/>
                <w:szCs w:val="21"/>
              </w:rPr>
              <w:t>，建设项目环评文件涉及“三线一单”生态环境分区管控符合性分析采取“一图一表一说明”的表达方式，对照分析结果，论证建设的符合性。</w:t>
            </w:r>
          </w:p>
          <w:p w14:paraId="739FB826">
            <w:pPr>
              <w:numPr>
                <w:ilvl w:val="0"/>
                <w:numId w:val="5"/>
              </w:numPr>
              <w:bidi w:val="0"/>
              <w:jc w:val="both"/>
              <w:rPr>
                <w:rFonts w:hint="eastAsia"/>
                <w:color w:val="auto"/>
                <w:highlight w:val="none"/>
                <w:lang w:val="en-US" w:eastAsia="zh-CN"/>
              </w:rPr>
            </w:pPr>
            <w:r>
              <w:rPr>
                <w:rFonts w:hint="eastAsia"/>
                <w:color w:val="auto"/>
                <w:highlight w:val="none"/>
                <w:lang w:val="en-US" w:eastAsia="zh-CN"/>
              </w:rPr>
              <w:t>一图</w:t>
            </w:r>
          </w:p>
          <w:p w14:paraId="3E8A1545">
            <w:pPr>
              <w:bidi w:val="0"/>
              <w:jc w:val="both"/>
              <w:rPr>
                <w:rFonts w:hint="eastAsia"/>
                <w:color w:val="auto"/>
                <w:lang w:val="en-US" w:eastAsia="zh-CN"/>
              </w:rPr>
            </w:pPr>
            <w:r>
              <w:rPr>
                <w:rFonts w:hint="eastAsia" w:ascii="Times New Roman" w:hAnsi="Times New Roman" w:eastAsia="宋体" w:cs="Times New Roman"/>
                <w:iCs/>
                <w:color w:val="auto"/>
                <w:sz w:val="24"/>
                <w:szCs w:val="24"/>
                <w:lang w:val="en-US" w:eastAsia="zh-CN"/>
              </w:rPr>
              <w:t>本项目位于陕西省宝鸡市</w:t>
            </w:r>
            <w:r>
              <w:rPr>
                <w:rFonts w:hint="eastAsia" w:eastAsia="宋体" w:cs="Times New Roman"/>
                <w:iCs/>
                <w:color w:val="auto"/>
                <w:sz w:val="24"/>
                <w:szCs w:val="24"/>
                <w:lang w:val="en-US" w:eastAsia="zh-CN"/>
              </w:rPr>
              <w:t>岐山县蔡家坡经济技术开发区</w:t>
            </w:r>
            <w:r>
              <w:rPr>
                <w:rFonts w:hint="eastAsia" w:ascii="Times New Roman" w:hAnsi="Times New Roman" w:eastAsia="宋体" w:cs="Times New Roman"/>
                <w:iCs/>
                <w:color w:val="auto"/>
                <w:sz w:val="24"/>
                <w:szCs w:val="24"/>
                <w:lang w:val="en-US" w:eastAsia="zh-CN"/>
              </w:rPr>
              <w:t>内</w:t>
            </w:r>
            <w:r>
              <w:rPr>
                <w:rFonts w:hint="eastAsia" w:ascii="Times New Roman" w:hAnsi="Times New Roman" w:cs="Times New Roman"/>
                <w:iCs/>
                <w:color w:val="auto"/>
                <w:sz w:val="24"/>
                <w:szCs w:val="24"/>
                <w:highlight w:val="none"/>
              </w:rPr>
              <w:t>，</w:t>
            </w:r>
            <w:r>
              <w:rPr>
                <w:rFonts w:hint="default" w:ascii="Times New Roman" w:hAnsi="Times New Roman" w:cs="Times New Roman"/>
                <w:color w:val="auto"/>
                <w:sz w:val="24"/>
                <w:szCs w:val="24"/>
                <w:lang w:val="en-US" w:eastAsia="zh-CN"/>
              </w:rPr>
              <w:t>根据陕西省</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数据应用分析平台（V1.0）冲突分析形成空间冲突附图，图中所示本项目位于</w:t>
            </w:r>
            <w:r>
              <w:rPr>
                <w:rFonts w:hint="eastAsia" w:ascii="Times New Roman" w:hAnsi="Times New Roman" w:cs="Times New Roman"/>
                <w:color w:val="auto"/>
                <w:sz w:val="24"/>
                <w:szCs w:val="24"/>
                <w:lang w:val="en-US" w:eastAsia="zh-CN"/>
              </w:rPr>
              <w:t>重点管控单元</w:t>
            </w:r>
            <w:r>
              <w:rPr>
                <w:rFonts w:hint="default" w:ascii="Times New Roman" w:hAnsi="Times New Roman" w:cs="Times New Roman"/>
                <w:color w:val="auto"/>
                <w:sz w:val="24"/>
                <w:szCs w:val="24"/>
                <w:lang w:val="en-US" w:eastAsia="zh-CN"/>
              </w:rPr>
              <w:t>。管控单元对照空间冲突附图如下。</w:t>
            </w:r>
          </w:p>
          <w:p w14:paraId="303A66F0">
            <w:pPr>
              <w:pStyle w:val="53"/>
              <w:bidi w:val="0"/>
              <w:rPr>
                <w:rFonts w:hint="eastAsia"/>
                <w:color w:val="auto"/>
                <w:highlight w:val="none"/>
                <w:lang w:val="en-US" w:eastAsia="zh-CN"/>
              </w:rPr>
            </w:pPr>
            <w:r>
              <w:drawing>
                <wp:inline distT="0" distB="0" distL="114300" distR="114300">
                  <wp:extent cx="3224530" cy="5413375"/>
                  <wp:effectExtent l="0" t="0" r="13970" b="158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3"/>
                          <a:stretch>
                            <a:fillRect/>
                          </a:stretch>
                        </pic:blipFill>
                        <pic:spPr>
                          <a:xfrm>
                            <a:off x="0" y="0"/>
                            <a:ext cx="3224530" cy="5413375"/>
                          </a:xfrm>
                          <a:prstGeom prst="rect">
                            <a:avLst/>
                          </a:prstGeom>
                          <a:noFill/>
                          <a:ln>
                            <a:noFill/>
                          </a:ln>
                        </pic:spPr>
                      </pic:pic>
                    </a:graphicData>
                  </a:graphic>
                </wp:inline>
              </w:drawing>
            </w:r>
          </w:p>
          <w:p w14:paraId="354CFF48">
            <w:pPr>
              <w:pStyle w:val="67"/>
              <w:bidi w:val="0"/>
              <w:rPr>
                <w:rFonts w:hint="default"/>
                <w:color w:val="auto"/>
                <w:highlight w:val="none"/>
                <w:lang w:val="en-US" w:eastAsia="zh-CN"/>
              </w:rPr>
            </w:pPr>
            <w:r>
              <w:rPr>
                <w:rFonts w:hint="eastAsia"/>
                <w:color w:val="auto"/>
                <w:highlight w:val="none"/>
                <w:lang w:val="en-US" w:eastAsia="zh-CN"/>
              </w:rPr>
              <w:t>图1-1     项目与生态环境管控单元分布位置示意图</w:t>
            </w:r>
          </w:p>
          <w:p w14:paraId="6ECF22BF">
            <w:pPr>
              <w:numPr>
                <w:ilvl w:val="0"/>
                <w:numId w:val="5"/>
              </w:numPr>
              <w:bidi w:val="0"/>
              <w:jc w:val="both"/>
              <w:rPr>
                <w:rFonts w:hint="default"/>
                <w:color w:val="auto"/>
                <w:highlight w:val="none"/>
                <w:lang w:val="en-US" w:eastAsia="zh-CN"/>
              </w:rPr>
            </w:pPr>
            <w:r>
              <w:rPr>
                <w:rFonts w:hint="eastAsia"/>
                <w:color w:val="auto"/>
                <w:highlight w:val="none"/>
                <w:lang w:val="en-US" w:eastAsia="zh-CN"/>
              </w:rPr>
              <w:t>一表</w:t>
            </w:r>
          </w:p>
          <w:p w14:paraId="526D0032">
            <w:pPr>
              <w:bidi w:val="0"/>
              <w:rPr>
                <w:rFonts w:hint="eastAsia" w:eastAsia="宋体"/>
                <w:color w:val="auto"/>
                <w:highlight w:val="none"/>
                <w:lang w:val="en-US" w:eastAsia="zh-CN"/>
              </w:rPr>
            </w:pPr>
            <w:r>
              <w:rPr>
                <w:rFonts w:hint="default"/>
                <w:color w:val="auto"/>
                <w:highlight w:val="none"/>
                <w:lang w:val="en-US" w:eastAsia="zh-CN"/>
              </w:rPr>
              <w:t>本项目建设范围涉及的生态环境管控单元准入清单具体见</w:t>
            </w:r>
            <w:r>
              <w:rPr>
                <w:rFonts w:hint="eastAsia"/>
                <w:color w:val="auto"/>
                <w:highlight w:val="none"/>
                <w:lang w:val="en-US" w:eastAsia="zh-CN"/>
              </w:rPr>
              <w:t>下表</w:t>
            </w:r>
            <w:r>
              <w:rPr>
                <w:rFonts w:hint="default"/>
                <w:color w:val="auto"/>
                <w:highlight w:val="none"/>
                <w:lang w:val="en-US" w:eastAsia="zh-CN"/>
              </w:rPr>
              <w:t>。</w:t>
            </w:r>
            <w:r>
              <w:rPr>
                <w:color w:val="auto"/>
                <w:sz w:val="24"/>
                <w:highlight w:val="none"/>
              </w:rPr>
              <w:t>陕西省</w:t>
            </w:r>
            <w:r>
              <w:rPr>
                <w:rFonts w:hint="eastAsia"/>
                <w:color w:val="auto"/>
                <w:sz w:val="24"/>
                <w:highlight w:val="none"/>
                <w:lang w:eastAsia="zh-CN"/>
              </w:rPr>
              <w:t>“</w:t>
            </w:r>
            <w:r>
              <w:rPr>
                <w:color w:val="auto"/>
                <w:sz w:val="24"/>
                <w:highlight w:val="none"/>
              </w:rPr>
              <w:t>三线一单</w:t>
            </w:r>
            <w:r>
              <w:rPr>
                <w:rFonts w:hint="eastAsia"/>
                <w:color w:val="auto"/>
                <w:sz w:val="24"/>
                <w:highlight w:val="none"/>
                <w:lang w:eastAsia="zh-CN"/>
              </w:rPr>
              <w:t>”</w:t>
            </w:r>
            <w:r>
              <w:rPr>
                <w:color w:val="auto"/>
                <w:sz w:val="24"/>
                <w:highlight w:val="none"/>
              </w:rPr>
              <w:t>生态环境管控单元对照分析报告见附件</w:t>
            </w:r>
            <w:r>
              <w:rPr>
                <w:rFonts w:hint="eastAsia"/>
                <w:color w:val="auto"/>
                <w:sz w:val="24"/>
                <w:highlight w:val="none"/>
                <w:lang w:eastAsia="zh-CN"/>
              </w:rPr>
              <w:t>。</w:t>
            </w:r>
          </w:p>
          <w:p w14:paraId="23EDBB07">
            <w:pPr>
              <w:pStyle w:val="58"/>
              <w:bidi w:val="0"/>
              <w:rPr>
                <w:rFonts w:hint="eastAsia"/>
                <w:color w:val="auto"/>
                <w:highlight w:val="none"/>
              </w:rPr>
            </w:pPr>
            <w:r>
              <w:rPr>
                <w:color w:val="auto"/>
                <w:highlight w:val="none"/>
              </w:rPr>
              <w:t>表1-</w:t>
            </w:r>
            <w:r>
              <w:rPr>
                <w:rFonts w:hint="eastAsia"/>
                <w:color w:val="auto"/>
                <w:highlight w:val="none"/>
                <w:lang w:val="en-US" w:eastAsia="zh-CN"/>
              </w:rPr>
              <w:t xml:space="preserve">4  </w:t>
            </w:r>
            <w:r>
              <w:rPr>
                <w:color w:val="auto"/>
                <w:highlight w:val="none"/>
              </w:rPr>
              <w:t xml:space="preserve">  </w:t>
            </w:r>
            <w:r>
              <w:rPr>
                <w:rFonts w:hint="eastAsia"/>
                <w:color w:val="auto"/>
                <w:highlight w:val="none"/>
              </w:rPr>
              <w:t>本项目分区管控占地类型一览表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1439"/>
              <w:gridCol w:w="3631"/>
            </w:tblGrid>
            <w:tr w14:paraId="566A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vAlign w:val="center"/>
                </w:tcPr>
                <w:p w14:paraId="468FF231">
                  <w:pPr>
                    <w:pStyle w:val="53"/>
                    <w:bidi w:val="0"/>
                    <w:rPr>
                      <w:rFonts w:hint="default"/>
                      <w:b/>
                      <w:bCs/>
                      <w:color w:val="auto"/>
                      <w:highlight w:val="none"/>
                      <w:lang w:val="en-US" w:eastAsia="zh-CN"/>
                    </w:rPr>
                  </w:pPr>
                  <w:r>
                    <w:rPr>
                      <w:rFonts w:hint="default"/>
                      <w:b/>
                      <w:bCs/>
                      <w:color w:val="auto"/>
                      <w:highlight w:val="none"/>
                      <w:lang w:val="en-US" w:eastAsia="zh-CN"/>
                    </w:rPr>
                    <w:t>环境管控单元分类</w:t>
                  </w:r>
                </w:p>
              </w:tc>
              <w:tc>
                <w:tcPr>
                  <w:tcW w:w="1305" w:type="dxa"/>
                  <w:vAlign w:val="center"/>
                </w:tcPr>
                <w:p w14:paraId="65E7F0FC">
                  <w:pPr>
                    <w:pStyle w:val="53"/>
                    <w:bidi w:val="0"/>
                    <w:rPr>
                      <w:rFonts w:hint="default"/>
                      <w:b/>
                      <w:bCs/>
                      <w:color w:val="auto"/>
                      <w:highlight w:val="none"/>
                      <w:lang w:val="en-US" w:eastAsia="zh-CN"/>
                    </w:rPr>
                  </w:pPr>
                  <w:r>
                    <w:rPr>
                      <w:rFonts w:hint="default"/>
                      <w:b/>
                      <w:bCs/>
                      <w:color w:val="auto"/>
                      <w:highlight w:val="none"/>
                      <w:lang w:val="en-US" w:eastAsia="zh-CN"/>
                    </w:rPr>
                    <w:t>是否涉及</w:t>
                  </w:r>
                </w:p>
              </w:tc>
              <w:tc>
                <w:tcPr>
                  <w:tcW w:w="3295" w:type="dxa"/>
                  <w:vAlign w:val="center"/>
                </w:tcPr>
                <w:p w14:paraId="4878AB7E">
                  <w:pPr>
                    <w:pStyle w:val="53"/>
                    <w:bidi w:val="0"/>
                    <w:rPr>
                      <w:rFonts w:hint="default"/>
                      <w:b/>
                      <w:bCs/>
                      <w:color w:val="auto"/>
                      <w:highlight w:val="none"/>
                      <w:lang w:val="en-US" w:eastAsia="zh-CN"/>
                    </w:rPr>
                  </w:pPr>
                  <w:r>
                    <w:rPr>
                      <w:rFonts w:hint="default"/>
                      <w:b/>
                      <w:bCs/>
                      <w:color w:val="auto"/>
                      <w:highlight w:val="none"/>
                      <w:lang w:val="en-US" w:eastAsia="zh-CN"/>
                    </w:rPr>
                    <w:t>面积/长度</w:t>
                  </w:r>
                </w:p>
              </w:tc>
            </w:tr>
            <w:tr w14:paraId="0F99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vAlign w:val="center"/>
                </w:tcPr>
                <w:p w14:paraId="186BF20B">
                  <w:pPr>
                    <w:pStyle w:val="53"/>
                    <w:bidi w:val="0"/>
                    <w:rPr>
                      <w:rFonts w:hint="default"/>
                      <w:color w:val="auto"/>
                      <w:highlight w:val="none"/>
                      <w:lang w:val="en-US" w:eastAsia="zh-CN"/>
                    </w:rPr>
                  </w:pPr>
                  <w:r>
                    <w:rPr>
                      <w:rFonts w:hint="default"/>
                      <w:color w:val="auto"/>
                      <w:highlight w:val="none"/>
                      <w:lang w:val="en-US" w:eastAsia="zh-CN"/>
                    </w:rPr>
                    <w:t>优先保护单元</w:t>
                  </w:r>
                </w:p>
              </w:tc>
              <w:tc>
                <w:tcPr>
                  <w:tcW w:w="1305" w:type="dxa"/>
                  <w:vAlign w:val="center"/>
                </w:tcPr>
                <w:p w14:paraId="771A3ED5">
                  <w:pPr>
                    <w:pStyle w:val="53"/>
                    <w:bidi w:val="0"/>
                    <w:rPr>
                      <w:rFonts w:hint="default"/>
                      <w:color w:val="auto"/>
                      <w:highlight w:val="none"/>
                      <w:lang w:val="en-US" w:eastAsia="zh-CN"/>
                    </w:rPr>
                  </w:pPr>
                  <w:r>
                    <w:rPr>
                      <w:rFonts w:hint="eastAsia"/>
                      <w:color w:val="auto"/>
                      <w:highlight w:val="none"/>
                      <w:lang w:val="en-US" w:eastAsia="zh-CN"/>
                    </w:rPr>
                    <w:t>否</w:t>
                  </w:r>
                </w:p>
              </w:tc>
              <w:tc>
                <w:tcPr>
                  <w:tcW w:w="3295" w:type="dxa"/>
                  <w:vAlign w:val="center"/>
                </w:tcPr>
                <w:p w14:paraId="0D72B706">
                  <w:pPr>
                    <w:pStyle w:val="53"/>
                    <w:bidi w:val="0"/>
                    <w:rPr>
                      <w:rFonts w:hint="default"/>
                      <w:color w:val="auto"/>
                      <w:highlight w:val="none"/>
                      <w:lang w:val="en-US" w:eastAsia="zh-CN"/>
                    </w:rPr>
                  </w:pPr>
                  <w:r>
                    <w:rPr>
                      <w:rFonts w:hint="eastAsia"/>
                      <w:color w:val="auto"/>
                      <w:highlight w:val="none"/>
                      <w:lang w:val="en-US" w:eastAsia="zh-CN"/>
                    </w:rPr>
                    <w:t>0</w:t>
                  </w:r>
                  <w:r>
                    <w:rPr>
                      <w:rFonts w:hint="default"/>
                      <w:color w:val="auto"/>
                      <w:highlight w:val="none"/>
                      <w:lang w:val="en-US" w:eastAsia="zh-CN"/>
                    </w:rPr>
                    <w:t>平方米</w:t>
                  </w:r>
                </w:p>
              </w:tc>
            </w:tr>
            <w:tr w14:paraId="0906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vAlign w:val="center"/>
                </w:tcPr>
                <w:p w14:paraId="5D9533C3">
                  <w:pPr>
                    <w:pStyle w:val="53"/>
                    <w:bidi w:val="0"/>
                    <w:rPr>
                      <w:rFonts w:hint="default"/>
                      <w:color w:val="auto"/>
                      <w:highlight w:val="none"/>
                      <w:lang w:val="en-US" w:eastAsia="zh-CN"/>
                    </w:rPr>
                  </w:pPr>
                  <w:r>
                    <w:rPr>
                      <w:rFonts w:hint="default"/>
                      <w:color w:val="auto"/>
                      <w:highlight w:val="none"/>
                      <w:lang w:val="en-US" w:eastAsia="zh-CN"/>
                    </w:rPr>
                    <w:t>重点管控单元</w:t>
                  </w:r>
                </w:p>
              </w:tc>
              <w:tc>
                <w:tcPr>
                  <w:tcW w:w="1305" w:type="dxa"/>
                  <w:vAlign w:val="center"/>
                </w:tcPr>
                <w:p w14:paraId="5DDB01F6">
                  <w:pPr>
                    <w:pStyle w:val="53"/>
                    <w:bidi w:val="0"/>
                    <w:rPr>
                      <w:rFonts w:hint="default"/>
                      <w:color w:val="auto"/>
                      <w:highlight w:val="none"/>
                      <w:lang w:val="en-US" w:eastAsia="zh-CN"/>
                    </w:rPr>
                  </w:pPr>
                  <w:r>
                    <w:rPr>
                      <w:rFonts w:hint="eastAsia"/>
                      <w:color w:val="auto"/>
                      <w:highlight w:val="none"/>
                      <w:lang w:val="en-US" w:eastAsia="zh-CN"/>
                    </w:rPr>
                    <w:t>是</w:t>
                  </w:r>
                </w:p>
              </w:tc>
              <w:tc>
                <w:tcPr>
                  <w:tcW w:w="3295" w:type="dxa"/>
                  <w:vAlign w:val="center"/>
                </w:tcPr>
                <w:p w14:paraId="60099759">
                  <w:pPr>
                    <w:pStyle w:val="53"/>
                    <w:bidi w:val="0"/>
                    <w:rPr>
                      <w:rFonts w:hint="default"/>
                      <w:color w:val="auto"/>
                      <w:highlight w:val="none"/>
                      <w:lang w:val="en-US" w:eastAsia="zh-CN"/>
                    </w:rPr>
                  </w:pPr>
                  <w:r>
                    <w:rPr>
                      <w:rFonts w:hint="eastAsia"/>
                      <w:color w:val="auto"/>
                      <w:highlight w:val="none"/>
                      <w:lang w:val="en-US" w:eastAsia="zh-CN"/>
                    </w:rPr>
                    <w:t>3001.33</w:t>
                  </w:r>
                  <w:r>
                    <w:rPr>
                      <w:rFonts w:hint="default"/>
                      <w:color w:val="auto"/>
                      <w:highlight w:val="none"/>
                      <w:lang w:val="en-US" w:eastAsia="zh-CN"/>
                    </w:rPr>
                    <w:t>平方米</w:t>
                  </w:r>
                </w:p>
              </w:tc>
            </w:tr>
            <w:tr w14:paraId="1D95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vAlign w:val="center"/>
                </w:tcPr>
                <w:p w14:paraId="3E6C7813">
                  <w:pPr>
                    <w:pStyle w:val="53"/>
                    <w:bidi w:val="0"/>
                    <w:rPr>
                      <w:rFonts w:hint="default"/>
                      <w:color w:val="auto"/>
                      <w:highlight w:val="none"/>
                      <w:lang w:val="en-US" w:eastAsia="zh-CN"/>
                    </w:rPr>
                  </w:pPr>
                  <w:r>
                    <w:rPr>
                      <w:rFonts w:hint="default"/>
                      <w:color w:val="auto"/>
                      <w:highlight w:val="none"/>
                      <w:lang w:val="en-US" w:eastAsia="zh-CN"/>
                    </w:rPr>
                    <w:t>一般管控单元</w:t>
                  </w:r>
                </w:p>
              </w:tc>
              <w:tc>
                <w:tcPr>
                  <w:tcW w:w="1305" w:type="dxa"/>
                  <w:vAlign w:val="center"/>
                </w:tcPr>
                <w:p w14:paraId="62F4DBCA">
                  <w:pPr>
                    <w:pStyle w:val="53"/>
                    <w:bidi w:val="0"/>
                    <w:rPr>
                      <w:rFonts w:hint="default"/>
                      <w:color w:val="auto"/>
                      <w:highlight w:val="none"/>
                      <w:lang w:val="en-US" w:eastAsia="zh-CN"/>
                    </w:rPr>
                  </w:pPr>
                  <w:r>
                    <w:rPr>
                      <w:rFonts w:hint="eastAsia"/>
                      <w:color w:val="auto"/>
                      <w:highlight w:val="none"/>
                      <w:lang w:val="en-US" w:eastAsia="zh-CN"/>
                    </w:rPr>
                    <w:t>否</w:t>
                  </w:r>
                </w:p>
              </w:tc>
              <w:tc>
                <w:tcPr>
                  <w:tcW w:w="3295" w:type="dxa"/>
                  <w:vAlign w:val="center"/>
                </w:tcPr>
                <w:p w14:paraId="79CEC10A">
                  <w:pPr>
                    <w:pStyle w:val="53"/>
                    <w:bidi w:val="0"/>
                    <w:rPr>
                      <w:rFonts w:hint="default"/>
                      <w:color w:val="auto"/>
                      <w:highlight w:val="none"/>
                      <w:lang w:val="en-US" w:eastAsia="zh-CN"/>
                    </w:rPr>
                  </w:pPr>
                  <w:r>
                    <w:rPr>
                      <w:rFonts w:hint="eastAsia"/>
                      <w:color w:val="auto"/>
                      <w:highlight w:val="none"/>
                      <w:lang w:val="en-US" w:eastAsia="zh-CN"/>
                    </w:rPr>
                    <w:t>0</w:t>
                  </w:r>
                  <w:r>
                    <w:rPr>
                      <w:rFonts w:hint="default"/>
                      <w:color w:val="auto"/>
                      <w:highlight w:val="none"/>
                      <w:lang w:val="en-US" w:eastAsia="zh-CN"/>
                    </w:rPr>
                    <w:t>平方米</w:t>
                  </w:r>
                </w:p>
              </w:tc>
            </w:tr>
          </w:tbl>
          <w:p w14:paraId="177253F4">
            <w:pPr>
              <w:bidi w:val="0"/>
              <w:ind w:left="0" w:leftChars="0" w:firstLine="0" w:firstLineChars="0"/>
              <w:rPr>
                <w:rFonts w:hint="eastAsia"/>
                <w:i w:val="0"/>
                <w:iCs w:val="0"/>
                <w:color w:val="auto"/>
                <w:sz w:val="24"/>
                <w:szCs w:val="24"/>
                <w:highlight w:val="none"/>
                <w:lang w:val="en-US" w:eastAsia="zh-CN"/>
              </w:rPr>
            </w:pPr>
          </w:p>
        </w:tc>
      </w:tr>
    </w:tbl>
    <w:p w14:paraId="30CFC7B1">
      <w:pPr>
        <w:rPr>
          <w:color w:val="auto"/>
          <w:highlight w:val="none"/>
        </w:rPr>
      </w:pPr>
    </w:p>
    <w:p w14:paraId="4EA87094">
      <w:pPr>
        <w:rPr>
          <w:color w:val="auto"/>
          <w:highlight w:val="none"/>
        </w:rPr>
        <w:sectPr>
          <w:footerReference r:id="rId8" w:type="default"/>
          <w:pgSz w:w="11906" w:h="16838"/>
          <w:pgMar w:top="1701" w:right="1531" w:bottom="1701" w:left="1531" w:header="851" w:footer="1077" w:gutter="0"/>
          <w:pgNumType w:fmt="decimal" w:start="1"/>
          <w:cols w:space="720" w:num="1"/>
          <w:docGrid w:linePitch="312" w:charSpace="0"/>
        </w:sectPr>
      </w:pPr>
    </w:p>
    <w:tbl>
      <w:tblPr>
        <w:tblStyle w:val="30"/>
        <w:tblW w:w="51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2844"/>
      </w:tblGrid>
      <w:tr w14:paraId="1F766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1" w:type="dxa"/>
            <w:noWrap w:val="0"/>
            <w:vAlign w:val="center"/>
          </w:tcPr>
          <w:p w14:paraId="385173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p>
        </w:tc>
        <w:tc>
          <w:tcPr>
            <w:tcW w:w="12846" w:type="dxa"/>
            <w:noWrap w:val="0"/>
            <w:vAlign w:val="center"/>
          </w:tcPr>
          <w:p w14:paraId="668A4EC6">
            <w:pPr>
              <w:pStyle w:val="58"/>
              <w:bidi w:val="0"/>
              <w:rPr>
                <w:rFonts w:hint="default"/>
                <w:color w:val="auto"/>
                <w:highlight w:val="none"/>
                <w:lang w:val="en-US" w:eastAsia="zh-CN"/>
              </w:rPr>
            </w:pPr>
            <w:r>
              <w:rPr>
                <w:rFonts w:hint="eastAsia"/>
                <w:color w:val="auto"/>
                <w:highlight w:val="none"/>
                <w:lang w:val="en-US" w:eastAsia="zh-CN"/>
              </w:rPr>
              <w:t>表1-5     环境管控单元管控要求</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36"/>
              <w:gridCol w:w="587"/>
              <w:gridCol w:w="827"/>
              <w:gridCol w:w="655"/>
              <w:gridCol w:w="5234"/>
              <w:gridCol w:w="3395"/>
              <w:gridCol w:w="678"/>
            </w:tblGrid>
            <w:tr w14:paraId="7E95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noWrap w:val="0"/>
                  <w:vAlign w:val="center"/>
                </w:tcPr>
                <w:p w14:paraId="49D3B198">
                  <w:pPr>
                    <w:pStyle w:val="53"/>
                    <w:bidi w:val="0"/>
                    <w:rPr>
                      <w:rFonts w:hint="default"/>
                      <w:b/>
                      <w:bCs/>
                      <w:color w:val="auto"/>
                      <w:highlight w:val="none"/>
                      <w:lang w:val="en-US" w:eastAsia="zh-CN"/>
                    </w:rPr>
                  </w:pPr>
                  <w:r>
                    <w:rPr>
                      <w:rFonts w:hint="default"/>
                      <w:b/>
                      <w:bCs/>
                      <w:color w:val="auto"/>
                      <w:highlight w:val="none"/>
                      <w:lang w:val="en-US" w:eastAsia="zh-CN"/>
                    </w:rPr>
                    <w:t>环境管控单元</w:t>
                  </w:r>
                </w:p>
              </w:tc>
              <w:tc>
                <w:tcPr>
                  <w:tcW w:w="172" w:type="pct"/>
                  <w:noWrap w:val="0"/>
                  <w:vAlign w:val="center"/>
                </w:tcPr>
                <w:p w14:paraId="51A8CDE1">
                  <w:pPr>
                    <w:pStyle w:val="53"/>
                    <w:bidi w:val="0"/>
                    <w:rPr>
                      <w:rFonts w:hint="default"/>
                      <w:b/>
                      <w:bCs/>
                      <w:color w:val="auto"/>
                      <w:highlight w:val="none"/>
                      <w:lang w:val="en-US" w:eastAsia="zh-CN"/>
                    </w:rPr>
                  </w:pPr>
                  <w:r>
                    <w:rPr>
                      <w:rFonts w:hint="default"/>
                      <w:b/>
                      <w:bCs/>
                      <w:color w:val="auto"/>
                      <w:highlight w:val="none"/>
                      <w:lang w:val="en-US" w:eastAsia="zh-CN"/>
                    </w:rPr>
                    <w:t>区县</w:t>
                  </w:r>
                </w:p>
              </w:tc>
              <w:tc>
                <w:tcPr>
                  <w:tcW w:w="232" w:type="pct"/>
                  <w:noWrap w:val="0"/>
                  <w:vAlign w:val="center"/>
                </w:tcPr>
                <w:p w14:paraId="6E8AD4A1">
                  <w:pPr>
                    <w:pStyle w:val="53"/>
                    <w:bidi w:val="0"/>
                    <w:rPr>
                      <w:rFonts w:hint="default"/>
                      <w:b/>
                      <w:bCs/>
                      <w:color w:val="auto"/>
                      <w:highlight w:val="none"/>
                      <w:lang w:val="en-US" w:eastAsia="zh-CN"/>
                    </w:rPr>
                  </w:pPr>
                  <w:r>
                    <w:rPr>
                      <w:rFonts w:hint="default"/>
                      <w:b/>
                      <w:bCs/>
                      <w:color w:val="auto"/>
                      <w:highlight w:val="none"/>
                      <w:lang w:val="en-US" w:eastAsia="zh-CN"/>
                    </w:rPr>
                    <w:t>市</w:t>
                  </w:r>
                  <w:r>
                    <w:rPr>
                      <w:rFonts w:hint="eastAsia"/>
                      <w:b/>
                      <w:bCs/>
                      <w:color w:val="auto"/>
                      <w:highlight w:val="none"/>
                      <w:lang w:val="en-US" w:eastAsia="zh-CN"/>
                    </w:rPr>
                    <w:t>(</w:t>
                  </w:r>
                  <w:r>
                    <w:rPr>
                      <w:rFonts w:hint="default"/>
                      <w:b/>
                      <w:bCs/>
                      <w:color w:val="auto"/>
                      <w:highlight w:val="none"/>
                      <w:lang w:val="en-US" w:eastAsia="zh-CN"/>
                    </w:rPr>
                    <w:t>区</w:t>
                  </w:r>
                  <w:r>
                    <w:rPr>
                      <w:rFonts w:hint="eastAsia"/>
                      <w:b/>
                      <w:bCs/>
                      <w:color w:val="auto"/>
                      <w:highlight w:val="none"/>
                      <w:lang w:val="en-US" w:eastAsia="zh-CN"/>
                    </w:rPr>
                    <w:t>)</w:t>
                  </w:r>
                </w:p>
              </w:tc>
              <w:tc>
                <w:tcPr>
                  <w:tcW w:w="327" w:type="pct"/>
                  <w:noWrap w:val="0"/>
                  <w:vAlign w:val="center"/>
                </w:tcPr>
                <w:p w14:paraId="05B20FD1">
                  <w:pPr>
                    <w:pStyle w:val="53"/>
                    <w:bidi w:val="0"/>
                    <w:rPr>
                      <w:rFonts w:hint="default"/>
                      <w:b/>
                      <w:bCs/>
                      <w:color w:val="auto"/>
                      <w:highlight w:val="none"/>
                      <w:lang w:val="en-US" w:eastAsia="zh-CN"/>
                    </w:rPr>
                  </w:pPr>
                  <w:r>
                    <w:rPr>
                      <w:rFonts w:hint="default"/>
                      <w:b/>
                      <w:bCs/>
                      <w:color w:val="auto"/>
                      <w:highlight w:val="none"/>
                      <w:lang w:val="en-US" w:eastAsia="zh-CN"/>
                    </w:rPr>
                    <w:t>单元要素属性</w:t>
                  </w:r>
                </w:p>
              </w:tc>
              <w:tc>
                <w:tcPr>
                  <w:tcW w:w="259" w:type="pct"/>
                  <w:noWrap w:val="0"/>
                  <w:vAlign w:val="center"/>
                </w:tcPr>
                <w:p w14:paraId="01504EE8">
                  <w:pPr>
                    <w:pStyle w:val="53"/>
                    <w:bidi w:val="0"/>
                    <w:rPr>
                      <w:rFonts w:hint="default"/>
                      <w:b/>
                      <w:bCs/>
                      <w:color w:val="auto"/>
                      <w:highlight w:val="none"/>
                      <w:lang w:val="en-US" w:eastAsia="zh-CN"/>
                    </w:rPr>
                  </w:pPr>
                  <w:r>
                    <w:rPr>
                      <w:rFonts w:hint="default"/>
                      <w:b/>
                      <w:bCs/>
                      <w:color w:val="auto"/>
                      <w:highlight w:val="none"/>
                      <w:lang w:val="en-US" w:eastAsia="zh-CN"/>
                    </w:rPr>
                    <w:t>管控要求分类</w:t>
                  </w:r>
                </w:p>
              </w:tc>
              <w:tc>
                <w:tcPr>
                  <w:tcW w:w="2074" w:type="pct"/>
                  <w:noWrap w:val="0"/>
                  <w:vAlign w:val="center"/>
                </w:tcPr>
                <w:p w14:paraId="4A8FFDE3">
                  <w:pPr>
                    <w:pStyle w:val="53"/>
                    <w:bidi w:val="0"/>
                    <w:rPr>
                      <w:rFonts w:hint="default"/>
                      <w:b/>
                      <w:bCs/>
                      <w:color w:val="auto"/>
                      <w:highlight w:val="none"/>
                    </w:rPr>
                  </w:pPr>
                  <w:r>
                    <w:rPr>
                      <w:rFonts w:hint="default"/>
                      <w:b/>
                      <w:bCs/>
                      <w:color w:val="auto"/>
                      <w:highlight w:val="none"/>
                    </w:rPr>
                    <w:t>管控要求</w:t>
                  </w:r>
                </w:p>
              </w:tc>
              <w:tc>
                <w:tcPr>
                  <w:tcW w:w="1345" w:type="pct"/>
                  <w:noWrap w:val="0"/>
                  <w:vAlign w:val="center"/>
                </w:tcPr>
                <w:p w14:paraId="6AE449E1">
                  <w:pPr>
                    <w:pStyle w:val="53"/>
                    <w:bidi w:val="0"/>
                    <w:rPr>
                      <w:rFonts w:hint="default"/>
                      <w:b/>
                      <w:bCs/>
                      <w:color w:val="auto"/>
                      <w:highlight w:val="none"/>
                      <w:lang w:val="en-US" w:eastAsia="zh-CN"/>
                    </w:rPr>
                  </w:pPr>
                  <w:r>
                    <w:rPr>
                      <w:rFonts w:hint="default"/>
                      <w:b/>
                      <w:bCs/>
                      <w:color w:val="auto"/>
                      <w:highlight w:val="none"/>
                      <w:lang w:val="en-US" w:eastAsia="zh-CN"/>
                    </w:rPr>
                    <w:t>本项目情况</w:t>
                  </w:r>
                </w:p>
              </w:tc>
              <w:tc>
                <w:tcPr>
                  <w:tcW w:w="268" w:type="pct"/>
                  <w:noWrap w:val="0"/>
                  <w:vAlign w:val="center"/>
                </w:tcPr>
                <w:p w14:paraId="079E1E02">
                  <w:pPr>
                    <w:pStyle w:val="53"/>
                    <w:bidi w:val="0"/>
                    <w:rPr>
                      <w:rFonts w:hint="default"/>
                      <w:b/>
                      <w:bCs/>
                      <w:color w:val="auto"/>
                      <w:highlight w:val="none"/>
                      <w:lang w:val="en-US" w:eastAsia="zh-CN"/>
                    </w:rPr>
                  </w:pPr>
                  <w:r>
                    <w:rPr>
                      <w:rFonts w:hint="default"/>
                      <w:b/>
                      <w:bCs/>
                      <w:color w:val="auto"/>
                      <w:highlight w:val="none"/>
                      <w:lang w:val="en-US" w:eastAsia="zh-CN"/>
                    </w:rPr>
                    <w:t>符合性</w:t>
                  </w:r>
                </w:p>
              </w:tc>
            </w:tr>
            <w:tr w14:paraId="2B69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restart"/>
                  <w:noWrap w:val="0"/>
                  <w:vAlign w:val="top"/>
                </w:tcPr>
                <w:p w14:paraId="3A578891">
                  <w:pPr>
                    <w:pStyle w:val="53"/>
                    <w:bidi w:val="0"/>
                    <w:jc w:val="center"/>
                    <w:rPr>
                      <w:rFonts w:hint="default" w:eastAsia="宋体"/>
                      <w:color w:val="auto"/>
                      <w:highlight w:val="none"/>
                      <w:lang w:val="en-US" w:eastAsia="zh-CN"/>
                    </w:rPr>
                  </w:pPr>
                  <w:r>
                    <w:rPr>
                      <w:rFonts w:hint="eastAsia"/>
                      <w:color w:val="auto"/>
                      <w:highlight w:val="none"/>
                      <w:lang w:val="en-US" w:eastAsia="zh-CN"/>
                    </w:rPr>
                    <w:t>蔡家坡经济技术开发区</w:t>
                  </w:r>
                </w:p>
              </w:tc>
              <w:tc>
                <w:tcPr>
                  <w:tcW w:w="172" w:type="pct"/>
                  <w:vMerge w:val="restart"/>
                  <w:noWrap w:val="0"/>
                  <w:vAlign w:val="top"/>
                </w:tcPr>
                <w:p w14:paraId="1AB48B3D">
                  <w:pPr>
                    <w:pStyle w:val="53"/>
                    <w:bidi w:val="0"/>
                    <w:jc w:val="center"/>
                    <w:rPr>
                      <w:rFonts w:hint="default"/>
                      <w:color w:val="auto"/>
                      <w:highlight w:val="none"/>
                      <w:lang w:val="en-US" w:eastAsia="zh-CN"/>
                    </w:rPr>
                  </w:pPr>
                  <w:r>
                    <w:rPr>
                      <w:rFonts w:hint="eastAsia"/>
                      <w:color w:val="auto"/>
                      <w:highlight w:val="none"/>
                      <w:lang w:val="en-US" w:eastAsia="zh-CN"/>
                    </w:rPr>
                    <w:t>宝鸡市</w:t>
                  </w:r>
                </w:p>
              </w:tc>
              <w:tc>
                <w:tcPr>
                  <w:tcW w:w="232" w:type="pct"/>
                  <w:vMerge w:val="restart"/>
                  <w:noWrap w:val="0"/>
                  <w:vAlign w:val="top"/>
                </w:tcPr>
                <w:p w14:paraId="1EA3D8E4">
                  <w:pPr>
                    <w:pStyle w:val="53"/>
                    <w:bidi w:val="0"/>
                    <w:jc w:val="center"/>
                    <w:rPr>
                      <w:rFonts w:hint="default"/>
                      <w:color w:val="auto"/>
                      <w:highlight w:val="none"/>
                      <w:lang w:val="en-US" w:eastAsia="zh-CN"/>
                    </w:rPr>
                  </w:pPr>
                  <w:r>
                    <w:rPr>
                      <w:rFonts w:hint="eastAsia"/>
                      <w:color w:val="auto"/>
                      <w:highlight w:val="none"/>
                      <w:lang w:val="en-US" w:eastAsia="zh-CN"/>
                    </w:rPr>
                    <w:t>岐山县</w:t>
                  </w:r>
                </w:p>
              </w:tc>
              <w:tc>
                <w:tcPr>
                  <w:tcW w:w="327" w:type="pct"/>
                  <w:vMerge w:val="restart"/>
                  <w:noWrap w:val="0"/>
                  <w:vAlign w:val="top"/>
                </w:tcPr>
                <w:p w14:paraId="2BAEAFD1">
                  <w:pPr>
                    <w:pStyle w:val="53"/>
                    <w:bidi w:val="0"/>
                    <w:jc w:val="both"/>
                    <w:rPr>
                      <w:rFonts w:hint="default"/>
                      <w:color w:val="auto"/>
                      <w:highlight w:val="none"/>
                      <w:lang w:val="en-US" w:eastAsia="zh-CN"/>
                    </w:rPr>
                  </w:pPr>
                  <w:r>
                    <w:rPr>
                      <w:rFonts w:hint="eastAsia"/>
                      <w:color w:val="auto"/>
                      <w:highlight w:val="none"/>
                      <w:lang w:val="en-US" w:eastAsia="zh-CN"/>
                    </w:rPr>
                    <w:t>大气环境高排放重点管控区、水环境工业污染重点管控区、土地资源重点管控区、高污染燃料禁燃区、蔡家坡经济技术开发区</w:t>
                  </w:r>
                </w:p>
              </w:tc>
              <w:tc>
                <w:tcPr>
                  <w:tcW w:w="259" w:type="pct"/>
                  <w:vMerge w:val="restart"/>
                  <w:noWrap w:val="0"/>
                  <w:vAlign w:val="top"/>
                </w:tcPr>
                <w:p w14:paraId="1A8C4B58">
                  <w:pPr>
                    <w:pStyle w:val="53"/>
                    <w:bidi w:val="0"/>
                    <w:jc w:val="center"/>
                    <w:rPr>
                      <w:rFonts w:hint="default"/>
                      <w:color w:val="auto"/>
                      <w:highlight w:val="none"/>
                      <w:lang w:val="en-US" w:eastAsia="zh-CN"/>
                    </w:rPr>
                  </w:pPr>
                  <w:r>
                    <w:rPr>
                      <w:rFonts w:hint="eastAsia"/>
                      <w:color w:val="auto"/>
                      <w:highlight w:val="none"/>
                    </w:rPr>
                    <w:t>空间布局约束</w:t>
                  </w:r>
                </w:p>
              </w:tc>
              <w:tc>
                <w:tcPr>
                  <w:tcW w:w="2074" w:type="pct"/>
                  <w:noWrap w:val="0"/>
                  <w:vAlign w:val="center"/>
                </w:tcPr>
                <w:p w14:paraId="514DAED7">
                  <w:pPr>
                    <w:pStyle w:val="53"/>
                    <w:bidi w:val="0"/>
                    <w:jc w:val="left"/>
                    <w:rPr>
                      <w:rFonts w:hint="default"/>
                      <w:color w:val="auto"/>
                      <w:highlight w:val="none"/>
                      <w:lang w:val="en-US" w:eastAsia="zh-CN"/>
                    </w:rPr>
                  </w:pPr>
                  <w:r>
                    <w:rPr>
                      <w:rFonts w:hint="default"/>
                      <w:color w:val="auto"/>
                      <w:highlight w:val="none"/>
                      <w:lang w:val="en-US" w:eastAsia="zh-CN"/>
                    </w:rPr>
                    <w:t>大气环境高排放重点管控区：</w:t>
                  </w:r>
                </w:p>
                <w:p w14:paraId="3D6DA2A5">
                  <w:pPr>
                    <w:pStyle w:val="53"/>
                    <w:bidi w:val="0"/>
                    <w:jc w:val="left"/>
                    <w:rPr>
                      <w:rFonts w:hint="default"/>
                      <w:color w:val="auto"/>
                      <w:highlight w:val="none"/>
                      <w:lang w:val="en-US" w:eastAsia="zh-CN"/>
                    </w:rPr>
                  </w:pPr>
                  <w:r>
                    <w:rPr>
                      <w:rFonts w:hint="default"/>
                      <w:color w:val="auto"/>
                      <w:highlight w:val="none"/>
                      <w:lang w:val="en-US" w:eastAsia="zh-CN"/>
                    </w:rPr>
                    <w:t>1.调整结构强化领域绿色低碳发展。</w:t>
                  </w:r>
                </w:p>
                <w:p w14:paraId="4DEEB44B">
                  <w:pPr>
                    <w:pStyle w:val="53"/>
                    <w:bidi w:val="0"/>
                    <w:jc w:val="left"/>
                    <w:rPr>
                      <w:rFonts w:hint="default"/>
                      <w:color w:val="auto"/>
                      <w:highlight w:val="none"/>
                      <w:lang w:val="en-US" w:eastAsia="zh-CN"/>
                    </w:rPr>
                  </w:pPr>
                  <w:r>
                    <w:rPr>
                      <w:rFonts w:hint="default"/>
                      <w:color w:val="auto"/>
                      <w:highlight w:val="none"/>
                      <w:lang w:val="en-US" w:eastAsia="zh-CN"/>
                    </w:rPr>
                    <w:t>2.严禁新增钢铁、焦化、水泥熟料、平板玻璃、电解铝、氧化铝、煤化工产能，合理控制煤制油气产能规模，严控新增炼油产能。推动水泥、焦化行业开展全流程超低排放改造。</w:t>
                  </w:r>
                </w:p>
                <w:p w14:paraId="2650F1CB">
                  <w:pPr>
                    <w:pStyle w:val="53"/>
                    <w:bidi w:val="0"/>
                    <w:jc w:val="left"/>
                    <w:rPr>
                      <w:rFonts w:hint="default"/>
                      <w:color w:val="auto"/>
                      <w:highlight w:val="none"/>
                      <w:lang w:val="en-US" w:eastAsia="zh-CN"/>
                    </w:rPr>
                  </w:pPr>
                  <w:r>
                    <w:rPr>
                      <w:rFonts w:hint="default"/>
                      <w:color w:val="auto"/>
                      <w:highlight w:val="none"/>
                      <w:lang w:val="en-US" w:eastAsia="zh-CN"/>
                    </w:rPr>
                    <w:t>3.推动传统产业绿色转型升级。采用先进节能低碳环保技术改造提升传统产业，提高清洁生产和污染治理水平。重点发展新能源、新材料、生物技术和新医药、节能环保等战略性新兴产业，引导战略性新兴产业与现有产业融合发展。</w:t>
                  </w:r>
                </w:p>
              </w:tc>
              <w:tc>
                <w:tcPr>
                  <w:tcW w:w="1345" w:type="pct"/>
                  <w:noWrap w:val="0"/>
                  <w:vAlign w:val="center"/>
                </w:tcPr>
                <w:p w14:paraId="4A2D6A61">
                  <w:pPr>
                    <w:pStyle w:val="53"/>
                    <w:bidi w:val="0"/>
                    <w:rPr>
                      <w:rFonts w:hint="default"/>
                      <w:color w:val="auto"/>
                      <w:highlight w:val="none"/>
                      <w:lang w:val="en-US" w:eastAsia="zh-CN"/>
                    </w:rPr>
                  </w:pPr>
                  <w:r>
                    <w:rPr>
                      <w:rFonts w:hint="eastAsia"/>
                      <w:color w:val="auto"/>
                      <w:lang w:val="en-US" w:eastAsia="zh-CN"/>
                    </w:rPr>
                    <w:t>本项目为汽车零部件及配件制造。</w:t>
                  </w:r>
                  <w:r>
                    <w:rPr>
                      <w:color w:val="auto"/>
                    </w:rPr>
                    <w:t>根据《陕西省</w:t>
                  </w:r>
                  <w:r>
                    <w:rPr>
                      <w:rFonts w:hint="eastAsia"/>
                      <w:color w:val="auto"/>
                      <w:lang w:eastAsia="zh-CN"/>
                    </w:rPr>
                    <w:t>“</w:t>
                  </w:r>
                  <w:r>
                    <w:rPr>
                      <w:color w:val="auto"/>
                    </w:rPr>
                    <w:t>两高</w:t>
                  </w:r>
                  <w:r>
                    <w:rPr>
                      <w:rFonts w:hint="eastAsia"/>
                      <w:color w:val="auto"/>
                      <w:lang w:eastAsia="zh-CN"/>
                    </w:rPr>
                    <w:t>”</w:t>
                  </w:r>
                  <w:r>
                    <w:rPr>
                      <w:color w:val="auto"/>
                    </w:rPr>
                    <w:t>项目管理暂行目录》界定，</w:t>
                  </w:r>
                  <w:r>
                    <w:rPr>
                      <w:rFonts w:hint="default"/>
                      <w:color w:val="auto"/>
                    </w:rPr>
                    <w:t>本项目不纳入高耗能、高排放项目范畴，亦不属于钢铁、焦化、水泥熟料、平板玻璃、电解铝、氧化铝、煤化工、炼油等行业。</w:t>
                  </w:r>
                </w:p>
              </w:tc>
              <w:tc>
                <w:tcPr>
                  <w:tcW w:w="268" w:type="pct"/>
                  <w:noWrap w:val="0"/>
                  <w:vAlign w:val="center"/>
                </w:tcPr>
                <w:p w14:paraId="45F0F58C">
                  <w:pPr>
                    <w:pStyle w:val="53"/>
                    <w:bidi w:val="0"/>
                    <w:jc w:val="center"/>
                    <w:rPr>
                      <w:rFonts w:hint="default"/>
                      <w:color w:val="auto"/>
                      <w:highlight w:val="none"/>
                      <w:lang w:val="en-US" w:eastAsia="zh-CN"/>
                    </w:rPr>
                  </w:pPr>
                  <w:r>
                    <w:rPr>
                      <w:rFonts w:hint="default"/>
                      <w:color w:val="auto"/>
                      <w:highlight w:val="none"/>
                      <w:lang w:val="en-US" w:eastAsia="zh-CN"/>
                    </w:rPr>
                    <w:t>符合</w:t>
                  </w:r>
                </w:p>
              </w:tc>
            </w:tr>
            <w:tr w14:paraId="7E4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188AEA18">
                  <w:pPr>
                    <w:pStyle w:val="53"/>
                    <w:bidi w:val="0"/>
                    <w:jc w:val="center"/>
                    <w:rPr>
                      <w:color w:val="auto"/>
                      <w:highlight w:val="none"/>
                    </w:rPr>
                  </w:pPr>
                </w:p>
              </w:tc>
              <w:tc>
                <w:tcPr>
                  <w:tcW w:w="172" w:type="pct"/>
                  <w:vMerge w:val="continue"/>
                  <w:noWrap w:val="0"/>
                  <w:vAlign w:val="center"/>
                </w:tcPr>
                <w:p w14:paraId="5A4DF15A">
                  <w:pPr>
                    <w:pStyle w:val="53"/>
                    <w:bidi w:val="0"/>
                    <w:jc w:val="center"/>
                    <w:rPr>
                      <w:color w:val="auto"/>
                      <w:highlight w:val="none"/>
                    </w:rPr>
                  </w:pPr>
                </w:p>
              </w:tc>
              <w:tc>
                <w:tcPr>
                  <w:tcW w:w="232" w:type="pct"/>
                  <w:vMerge w:val="continue"/>
                  <w:noWrap w:val="0"/>
                  <w:vAlign w:val="center"/>
                </w:tcPr>
                <w:p w14:paraId="2BB7E3EF">
                  <w:pPr>
                    <w:pStyle w:val="53"/>
                    <w:bidi w:val="0"/>
                    <w:jc w:val="center"/>
                    <w:rPr>
                      <w:color w:val="auto"/>
                      <w:highlight w:val="none"/>
                    </w:rPr>
                  </w:pPr>
                </w:p>
              </w:tc>
              <w:tc>
                <w:tcPr>
                  <w:tcW w:w="327" w:type="pct"/>
                  <w:vMerge w:val="continue"/>
                  <w:noWrap w:val="0"/>
                  <w:vAlign w:val="center"/>
                </w:tcPr>
                <w:p w14:paraId="7523641A">
                  <w:pPr>
                    <w:pStyle w:val="53"/>
                    <w:bidi w:val="0"/>
                    <w:jc w:val="center"/>
                    <w:rPr>
                      <w:color w:val="auto"/>
                      <w:highlight w:val="none"/>
                    </w:rPr>
                  </w:pPr>
                </w:p>
              </w:tc>
              <w:tc>
                <w:tcPr>
                  <w:tcW w:w="259" w:type="pct"/>
                  <w:vMerge w:val="continue"/>
                  <w:noWrap w:val="0"/>
                  <w:vAlign w:val="center"/>
                </w:tcPr>
                <w:p w14:paraId="1750F500">
                  <w:pPr>
                    <w:pStyle w:val="53"/>
                    <w:bidi w:val="0"/>
                    <w:jc w:val="center"/>
                    <w:rPr>
                      <w:color w:val="auto"/>
                      <w:highlight w:val="none"/>
                    </w:rPr>
                  </w:pPr>
                </w:p>
              </w:tc>
              <w:tc>
                <w:tcPr>
                  <w:tcW w:w="2074" w:type="pct"/>
                  <w:noWrap w:val="0"/>
                  <w:vAlign w:val="center"/>
                </w:tcPr>
                <w:p w14:paraId="74BDFBA8">
                  <w:pPr>
                    <w:pStyle w:val="53"/>
                    <w:bidi w:val="0"/>
                    <w:jc w:val="left"/>
                    <w:rPr>
                      <w:rFonts w:hint="default"/>
                      <w:color w:val="auto"/>
                      <w:highlight w:val="none"/>
                      <w:lang w:val="en-US" w:eastAsia="zh-CN"/>
                    </w:rPr>
                  </w:pPr>
                  <w:r>
                    <w:rPr>
                      <w:rFonts w:hint="default"/>
                      <w:color w:val="auto"/>
                      <w:highlight w:val="none"/>
                      <w:lang w:val="en-US" w:eastAsia="zh-CN"/>
                    </w:rPr>
                    <w:t>水环境工业污染重点管控区：</w:t>
                  </w:r>
                </w:p>
                <w:p w14:paraId="53355F62">
                  <w:pPr>
                    <w:pStyle w:val="53"/>
                    <w:bidi w:val="0"/>
                    <w:jc w:val="left"/>
                    <w:rPr>
                      <w:color w:val="auto"/>
                      <w:highlight w:val="none"/>
                    </w:rPr>
                  </w:pPr>
                  <w:r>
                    <w:rPr>
                      <w:rFonts w:hint="default"/>
                      <w:color w:val="auto"/>
                      <w:highlight w:val="none"/>
                      <w:lang w:val="en-US" w:eastAsia="zh-CN"/>
                    </w:rPr>
                    <w:t>1.根据流域水质目标和主体功能区规划要求，实施差别化环境准入政策，严格限制增加氮磷污染物排放的工业项目。关中地区严格控制新建、扩建化学制浆造纸、化工、印染、果汁和淀粉加工等高耗水、高污染项目。</w:t>
                  </w:r>
                </w:p>
              </w:tc>
              <w:tc>
                <w:tcPr>
                  <w:tcW w:w="1345" w:type="pct"/>
                  <w:noWrap w:val="0"/>
                  <w:vAlign w:val="center"/>
                </w:tcPr>
                <w:p w14:paraId="12158552">
                  <w:pPr>
                    <w:pStyle w:val="53"/>
                    <w:bidi w:val="0"/>
                    <w:jc w:val="left"/>
                    <w:rPr>
                      <w:rFonts w:hint="default" w:eastAsia="宋体"/>
                      <w:color w:val="auto"/>
                      <w:highlight w:val="none"/>
                      <w:lang w:val="en-US" w:eastAsia="zh-CN"/>
                    </w:rPr>
                  </w:pPr>
                  <w:r>
                    <w:rPr>
                      <w:rFonts w:hint="eastAsia"/>
                      <w:color w:val="auto"/>
                      <w:highlight w:val="none"/>
                      <w:lang w:val="en-US" w:eastAsia="zh-CN"/>
                    </w:rPr>
                    <w:t>本项目外排废水主要为生活污水，依托厂内现有化粪池，生活污水经化粪池预处理后经园区污水管网排入五丈原污水处理厂处理。</w:t>
                  </w:r>
                  <w:r>
                    <w:rPr>
                      <w:rFonts w:hint="default" w:ascii="Times New Roman" w:hAnsi="Times New Roman" w:eastAsia="宋体" w:cs="Times New Roman"/>
                      <w:color w:val="auto"/>
                      <w:sz w:val="21"/>
                      <w:szCs w:val="21"/>
                      <w:highlight w:val="none"/>
                      <w:lang w:val="en-US" w:eastAsia="zh-CN"/>
                    </w:rPr>
                    <w:t>本项目为</w:t>
                  </w:r>
                  <w:r>
                    <w:rPr>
                      <w:rFonts w:hint="eastAsia" w:cs="Times New Roman"/>
                      <w:bCs/>
                      <w:color w:val="auto"/>
                      <w:kern w:val="0"/>
                      <w:sz w:val="21"/>
                      <w:szCs w:val="21"/>
                      <w:highlight w:val="none"/>
                      <w:vertAlign w:val="baseline"/>
                      <w:lang w:val="en-US" w:eastAsia="zh-CN" w:bidi="ar-SA"/>
                    </w:rPr>
                    <w:t>汽车零部件及配件制造</w:t>
                  </w:r>
                  <w:r>
                    <w:rPr>
                      <w:rFonts w:hint="default"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不属于化学制浆造纸、化工、印染、果汁和淀粉加工等高耗水、高污染项目。</w:t>
                  </w:r>
                </w:p>
              </w:tc>
              <w:tc>
                <w:tcPr>
                  <w:tcW w:w="268" w:type="pct"/>
                  <w:noWrap w:val="0"/>
                  <w:vAlign w:val="center"/>
                </w:tcPr>
                <w:p w14:paraId="13F0DA51">
                  <w:pPr>
                    <w:pStyle w:val="53"/>
                    <w:bidi w:val="0"/>
                    <w:jc w:val="center"/>
                    <w:rPr>
                      <w:rFonts w:hint="eastAsia" w:eastAsia="宋体"/>
                      <w:color w:val="auto"/>
                      <w:highlight w:val="none"/>
                      <w:lang w:val="en-US" w:eastAsia="zh-CN"/>
                    </w:rPr>
                  </w:pPr>
                  <w:r>
                    <w:rPr>
                      <w:rFonts w:hint="eastAsia"/>
                      <w:color w:val="auto"/>
                      <w:highlight w:val="none"/>
                      <w:lang w:val="en-US" w:eastAsia="zh-CN"/>
                    </w:rPr>
                    <w:t>符合</w:t>
                  </w:r>
                </w:p>
              </w:tc>
            </w:tr>
            <w:tr w14:paraId="678B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3D38C637">
                  <w:pPr>
                    <w:pStyle w:val="53"/>
                    <w:bidi w:val="0"/>
                    <w:jc w:val="center"/>
                    <w:rPr>
                      <w:color w:val="auto"/>
                      <w:highlight w:val="none"/>
                    </w:rPr>
                  </w:pPr>
                </w:p>
              </w:tc>
              <w:tc>
                <w:tcPr>
                  <w:tcW w:w="172" w:type="pct"/>
                  <w:vMerge w:val="continue"/>
                  <w:noWrap w:val="0"/>
                  <w:vAlign w:val="center"/>
                </w:tcPr>
                <w:p w14:paraId="52770E50">
                  <w:pPr>
                    <w:pStyle w:val="53"/>
                    <w:bidi w:val="0"/>
                    <w:jc w:val="center"/>
                    <w:rPr>
                      <w:color w:val="auto"/>
                      <w:highlight w:val="none"/>
                    </w:rPr>
                  </w:pPr>
                </w:p>
              </w:tc>
              <w:tc>
                <w:tcPr>
                  <w:tcW w:w="232" w:type="pct"/>
                  <w:vMerge w:val="continue"/>
                  <w:noWrap w:val="0"/>
                  <w:vAlign w:val="center"/>
                </w:tcPr>
                <w:p w14:paraId="6B7A3063">
                  <w:pPr>
                    <w:pStyle w:val="53"/>
                    <w:bidi w:val="0"/>
                    <w:jc w:val="center"/>
                    <w:rPr>
                      <w:color w:val="auto"/>
                      <w:highlight w:val="none"/>
                    </w:rPr>
                  </w:pPr>
                </w:p>
              </w:tc>
              <w:tc>
                <w:tcPr>
                  <w:tcW w:w="327" w:type="pct"/>
                  <w:vMerge w:val="continue"/>
                  <w:noWrap w:val="0"/>
                  <w:vAlign w:val="center"/>
                </w:tcPr>
                <w:p w14:paraId="3AC84A3D">
                  <w:pPr>
                    <w:pStyle w:val="53"/>
                    <w:bidi w:val="0"/>
                    <w:jc w:val="center"/>
                    <w:rPr>
                      <w:color w:val="auto"/>
                      <w:highlight w:val="none"/>
                    </w:rPr>
                  </w:pPr>
                </w:p>
              </w:tc>
              <w:tc>
                <w:tcPr>
                  <w:tcW w:w="259" w:type="pct"/>
                  <w:vMerge w:val="continue"/>
                  <w:noWrap w:val="0"/>
                  <w:vAlign w:val="center"/>
                </w:tcPr>
                <w:p w14:paraId="241809C9">
                  <w:pPr>
                    <w:pStyle w:val="53"/>
                    <w:bidi w:val="0"/>
                    <w:jc w:val="center"/>
                    <w:rPr>
                      <w:color w:val="auto"/>
                      <w:highlight w:val="none"/>
                    </w:rPr>
                  </w:pPr>
                </w:p>
              </w:tc>
              <w:tc>
                <w:tcPr>
                  <w:tcW w:w="2074" w:type="pct"/>
                  <w:noWrap w:val="0"/>
                  <w:vAlign w:val="center"/>
                </w:tcPr>
                <w:p w14:paraId="2D379FD9">
                  <w:pPr>
                    <w:pStyle w:val="53"/>
                    <w:bidi w:val="0"/>
                    <w:jc w:val="left"/>
                    <w:rPr>
                      <w:rFonts w:hint="eastAsia"/>
                      <w:color w:val="auto"/>
                      <w:highlight w:val="none"/>
                      <w:lang w:val="en-US" w:eastAsia="zh-CN"/>
                    </w:rPr>
                  </w:pPr>
                  <w:r>
                    <w:rPr>
                      <w:rFonts w:hint="eastAsia"/>
                      <w:color w:val="auto"/>
                      <w:highlight w:val="none"/>
                      <w:lang w:val="en-US" w:eastAsia="zh-CN"/>
                    </w:rPr>
                    <w:t>蔡家坡经济技术开发区</w:t>
                  </w:r>
                </w:p>
                <w:p w14:paraId="1AD30481">
                  <w:pPr>
                    <w:pStyle w:val="53"/>
                    <w:bidi w:val="0"/>
                    <w:jc w:val="left"/>
                    <w:rPr>
                      <w:rFonts w:hint="eastAsia"/>
                      <w:color w:val="auto"/>
                      <w:highlight w:val="none"/>
                      <w:lang w:val="en-US" w:eastAsia="zh-CN"/>
                    </w:rPr>
                  </w:pPr>
                  <w:r>
                    <w:rPr>
                      <w:rFonts w:hint="eastAsia"/>
                      <w:color w:val="auto"/>
                      <w:highlight w:val="none"/>
                      <w:lang w:val="en-US" w:eastAsia="zh-CN"/>
                    </w:rPr>
                    <w:t>1.限制建设区主要包括绿化隔离带，渭河生态绿地及生产绿地，主要包括南侧山体中现状已经建设的村庄外围边界线以外500米范围，西宝高铁到南侧山体山脚线之间现状村庄以外区域；北侧台塬山脚线向南100米范围内区域（现状建成区除外）；石头河、麦李河之间区域（禁止建设区除外）；诸葛亮庙及永尧遗址周边30米～70米范围。</w:t>
                  </w:r>
                </w:p>
                <w:p w14:paraId="05D4B7DF">
                  <w:pPr>
                    <w:pStyle w:val="53"/>
                    <w:bidi w:val="0"/>
                    <w:jc w:val="left"/>
                    <w:rPr>
                      <w:rFonts w:hint="eastAsia"/>
                      <w:color w:val="auto"/>
                      <w:highlight w:val="none"/>
                      <w:lang w:val="en-US" w:eastAsia="zh-CN"/>
                    </w:rPr>
                  </w:pPr>
                  <w:r>
                    <w:rPr>
                      <w:rFonts w:hint="eastAsia"/>
                      <w:color w:val="auto"/>
                      <w:highlight w:val="none"/>
                      <w:lang w:val="en-US" w:eastAsia="zh-CN"/>
                    </w:rPr>
                    <w:t>2.禁止建设区主要包括渭河及其支流石头河、麦李河等河流的水体范围、现状河滩地及范围外30米（渭河北侧以高速公路路基边界线以外500米范围除外）；铁路及高速公路周边30米范围内；诸葛亮庙及永尧遗址周边30米范围在这些区域内坚决不能以任何理由进行建设；南部五丈塬林场等生态保护区域。</w:t>
                  </w:r>
                </w:p>
                <w:p w14:paraId="43FDF20C">
                  <w:pPr>
                    <w:pStyle w:val="53"/>
                    <w:bidi w:val="0"/>
                    <w:jc w:val="left"/>
                    <w:rPr>
                      <w:rFonts w:hint="eastAsia"/>
                      <w:color w:val="auto"/>
                      <w:highlight w:val="none"/>
                      <w:lang w:val="en-US" w:eastAsia="zh-CN"/>
                    </w:rPr>
                  </w:pPr>
                  <w:r>
                    <w:rPr>
                      <w:rFonts w:hint="eastAsia"/>
                      <w:color w:val="auto"/>
                      <w:highlight w:val="none"/>
                      <w:lang w:val="en-US" w:eastAsia="zh-CN"/>
                    </w:rPr>
                    <w:t>3.执行宝鸡市生态环境要素分区总体准入清单中“5.2大气环境高排放重点管控区的空间布局约束”；</w:t>
                  </w:r>
                </w:p>
                <w:p w14:paraId="1125AFFA">
                  <w:pPr>
                    <w:pStyle w:val="53"/>
                    <w:bidi w:val="0"/>
                    <w:jc w:val="left"/>
                    <w:rPr>
                      <w:rFonts w:hint="eastAsia"/>
                      <w:color w:val="auto"/>
                      <w:highlight w:val="none"/>
                      <w:lang w:val="en-US" w:eastAsia="zh-CN"/>
                    </w:rPr>
                  </w:pPr>
                  <w:r>
                    <w:rPr>
                      <w:rFonts w:hint="eastAsia"/>
                      <w:color w:val="auto"/>
                      <w:highlight w:val="none"/>
                      <w:lang w:val="en-US" w:eastAsia="zh-CN"/>
                    </w:rPr>
                    <w:t>4.执行宝鸡市生态环境要素分区总体准入清单中“5.5水环境工业污染重点管控区的空间布局约束”；</w:t>
                  </w:r>
                </w:p>
                <w:p w14:paraId="6D17245A">
                  <w:pPr>
                    <w:pStyle w:val="53"/>
                    <w:bidi w:val="0"/>
                    <w:jc w:val="left"/>
                    <w:rPr>
                      <w:rFonts w:hint="eastAsia"/>
                      <w:color w:val="auto"/>
                      <w:highlight w:val="none"/>
                      <w:lang w:val="en-US" w:eastAsia="zh-CN"/>
                    </w:rPr>
                  </w:pPr>
                  <w:r>
                    <w:rPr>
                      <w:rFonts w:hint="eastAsia"/>
                      <w:color w:val="auto"/>
                      <w:highlight w:val="none"/>
                      <w:lang w:val="en-US" w:eastAsia="zh-CN"/>
                    </w:rPr>
                    <w:t>5.执行宝鸡市生态环境要素分区总体准入清单中“5.9建设用地污染风险重点管控区的空间布局约束”；</w:t>
                  </w:r>
                </w:p>
                <w:p w14:paraId="036936F5">
                  <w:pPr>
                    <w:pStyle w:val="53"/>
                    <w:bidi w:val="0"/>
                    <w:jc w:val="left"/>
                    <w:rPr>
                      <w:rFonts w:hint="eastAsia"/>
                      <w:color w:val="auto"/>
                      <w:highlight w:val="none"/>
                      <w:lang w:val="en-US" w:eastAsia="zh-CN"/>
                    </w:rPr>
                  </w:pPr>
                  <w:r>
                    <w:rPr>
                      <w:rFonts w:hint="eastAsia"/>
                      <w:color w:val="auto"/>
                      <w:highlight w:val="none"/>
                      <w:lang w:val="en-US" w:eastAsia="zh-CN"/>
                    </w:rPr>
                    <w:t>6.江河湖库岸线重点管控区执行宝鸡市生态环境要素分区总体准入清单中“5.14江河湖库岸线重点管控区的空间布局约束”；</w:t>
                  </w:r>
                </w:p>
                <w:p w14:paraId="72932A16">
                  <w:pPr>
                    <w:pStyle w:val="53"/>
                    <w:bidi w:val="0"/>
                    <w:jc w:val="left"/>
                    <w:rPr>
                      <w:rFonts w:hint="eastAsia" w:eastAsia="宋体"/>
                      <w:color w:val="auto"/>
                      <w:highlight w:val="none"/>
                      <w:lang w:eastAsia="zh-CN"/>
                    </w:rPr>
                  </w:pPr>
                  <w:r>
                    <w:rPr>
                      <w:rFonts w:hint="eastAsia"/>
                      <w:color w:val="auto"/>
                      <w:highlight w:val="none"/>
                      <w:lang w:val="en-US" w:eastAsia="zh-CN"/>
                    </w:rPr>
                    <w:t>7.农用地优先保护区执行宝鸡市生态环境要素分区总体准入清单中“4.2农用地优先保护区的空间布局约束”。</w:t>
                  </w:r>
                </w:p>
              </w:tc>
              <w:tc>
                <w:tcPr>
                  <w:tcW w:w="1345" w:type="pct"/>
                  <w:noWrap w:val="0"/>
                  <w:vAlign w:val="center"/>
                </w:tcPr>
                <w:p w14:paraId="5AD0EA99">
                  <w:pPr>
                    <w:pStyle w:val="53"/>
                    <w:bidi w:val="0"/>
                    <w:jc w:val="left"/>
                    <w:rPr>
                      <w:rFonts w:hint="eastAsia"/>
                      <w:color w:val="auto"/>
                      <w:highlight w:val="none"/>
                      <w:lang w:val="en-US" w:eastAsia="zh-CN"/>
                    </w:rPr>
                  </w:pPr>
                  <w:r>
                    <w:rPr>
                      <w:rFonts w:hint="eastAsia"/>
                      <w:color w:val="auto"/>
                      <w:highlight w:val="none"/>
                      <w:lang w:val="en-US" w:eastAsia="zh-CN"/>
                    </w:rPr>
                    <w:t>1.本项目选址于陕西省宝鸡市岐山县蔡家坡经济技术开发区，不新增用地，租赁陕西华开置业有限公司已建成工业厂房，用地性质为工业用地；</w:t>
                  </w:r>
                </w:p>
                <w:p w14:paraId="6123C335">
                  <w:pPr>
                    <w:pStyle w:val="53"/>
                    <w:bidi w:val="0"/>
                    <w:jc w:val="left"/>
                    <w:rPr>
                      <w:rFonts w:hint="eastAsia"/>
                      <w:color w:val="auto"/>
                      <w:highlight w:val="none"/>
                      <w:lang w:val="en-US" w:eastAsia="zh-CN"/>
                    </w:rPr>
                  </w:pPr>
                  <w:r>
                    <w:rPr>
                      <w:rFonts w:hint="eastAsia"/>
                      <w:color w:val="auto"/>
                      <w:highlight w:val="none"/>
                      <w:lang w:val="en-US" w:eastAsia="zh-CN"/>
                    </w:rPr>
                    <w:t>2.本项目所在地不属于禁止建设区。</w:t>
                  </w:r>
                </w:p>
                <w:p w14:paraId="5D664DC7">
                  <w:pPr>
                    <w:pStyle w:val="53"/>
                    <w:bidi w:val="0"/>
                    <w:jc w:val="left"/>
                    <w:rPr>
                      <w:rFonts w:hint="eastAsia"/>
                      <w:color w:val="auto"/>
                      <w:highlight w:val="none"/>
                      <w:lang w:val="en-US" w:eastAsia="zh-CN"/>
                    </w:rPr>
                  </w:pPr>
                  <w:r>
                    <w:rPr>
                      <w:rFonts w:hint="eastAsia"/>
                      <w:color w:val="auto"/>
                      <w:highlight w:val="none"/>
                      <w:lang w:val="en-US" w:eastAsia="zh-CN"/>
                    </w:rPr>
                    <w:t>3.经分析《关于印发2023年宝鸡市生态环境分区管控调整方案的通知》（宝区环办〔2024〕1号）中“5.2大气环境高排放重点管控区的空间布局约束”，</w:t>
                  </w:r>
                  <w:r>
                    <w:rPr>
                      <w:rFonts w:hint="default" w:ascii="Times New Roman" w:hAnsi="Times New Roman" w:eastAsia="宋体" w:cs="Times New Roman"/>
                      <w:color w:val="auto"/>
                      <w:sz w:val="21"/>
                      <w:szCs w:val="21"/>
                      <w:highlight w:val="none"/>
                      <w:lang w:val="en-US" w:eastAsia="zh-CN"/>
                    </w:rPr>
                    <w:t>本项目为</w:t>
                  </w:r>
                  <w:r>
                    <w:rPr>
                      <w:rFonts w:hint="eastAsia" w:cs="Times New Roman"/>
                      <w:bCs/>
                      <w:color w:val="auto"/>
                      <w:kern w:val="0"/>
                      <w:sz w:val="21"/>
                      <w:szCs w:val="21"/>
                      <w:highlight w:val="none"/>
                      <w:vertAlign w:val="baseline"/>
                      <w:lang w:val="en-US" w:eastAsia="zh-CN" w:bidi="ar-SA"/>
                    </w:rPr>
                    <w:t>汽车零部件及配件制造</w:t>
                  </w:r>
                  <w:r>
                    <w:rPr>
                      <w:rFonts w:hint="default"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依据《陕西省“两高”项目管理暂行目录（2022 年版）》，本项目不纳入高耗能、高排放项目范畴；。</w:t>
                  </w:r>
                </w:p>
                <w:p w14:paraId="200AEDB0">
                  <w:pPr>
                    <w:pStyle w:val="53"/>
                    <w:bidi w:val="0"/>
                    <w:jc w:val="left"/>
                    <w:rPr>
                      <w:rFonts w:hint="eastAsia"/>
                      <w:color w:val="auto"/>
                      <w:highlight w:val="none"/>
                      <w:lang w:val="en-US" w:eastAsia="zh-CN"/>
                    </w:rPr>
                  </w:pPr>
                  <w:r>
                    <w:rPr>
                      <w:rFonts w:hint="eastAsia"/>
                      <w:color w:val="auto"/>
                      <w:highlight w:val="none"/>
                      <w:lang w:val="en-US" w:eastAsia="zh-CN"/>
                    </w:rPr>
                    <w:t>4.经分析《关于印发2023年宝鸡市生态环境分区管控调整方案的通知》（宝区环办〔2024〕1号）中“5.5水环境工业污染重点管控区的空间布局约束”，本项目外排废水主要为生活污水，依托厂内现有化粪池，生活污水经化粪池预处理后经园区污水管网排入五丈原污水处理厂处理。</w:t>
                  </w:r>
                </w:p>
                <w:p w14:paraId="193A2857">
                  <w:pPr>
                    <w:pStyle w:val="53"/>
                    <w:bidi w:val="0"/>
                    <w:jc w:val="left"/>
                    <w:rPr>
                      <w:rFonts w:hint="eastAsia"/>
                      <w:color w:val="auto"/>
                      <w:highlight w:val="none"/>
                      <w:lang w:val="en-US" w:eastAsia="zh-CN"/>
                    </w:rPr>
                  </w:pPr>
                  <w:r>
                    <w:rPr>
                      <w:rFonts w:hint="eastAsia"/>
                      <w:color w:val="auto"/>
                      <w:highlight w:val="none"/>
                      <w:lang w:val="en-US" w:eastAsia="zh-CN"/>
                    </w:rPr>
                    <w:t>5.经分析《关于印发2023年宝鸡市生态环境分区管控调整方案的通知》（宝区环办〔2024〕1号）中“5.9建设用地污染风险重点管控区的空间布局约束”，本项目租赁陕西华开置业有限公司已建成工业厂房，用地性质为工业用地；</w:t>
                  </w:r>
                </w:p>
                <w:p w14:paraId="5094320A">
                  <w:pPr>
                    <w:pStyle w:val="53"/>
                    <w:bidi w:val="0"/>
                    <w:jc w:val="left"/>
                    <w:rPr>
                      <w:rFonts w:hint="eastAsia"/>
                      <w:color w:val="auto"/>
                      <w:highlight w:val="none"/>
                      <w:lang w:val="en-US" w:eastAsia="zh-CN"/>
                    </w:rPr>
                  </w:pPr>
                  <w:r>
                    <w:rPr>
                      <w:rFonts w:hint="eastAsia"/>
                      <w:color w:val="auto"/>
                      <w:highlight w:val="none"/>
                      <w:lang w:val="en-US" w:eastAsia="zh-CN"/>
                    </w:rPr>
                    <w:t>6.通过在陕西省“三线一单”数据应用系统平台查询后，可知本项目不涉及生态保护红线、自然保护区、水产种质资源保护区、国家湿地公园等各类保护区域，距离黄河支流渭河南河堤2310m，不在渭河保护区范围内。</w:t>
                  </w:r>
                </w:p>
                <w:p w14:paraId="2ABF7D9E">
                  <w:pPr>
                    <w:pStyle w:val="53"/>
                    <w:bidi w:val="0"/>
                    <w:jc w:val="left"/>
                    <w:rPr>
                      <w:rFonts w:hint="default"/>
                      <w:color w:val="auto"/>
                      <w:highlight w:val="none"/>
                      <w:lang w:val="en-US"/>
                    </w:rPr>
                  </w:pPr>
                  <w:r>
                    <w:rPr>
                      <w:rFonts w:hint="eastAsia"/>
                      <w:color w:val="auto"/>
                      <w:highlight w:val="none"/>
                      <w:lang w:val="en-US" w:eastAsia="zh-CN"/>
                    </w:rPr>
                    <w:t>7.经分析《关于印发2023年宝鸡市生态环境分区管控调整方案的通知》（宝区环办〔2024〕1号）中“4.2农用地优先保护区的空间布局约束”，本项目用地性质为工业用地，不涉及农用地。</w:t>
                  </w:r>
                </w:p>
              </w:tc>
              <w:tc>
                <w:tcPr>
                  <w:tcW w:w="268" w:type="pct"/>
                  <w:noWrap w:val="0"/>
                  <w:vAlign w:val="center"/>
                </w:tcPr>
                <w:p w14:paraId="6C8E743D">
                  <w:pPr>
                    <w:pStyle w:val="53"/>
                    <w:bidi w:val="0"/>
                    <w:jc w:val="center"/>
                    <w:rPr>
                      <w:rFonts w:hint="eastAsia" w:eastAsia="宋体"/>
                      <w:color w:val="auto"/>
                      <w:highlight w:val="none"/>
                      <w:lang w:val="en-US" w:eastAsia="zh-CN"/>
                    </w:rPr>
                  </w:pPr>
                  <w:r>
                    <w:rPr>
                      <w:rFonts w:hint="eastAsia"/>
                      <w:color w:val="auto"/>
                      <w:highlight w:val="none"/>
                      <w:lang w:val="en-US" w:eastAsia="zh-CN"/>
                    </w:rPr>
                    <w:t>符合</w:t>
                  </w:r>
                </w:p>
              </w:tc>
            </w:tr>
            <w:tr w14:paraId="275F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5A1486C9">
                  <w:pPr>
                    <w:pStyle w:val="53"/>
                    <w:bidi w:val="0"/>
                    <w:jc w:val="center"/>
                    <w:rPr>
                      <w:rFonts w:hint="default"/>
                      <w:color w:val="auto"/>
                      <w:highlight w:val="none"/>
                    </w:rPr>
                  </w:pPr>
                </w:p>
              </w:tc>
              <w:tc>
                <w:tcPr>
                  <w:tcW w:w="172" w:type="pct"/>
                  <w:vMerge w:val="continue"/>
                  <w:noWrap w:val="0"/>
                  <w:vAlign w:val="center"/>
                </w:tcPr>
                <w:p w14:paraId="7E252C59">
                  <w:pPr>
                    <w:pStyle w:val="53"/>
                    <w:bidi w:val="0"/>
                    <w:jc w:val="center"/>
                    <w:rPr>
                      <w:rFonts w:hint="default"/>
                      <w:color w:val="auto"/>
                      <w:highlight w:val="none"/>
                    </w:rPr>
                  </w:pPr>
                </w:p>
              </w:tc>
              <w:tc>
                <w:tcPr>
                  <w:tcW w:w="232" w:type="pct"/>
                  <w:vMerge w:val="continue"/>
                  <w:noWrap w:val="0"/>
                  <w:vAlign w:val="center"/>
                </w:tcPr>
                <w:p w14:paraId="72D35ED3">
                  <w:pPr>
                    <w:pStyle w:val="53"/>
                    <w:bidi w:val="0"/>
                    <w:jc w:val="center"/>
                    <w:rPr>
                      <w:rFonts w:hint="default"/>
                      <w:color w:val="auto"/>
                      <w:highlight w:val="none"/>
                    </w:rPr>
                  </w:pPr>
                </w:p>
              </w:tc>
              <w:tc>
                <w:tcPr>
                  <w:tcW w:w="327" w:type="pct"/>
                  <w:vMerge w:val="continue"/>
                  <w:noWrap w:val="0"/>
                  <w:vAlign w:val="center"/>
                </w:tcPr>
                <w:p w14:paraId="41CA1AC3">
                  <w:pPr>
                    <w:pStyle w:val="53"/>
                    <w:bidi w:val="0"/>
                    <w:jc w:val="center"/>
                    <w:rPr>
                      <w:rFonts w:hint="default"/>
                      <w:color w:val="auto"/>
                      <w:highlight w:val="none"/>
                      <w:lang w:val="en-US" w:eastAsia="zh-CN"/>
                    </w:rPr>
                  </w:pPr>
                </w:p>
              </w:tc>
              <w:tc>
                <w:tcPr>
                  <w:tcW w:w="259" w:type="pct"/>
                  <w:vMerge w:val="restart"/>
                  <w:noWrap w:val="0"/>
                  <w:vAlign w:val="center"/>
                </w:tcPr>
                <w:p w14:paraId="031D8ACB">
                  <w:pPr>
                    <w:pStyle w:val="53"/>
                    <w:bidi w:val="0"/>
                    <w:jc w:val="center"/>
                    <w:rPr>
                      <w:rFonts w:hint="default"/>
                      <w:color w:val="auto"/>
                      <w:highlight w:val="none"/>
                      <w:lang w:val="en-US" w:eastAsia="zh-CN"/>
                    </w:rPr>
                  </w:pPr>
                  <w:r>
                    <w:rPr>
                      <w:rFonts w:hint="default"/>
                      <w:color w:val="auto"/>
                      <w:highlight w:val="none"/>
                    </w:rPr>
                    <w:t>污染物排放管控</w:t>
                  </w:r>
                </w:p>
              </w:tc>
              <w:tc>
                <w:tcPr>
                  <w:tcW w:w="2074" w:type="pct"/>
                  <w:noWrap w:val="0"/>
                  <w:vAlign w:val="center"/>
                </w:tcPr>
                <w:p w14:paraId="7AECC1A1">
                  <w:pPr>
                    <w:pStyle w:val="53"/>
                    <w:bidi w:val="0"/>
                    <w:jc w:val="left"/>
                    <w:rPr>
                      <w:rFonts w:hint="default"/>
                      <w:color w:val="auto"/>
                      <w:highlight w:val="none"/>
                      <w:lang w:val="en-US" w:eastAsia="zh-CN"/>
                    </w:rPr>
                  </w:pPr>
                  <w:r>
                    <w:rPr>
                      <w:rFonts w:hint="default"/>
                      <w:color w:val="auto"/>
                      <w:highlight w:val="none"/>
                      <w:lang w:val="en-US" w:eastAsia="zh-CN"/>
                    </w:rPr>
                    <w:t>大气环境高排放重点管控区：</w:t>
                  </w:r>
                </w:p>
                <w:p w14:paraId="219EA7DD">
                  <w:pPr>
                    <w:pStyle w:val="53"/>
                    <w:bidi w:val="0"/>
                    <w:jc w:val="left"/>
                    <w:rPr>
                      <w:rFonts w:hint="default"/>
                      <w:color w:val="auto"/>
                      <w:highlight w:val="none"/>
                      <w:lang w:val="en-US" w:eastAsia="zh-CN"/>
                    </w:rPr>
                  </w:pPr>
                  <w:r>
                    <w:rPr>
                      <w:rFonts w:hint="default"/>
                      <w:color w:val="auto"/>
                      <w:highlight w:val="none"/>
                      <w:lang w:val="en-US" w:eastAsia="zh-CN"/>
                    </w:rPr>
                    <w:t>1.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w:t>
                  </w:r>
                </w:p>
                <w:p w14:paraId="6F0E5CFE">
                  <w:pPr>
                    <w:pStyle w:val="53"/>
                    <w:bidi w:val="0"/>
                    <w:jc w:val="left"/>
                    <w:rPr>
                      <w:rFonts w:hint="default"/>
                      <w:color w:val="auto"/>
                      <w:highlight w:val="none"/>
                      <w:lang w:val="en-US" w:eastAsia="zh-CN"/>
                    </w:rPr>
                  </w:pPr>
                  <w:r>
                    <w:rPr>
                      <w:rFonts w:hint="default"/>
                      <w:color w:val="auto"/>
                      <w:highlight w:val="none"/>
                      <w:lang w:val="en-US" w:eastAsia="zh-CN"/>
                    </w:rPr>
                    <w:t>2.在工业园区、企业集群推广建设涉挥发性有机物</w:t>
                  </w:r>
                  <w:r>
                    <w:rPr>
                      <w:rFonts w:hint="eastAsia"/>
                      <w:color w:val="auto"/>
                      <w:highlight w:val="none"/>
                      <w:lang w:val="en-US" w:eastAsia="zh-CN"/>
                    </w:rPr>
                    <w:t>“</w:t>
                  </w:r>
                  <w:r>
                    <w:rPr>
                      <w:rFonts w:hint="default"/>
                      <w:color w:val="auto"/>
                      <w:highlight w:val="none"/>
                      <w:lang w:val="en-US" w:eastAsia="zh-CN"/>
                    </w:rPr>
                    <w:t>绿岛</w:t>
                  </w:r>
                  <w:r>
                    <w:rPr>
                      <w:rFonts w:hint="eastAsia"/>
                      <w:color w:val="auto"/>
                      <w:highlight w:val="none"/>
                      <w:lang w:val="en-US" w:eastAsia="zh-CN"/>
                    </w:rPr>
                    <w:t>”</w:t>
                  </w:r>
                  <w:r>
                    <w:rPr>
                      <w:rFonts w:hint="default"/>
                      <w:color w:val="auto"/>
                      <w:highlight w:val="none"/>
                      <w:lang w:val="en-US" w:eastAsia="zh-CN"/>
                    </w:rPr>
                    <w:t>项目。在工业涂装和包装印刷等行业全面推进源头替代，严格落实国家和地方产品挥发性有机物含量限值质量标准。</w:t>
                  </w:r>
                </w:p>
                <w:p w14:paraId="2798D407">
                  <w:pPr>
                    <w:pStyle w:val="53"/>
                    <w:bidi w:val="0"/>
                    <w:jc w:val="left"/>
                    <w:rPr>
                      <w:rFonts w:hint="default"/>
                      <w:color w:val="auto"/>
                      <w:highlight w:val="none"/>
                      <w:lang w:val="en-US" w:eastAsia="zh-CN"/>
                    </w:rPr>
                  </w:pPr>
                  <w:r>
                    <w:rPr>
                      <w:rFonts w:hint="default"/>
                      <w:color w:val="auto"/>
                      <w:highlight w:val="none"/>
                      <w:lang w:val="en-US" w:eastAsia="zh-CN"/>
                    </w:rPr>
                    <w:t>3.持续实施重点行业提标改造。降低电力、水泥、玻璃、石油、化工、有色金属、纺织印染、建材等行业大气污染排放。</w:t>
                  </w:r>
                </w:p>
                <w:p w14:paraId="21605A9D">
                  <w:pPr>
                    <w:pStyle w:val="53"/>
                    <w:bidi w:val="0"/>
                    <w:jc w:val="left"/>
                    <w:rPr>
                      <w:rFonts w:hint="default"/>
                      <w:color w:val="auto"/>
                      <w:highlight w:val="none"/>
                      <w:lang w:val="en-US" w:eastAsia="zh-CN"/>
                    </w:rPr>
                  </w:pPr>
                  <w:r>
                    <w:rPr>
                      <w:rFonts w:hint="default"/>
                      <w:color w:val="auto"/>
                      <w:highlight w:val="none"/>
                      <w:lang w:val="en-US" w:eastAsia="zh-CN"/>
                    </w:rPr>
                    <w:t>4.强化挥发性有机污染物（VOCs</w:t>
                  </w:r>
                  <w:r>
                    <w:rPr>
                      <w:rFonts w:hint="eastAsia"/>
                      <w:color w:val="auto"/>
                      <w:highlight w:val="none"/>
                      <w:lang w:val="en-US" w:eastAsia="zh-CN"/>
                    </w:rPr>
                    <w:t>）</w:t>
                  </w:r>
                  <w:r>
                    <w:rPr>
                      <w:rFonts w:hint="default"/>
                      <w:color w:val="auto"/>
                      <w:highlight w:val="none"/>
                      <w:lang w:val="en-US" w:eastAsia="zh-CN"/>
                    </w:rPr>
                    <w:t>治理。综合治理石化、化工、工业涂装、包装印刷、油品储运销、工业园区和产业集群等六大重点行业VOCs，全面推动企业VOCs治理设施升级改造。</w:t>
                  </w:r>
                </w:p>
              </w:tc>
              <w:tc>
                <w:tcPr>
                  <w:tcW w:w="1345" w:type="pct"/>
                  <w:noWrap w:val="0"/>
                  <w:vAlign w:val="center"/>
                </w:tcPr>
                <w:p w14:paraId="11AF1E8A">
                  <w:pPr>
                    <w:pStyle w:val="53"/>
                    <w:bidi w:val="0"/>
                    <w:jc w:val="center"/>
                    <w:rPr>
                      <w:rFonts w:hint="eastAsia"/>
                      <w:color w:val="auto"/>
                      <w:highlight w:val="none"/>
                      <w:lang w:val="en-US" w:eastAsia="zh-CN"/>
                    </w:rPr>
                  </w:pPr>
                  <w:r>
                    <w:rPr>
                      <w:rFonts w:hint="eastAsia"/>
                      <w:color w:val="auto"/>
                      <w:highlight w:val="none"/>
                      <w:lang w:val="en-US" w:eastAsia="zh-CN"/>
                    </w:rPr>
                    <w:t>1.本项目等温正火炉采用低氮燃烧技术，通过合理分配燃料和空气，减少氮氧化物的生成；</w:t>
                  </w:r>
                </w:p>
                <w:p w14:paraId="79FC59A0">
                  <w:pPr>
                    <w:pStyle w:val="53"/>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2.本项目排放的大气污染物不涉及挥发性有机物；</w:t>
                  </w:r>
                </w:p>
                <w:p w14:paraId="5A285C8E">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3.本项目为汽车零部件及配件制造，不涉及电力、水泥、玻璃、石油、化工、有色金属、纺织印染、建材等行业；</w:t>
                  </w:r>
                </w:p>
                <w:p w14:paraId="77ECCB2D">
                  <w:pPr>
                    <w:pStyle w:val="53"/>
                    <w:bidi w:val="0"/>
                    <w:jc w:val="center"/>
                    <w:rPr>
                      <w:rFonts w:hint="default"/>
                      <w:lang w:val="en-US" w:eastAsia="zh-CN"/>
                    </w:rPr>
                  </w:pPr>
                  <w:r>
                    <w:rPr>
                      <w:rFonts w:hint="eastAsia" w:ascii="Times New Roman" w:hAnsi="Times New Roman" w:eastAsia="宋体" w:cs="Times New Roman"/>
                      <w:color w:val="auto"/>
                      <w:highlight w:val="none"/>
                      <w:lang w:val="en-US" w:eastAsia="zh-CN"/>
                    </w:rPr>
                    <w:t>4.本项目排放的大气污染物不涉及挥发性有机物。</w:t>
                  </w:r>
                </w:p>
                <w:p w14:paraId="4D5E3179">
                  <w:pPr>
                    <w:pStyle w:val="28"/>
                    <w:ind w:left="0" w:leftChars="0" w:firstLine="0" w:firstLineChars="0"/>
                    <w:rPr>
                      <w:rFonts w:hint="default"/>
                      <w:lang w:val="en-US" w:eastAsia="zh-CN"/>
                    </w:rPr>
                  </w:pPr>
                </w:p>
              </w:tc>
              <w:tc>
                <w:tcPr>
                  <w:tcW w:w="268" w:type="pct"/>
                  <w:noWrap w:val="0"/>
                  <w:vAlign w:val="center"/>
                </w:tcPr>
                <w:p w14:paraId="687DC4F6">
                  <w:pPr>
                    <w:pStyle w:val="53"/>
                    <w:bidi w:val="0"/>
                    <w:jc w:val="center"/>
                    <w:rPr>
                      <w:rFonts w:hint="default"/>
                      <w:color w:val="auto"/>
                      <w:highlight w:val="none"/>
                      <w:lang w:val="en-US" w:eastAsia="zh-CN"/>
                    </w:rPr>
                  </w:pPr>
                  <w:r>
                    <w:rPr>
                      <w:rFonts w:hint="default"/>
                      <w:color w:val="auto"/>
                      <w:highlight w:val="none"/>
                      <w:lang w:val="en-US" w:eastAsia="zh-CN"/>
                    </w:rPr>
                    <w:t>符合</w:t>
                  </w:r>
                </w:p>
              </w:tc>
            </w:tr>
            <w:tr w14:paraId="0A9C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67823BFC">
                  <w:pPr>
                    <w:pStyle w:val="53"/>
                    <w:bidi w:val="0"/>
                    <w:jc w:val="center"/>
                    <w:rPr>
                      <w:color w:val="auto"/>
                      <w:highlight w:val="none"/>
                    </w:rPr>
                  </w:pPr>
                </w:p>
              </w:tc>
              <w:tc>
                <w:tcPr>
                  <w:tcW w:w="172" w:type="pct"/>
                  <w:vMerge w:val="continue"/>
                  <w:noWrap w:val="0"/>
                  <w:vAlign w:val="center"/>
                </w:tcPr>
                <w:p w14:paraId="5478A76F">
                  <w:pPr>
                    <w:pStyle w:val="53"/>
                    <w:bidi w:val="0"/>
                    <w:jc w:val="center"/>
                    <w:rPr>
                      <w:color w:val="auto"/>
                      <w:highlight w:val="none"/>
                    </w:rPr>
                  </w:pPr>
                </w:p>
              </w:tc>
              <w:tc>
                <w:tcPr>
                  <w:tcW w:w="232" w:type="pct"/>
                  <w:vMerge w:val="continue"/>
                  <w:noWrap w:val="0"/>
                  <w:vAlign w:val="center"/>
                </w:tcPr>
                <w:p w14:paraId="5A048084">
                  <w:pPr>
                    <w:pStyle w:val="53"/>
                    <w:bidi w:val="0"/>
                    <w:jc w:val="center"/>
                    <w:rPr>
                      <w:color w:val="auto"/>
                      <w:highlight w:val="none"/>
                    </w:rPr>
                  </w:pPr>
                </w:p>
              </w:tc>
              <w:tc>
                <w:tcPr>
                  <w:tcW w:w="327" w:type="pct"/>
                  <w:vMerge w:val="continue"/>
                  <w:noWrap w:val="0"/>
                  <w:vAlign w:val="center"/>
                </w:tcPr>
                <w:p w14:paraId="12AB5D6C">
                  <w:pPr>
                    <w:pStyle w:val="53"/>
                    <w:bidi w:val="0"/>
                    <w:jc w:val="center"/>
                    <w:rPr>
                      <w:color w:val="auto"/>
                      <w:highlight w:val="none"/>
                    </w:rPr>
                  </w:pPr>
                </w:p>
              </w:tc>
              <w:tc>
                <w:tcPr>
                  <w:tcW w:w="259" w:type="pct"/>
                  <w:vMerge w:val="continue"/>
                  <w:noWrap w:val="0"/>
                  <w:vAlign w:val="center"/>
                </w:tcPr>
                <w:p w14:paraId="4A228F8A">
                  <w:pPr>
                    <w:pStyle w:val="53"/>
                    <w:bidi w:val="0"/>
                    <w:jc w:val="center"/>
                    <w:rPr>
                      <w:color w:val="auto"/>
                      <w:highlight w:val="none"/>
                    </w:rPr>
                  </w:pPr>
                </w:p>
              </w:tc>
              <w:tc>
                <w:tcPr>
                  <w:tcW w:w="2074" w:type="pct"/>
                  <w:noWrap w:val="0"/>
                  <w:vAlign w:val="center"/>
                </w:tcPr>
                <w:p w14:paraId="4FD1526E">
                  <w:pPr>
                    <w:pStyle w:val="53"/>
                    <w:bidi w:val="0"/>
                    <w:jc w:val="left"/>
                    <w:rPr>
                      <w:rFonts w:hint="default"/>
                      <w:color w:val="auto"/>
                      <w:highlight w:val="none"/>
                      <w:lang w:val="en-US" w:eastAsia="zh-CN"/>
                    </w:rPr>
                  </w:pPr>
                  <w:r>
                    <w:rPr>
                      <w:rFonts w:hint="default"/>
                      <w:color w:val="auto"/>
                      <w:highlight w:val="none"/>
                      <w:lang w:val="en-US" w:eastAsia="zh-CN"/>
                    </w:rPr>
                    <w:t>水环境工业污染重点管控区：</w:t>
                  </w:r>
                </w:p>
                <w:p w14:paraId="7942B611">
                  <w:pPr>
                    <w:pStyle w:val="53"/>
                    <w:bidi w:val="0"/>
                    <w:jc w:val="left"/>
                    <w:rPr>
                      <w:rFonts w:hint="default"/>
                      <w:color w:val="auto"/>
                      <w:highlight w:val="none"/>
                      <w:lang w:val="en-US" w:eastAsia="zh-CN"/>
                    </w:rPr>
                  </w:pPr>
                  <w:r>
                    <w:rPr>
                      <w:rFonts w:hint="default"/>
                      <w:color w:val="auto"/>
                      <w:highlight w:val="none"/>
                      <w:lang w:val="en-US" w:eastAsia="zh-CN"/>
                    </w:rPr>
                    <w:t>1.推进工业园区污水处理设施分类管理、分期升级</w:t>
                  </w:r>
                </w:p>
                <w:p w14:paraId="6160221D">
                  <w:pPr>
                    <w:pStyle w:val="53"/>
                    <w:bidi w:val="0"/>
                    <w:jc w:val="left"/>
                    <w:rPr>
                      <w:rFonts w:hint="default"/>
                      <w:color w:val="auto"/>
                      <w:highlight w:val="none"/>
                      <w:lang w:val="en-US" w:eastAsia="zh-CN"/>
                    </w:rPr>
                  </w:pPr>
                  <w:r>
                    <w:rPr>
                      <w:rFonts w:hint="default"/>
                      <w:color w:val="auto"/>
                      <w:highlight w:val="none"/>
                      <w:lang w:val="en-US" w:eastAsia="zh-CN"/>
                    </w:rPr>
                    <w:t>改造和污水管网排查整治，省级以上工业集聚区污水集中处理设施实现规范运行。</w:t>
                  </w:r>
                </w:p>
                <w:p w14:paraId="18FD8288">
                  <w:pPr>
                    <w:pStyle w:val="53"/>
                    <w:bidi w:val="0"/>
                    <w:jc w:val="left"/>
                    <w:rPr>
                      <w:b/>
                      <w:bCs/>
                      <w:color w:val="auto"/>
                      <w:highlight w:val="none"/>
                    </w:rPr>
                  </w:pPr>
                  <w:r>
                    <w:rPr>
                      <w:rFonts w:hint="default"/>
                      <w:color w:val="auto"/>
                      <w:highlight w:val="none"/>
                      <w:lang w:val="en-US" w:eastAsia="zh-CN"/>
                    </w:rPr>
                    <w:t>2.鼓励工业企业污水近零排放，降低污染负荷。鼓励有条件的地区，实行工业和生活等不同领域、造纸、印染、化工、电镀等不同行业废水分质分类处理。</w:t>
                  </w:r>
                </w:p>
              </w:tc>
              <w:tc>
                <w:tcPr>
                  <w:tcW w:w="1345" w:type="pct"/>
                  <w:noWrap w:val="0"/>
                  <w:vAlign w:val="center"/>
                </w:tcPr>
                <w:p w14:paraId="245702D3">
                  <w:pPr>
                    <w:pStyle w:val="53"/>
                    <w:bidi w:val="0"/>
                    <w:jc w:val="center"/>
                    <w:rPr>
                      <w:rFonts w:hint="default"/>
                      <w:b/>
                      <w:bCs/>
                      <w:color w:val="auto"/>
                      <w:highlight w:val="none"/>
                      <w:lang w:val="en-US"/>
                    </w:rPr>
                  </w:pPr>
                  <w:r>
                    <w:rPr>
                      <w:rFonts w:hint="eastAsia"/>
                      <w:color w:val="auto"/>
                      <w:highlight w:val="none"/>
                      <w:lang w:val="en-US" w:eastAsia="zh-CN"/>
                    </w:rPr>
                    <w:t>本项目外排废水主要为生活污水，依托厂内现有化粪池，生活污水经化粪池预处理后经园区污水管网排入五丈原污水处理厂处理。</w:t>
                  </w:r>
                </w:p>
              </w:tc>
              <w:tc>
                <w:tcPr>
                  <w:tcW w:w="268" w:type="pct"/>
                  <w:noWrap w:val="0"/>
                  <w:vAlign w:val="center"/>
                </w:tcPr>
                <w:p w14:paraId="50286457">
                  <w:pPr>
                    <w:pStyle w:val="53"/>
                    <w:bidi w:val="0"/>
                    <w:jc w:val="center"/>
                    <w:rPr>
                      <w:b/>
                      <w:bCs/>
                      <w:color w:val="auto"/>
                      <w:highlight w:val="none"/>
                    </w:rPr>
                  </w:pPr>
                </w:p>
              </w:tc>
            </w:tr>
            <w:tr w14:paraId="33A1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48885C1A">
                  <w:pPr>
                    <w:pStyle w:val="53"/>
                    <w:bidi w:val="0"/>
                    <w:jc w:val="center"/>
                    <w:rPr>
                      <w:color w:val="auto"/>
                      <w:highlight w:val="none"/>
                    </w:rPr>
                  </w:pPr>
                </w:p>
              </w:tc>
              <w:tc>
                <w:tcPr>
                  <w:tcW w:w="172" w:type="pct"/>
                  <w:vMerge w:val="continue"/>
                  <w:noWrap w:val="0"/>
                  <w:vAlign w:val="center"/>
                </w:tcPr>
                <w:p w14:paraId="5438ECB4">
                  <w:pPr>
                    <w:pStyle w:val="53"/>
                    <w:bidi w:val="0"/>
                    <w:jc w:val="center"/>
                    <w:rPr>
                      <w:color w:val="auto"/>
                      <w:highlight w:val="none"/>
                    </w:rPr>
                  </w:pPr>
                </w:p>
              </w:tc>
              <w:tc>
                <w:tcPr>
                  <w:tcW w:w="232" w:type="pct"/>
                  <w:vMerge w:val="continue"/>
                  <w:noWrap w:val="0"/>
                  <w:vAlign w:val="center"/>
                </w:tcPr>
                <w:p w14:paraId="1B04F056">
                  <w:pPr>
                    <w:pStyle w:val="53"/>
                    <w:bidi w:val="0"/>
                    <w:jc w:val="center"/>
                    <w:rPr>
                      <w:color w:val="auto"/>
                      <w:highlight w:val="none"/>
                    </w:rPr>
                  </w:pPr>
                </w:p>
              </w:tc>
              <w:tc>
                <w:tcPr>
                  <w:tcW w:w="327" w:type="pct"/>
                  <w:vMerge w:val="continue"/>
                  <w:noWrap w:val="0"/>
                  <w:vAlign w:val="center"/>
                </w:tcPr>
                <w:p w14:paraId="618EDB4B">
                  <w:pPr>
                    <w:pStyle w:val="53"/>
                    <w:bidi w:val="0"/>
                    <w:jc w:val="center"/>
                    <w:rPr>
                      <w:color w:val="auto"/>
                      <w:highlight w:val="none"/>
                    </w:rPr>
                  </w:pPr>
                </w:p>
              </w:tc>
              <w:tc>
                <w:tcPr>
                  <w:tcW w:w="259" w:type="pct"/>
                  <w:vMerge w:val="continue"/>
                  <w:noWrap w:val="0"/>
                  <w:vAlign w:val="center"/>
                </w:tcPr>
                <w:p w14:paraId="436F8303">
                  <w:pPr>
                    <w:pStyle w:val="53"/>
                    <w:bidi w:val="0"/>
                    <w:jc w:val="center"/>
                    <w:rPr>
                      <w:color w:val="auto"/>
                      <w:highlight w:val="none"/>
                    </w:rPr>
                  </w:pPr>
                </w:p>
              </w:tc>
              <w:tc>
                <w:tcPr>
                  <w:tcW w:w="2074" w:type="pct"/>
                  <w:noWrap w:val="0"/>
                  <w:vAlign w:val="center"/>
                </w:tcPr>
                <w:p w14:paraId="4FFD8F55">
                  <w:pPr>
                    <w:pStyle w:val="53"/>
                    <w:bidi w:val="0"/>
                    <w:jc w:val="left"/>
                    <w:rPr>
                      <w:rFonts w:hint="default"/>
                      <w:color w:val="auto"/>
                      <w:highlight w:val="none"/>
                      <w:lang w:val="en-US" w:eastAsia="zh-CN"/>
                    </w:rPr>
                  </w:pPr>
                  <w:r>
                    <w:rPr>
                      <w:rFonts w:hint="default"/>
                      <w:color w:val="auto"/>
                      <w:highlight w:val="none"/>
                      <w:lang w:val="en-US" w:eastAsia="zh-CN"/>
                    </w:rPr>
                    <w:t>蔡家坡经济技术开发区</w:t>
                  </w:r>
                </w:p>
                <w:p w14:paraId="25F481E8">
                  <w:pPr>
                    <w:pStyle w:val="53"/>
                    <w:bidi w:val="0"/>
                    <w:jc w:val="left"/>
                    <w:rPr>
                      <w:rFonts w:hint="default"/>
                      <w:color w:val="auto"/>
                      <w:highlight w:val="none"/>
                      <w:lang w:val="en-US" w:eastAsia="zh-CN"/>
                    </w:rPr>
                  </w:pPr>
                  <w:r>
                    <w:rPr>
                      <w:rFonts w:hint="default"/>
                      <w:color w:val="auto"/>
                      <w:highlight w:val="none"/>
                      <w:lang w:val="en-US" w:eastAsia="zh-CN"/>
                    </w:rPr>
                    <w:t>1.城市污水集中处理率≥90%；生活垃圾处理率100%，其中生活垃圾无害化处理率100%；工业废气处理率≥90%；工业废水处理率≥95%；工业废水排放达标率≥100%；工业固体废物处置率≥100%，其中，危险废物处置率100%；烟尘控制区覆盖率≥90%；汽车尾气达标率≥80%。</w:t>
                  </w:r>
                </w:p>
                <w:p w14:paraId="1846DA3B">
                  <w:pPr>
                    <w:pStyle w:val="53"/>
                    <w:bidi w:val="0"/>
                    <w:jc w:val="left"/>
                    <w:rPr>
                      <w:rFonts w:hint="default"/>
                      <w:color w:val="auto"/>
                      <w:highlight w:val="none"/>
                      <w:lang w:val="en-US" w:eastAsia="zh-CN"/>
                    </w:rPr>
                  </w:pPr>
                  <w:r>
                    <w:rPr>
                      <w:rFonts w:hint="default"/>
                      <w:color w:val="auto"/>
                      <w:highlight w:val="none"/>
                      <w:lang w:val="en-US" w:eastAsia="zh-CN"/>
                    </w:rPr>
                    <w:t>2.执行宝鸡市生态环境要素分区总体准入清单中</w:t>
                  </w:r>
                  <w:r>
                    <w:rPr>
                      <w:rFonts w:hint="eastAsia"/>
                      <w:color w:val="auto"/>
                      <w:highlight w:val="none"/>
                      <w:lang w:val="en-US" w:eastAsia="zh-CN"/>
                    </w:rPr>
                    <w:t>“</w:t>
                  </w:r>
                  <w:r>
                    <w:rPr>
                      <w:rFonts w:hint="default"/>
                      <w:color w:val="auto"/>
                      <w:highlight w:val="none"/>
                      <w:lang w:val="en-US" w:eastAsia="zh-CN"/>
                    </w:rPr>
                    <w:t>5.2大气环境高排放重点管控区的污染物排放管控</w:t>
                  </w:r>
                  <w:r>
                    <w:rPr>
                      <w:rFonts w:hint="eastAsia"/>
                      <w:color w:val="auto"/>
                      <w:highlight w:val="none"/>
                      <w:lang w:val="en-US" w:eastAsia="zh-CN"/>
                    </w:rPr>
                    <w:t>”</w:t>
                  </w:r>
                  <w:r>
                    <w:rPr>
                      <w:rFonts w:hint="default"/>
                      <w:color w:val="auto"/>
                      <w:highlight w:val="none"/>
                      <w:lang w:val="en-US" w:eastAsia="zh-CN"/>
                    </w:rPr>
                    <w:t>；</w:t>
                  </w:r>
                </w:p>
                <w:p w14:paraId="6BE811D5">
                  <w:pPr>
                    <w:pStyle w:val="53"/>
                    <w:bidi w:val="0"/>
                    <w:jc w:val="left"/>
                    <w:rPr>
                      <w:color w:val="auto"/>
                      <w:highlight w:val="none"/>
                    </w:rPr>
                  </w:pPr>
                  <w:r>
                    <w:rPr>
                      <w:rFonts w:hint="default"/>
                      <w:color w:val="auto"/>
                      <w:highlight w:val="none"/>
                      <w:lang w:val="en-US" w:eastAsia="zh-CN"/>
                    </w:rPr>
                    <w:t>3.执行宝鸡市生态环境要素分区总体准入清单中</w:t>
                  </w:r>
                  <w:r>
                    <w:rPr>
                      <w:rFonts w:hint="eastAsia"/>
                      <w:color w:val="auto"/>
                      <w:highlight w:val="none"/>
                      <w:lang w:val="en-US" w:eastAsia="zh-CN"/>
                    </w:rPr>
                    <w:t>“</w:t>
                  </w:r>
                  <w:r>
                    <w:rPr>
                      <w:rFonts w:hint="default"/>
                      <w:color w:val="auto"/>
                      <w:highlight w:val="none"/>
                      <w:lang w:val="en-US" w:eastAsia="zh-CN"/>
                    </w:rPr>
                    <w:t>5.5水环境工业污染重点管控区的污染物排放管控</w:t>
                  </w:r>
                  <w:r>
                    <w:rPr>
                      <w:rFonts w:hint="eastAsia"/>
                      <w:color w:val="auto"/>
                      <w:highlight w:val="none"/>
                      <w:lang w:val="en-US" w:eastAsia="zh-CN"/>
                    </w:rPr>
                    <w:t>”</w:t>
                  </w:r>
                  <w:r>
                    <w:rPr>
                      <w:rFonts w:hint="default"/>
                      <w:color w:val="auto"/>
                      <w:highlight w:val="none"/>
                      <w:lang w:val="en-US" w:eastAsia="zh-CN"/>
                    </w:rPr>
                    <w:t>。</w:t>
                  </w:r>
                </w:p>
              </w:tc>
              <w:tc>
                <w:tcPr>
                  <w:tcW w:w="1345" w:type="pct"/>
                  <w:noWrap w:val="0"/>
                  <w:vAlign w:val="center"/>
                </w:tcPr>
                <w:p w14:paraId="02652E4F">
                  <w:pPr>
                    <w:pStyle w:val="53"/>
                    <w:bidi w:val="0"/>
                    <w:rPr>
                      <w:rFonts w:hint="eastAsia"/>
                      <w:color w:val="auto"/>
                      <w:highlight w:val="none"/>
                      <w:lang w:val="en-US" w:eastAsia="zh-CN"/>
                    </w:rPr>
                  </w:pPr>
                  <w:r>
                    <w:rPr>
                      <w:rFonts w:hint="eastAsia"/>
                      <w:color w:val="auto"/>
                      <w:highlight w:val="none"/>
                      <w:lang w:val="en-US" w:eastAsia="zh-CN"/>
                    </w:rPr>
                    <w:t>1.本项目外排废水主要为生活污水，依托厂内现有化粪池，生活污水经化粪池预处理后经园区污水管网排入五丈原污水处理厂处理；生活垃圾分类收集暂存，由环卫部门定期清运；本项目热处理炉带有低氮燃烧装置，热处理废气经油雾净化装置处理后，再经15m高排气筒排放；本项目脱模用水和冷却用水循环使用，定期补充损耗水量，不产生生产废水；锻造废料及不合格品全部集中收集后外售废品回收站，抛丸打磨产生的粉尘定期清理，集中收集后外售废品回收站；运营期产生的废润滑油、废油桶等危险废物暂存于危废贮存点，定期交由有资质单位处理。</w:t>
                  </w:r>
                </w:p>
                <w:p w14:paraId="164DEA08">
                  <w:pPr>
                    <w:pStyle w:val="53"/>
                    <w:bidi w:val="0"/>
                    <w:rPr>
                      <w:rFonts w:hint="default"/>
                      <w:color w:val="auto"/>
                      <w:highlight w:val="none"/>
                      <w:lang w:val="en-US" w:eastAsia="zh-CN"/>
                    </w:rPr>
                  </w:pPr>
                  <w:r>
                    <w:rPr>
                      <w:rFonts w:hint="default"/>
                      <w:color w:val="auto"/>
                      <w:highlight w:val="none"/>
                      <w:lang w:val="en-US" w:eastAsia="zh-CN"/>
                    </w:rPr>
                    <w:t>2.经分析《关于印发2023年宝鸡市生态环境分区管控调整方案的通知》（宝区环办〔2024〕1号）中</w:t>
                  </w:r>
                  <w:r>
                    <w:rPr>
                      <w:rFonts w:hint="eastAsia"/>
                      <w:color w:val="auto"/>
                      <w:highlight w:val="none"/>
                      <w:lang w:val="en-US" w:eastAsia="zh-CN"/>
                    </w:rPr>
                    <w:t>“</w:t>
                  </w:r>
                  <w:r>
                    <w:rPr>
                      <w:rFonts w:hint="default"/>
                      <w:color w:val="auto"/>
                      <w:highlight w:val="none"/>
                      <w:lang w:val="en-US" w:eastAsia="zh-CN"/>
                    </w:rPr>
                    <w:t>5.2大气环境高排放重点管控区的污染物排放管控</w:t>
                  </w:r>
                  <w:r>
                    <w:rPr>
                      <w:rFonts w:hint="eastAsia"/>
                      <w:color w:val="auto"/>
                      <w:highlight w:val="none"/>
                      <w:lang w:val="en-US" w:eastAsia="zh-CN"/>
                    </w:rPr>
                    <w:t>”</w:t>
                  </w:r>
                  <w:r>
                    <w:rPr>
                      <w:rFonts w:hint="default"/>
                      <w:color w:val="auto"/>
                      <w:highlight w:val="none"/>
                      <w:lang w:val="en-US" w:eastAsia="zh-CN"/>
                    </w:rPr>
                    <w:t>，</w:t>
                  </w:r>
                  <w:r>
                    <w:rPr>
                      <w:rFonts w:hint="default" w:ascii="Times New Roman" w:hAnsi="Times New Roman" w:eastAsia="宋体" w:cs="Times New Roman"/>
                      <w:color w:val="auto"/>
                      <w:sz w:val="21"/>
                      <w:szCs w:val="21"/>
                      <w:highlight w:val="none"/>
                      <w:lang w:val="en-US" w:eastAsia="zh-CN"/>
                    </w:rPr>
                    <w:t>本项目为</w:t>
                  </w:r>
                  <w:r>
                    <w:rPr>
                      <w:rFonts w:hint="eastAsia" w:cs="Times New Roman"/>
                      <w:bCs/>
                      <w:color w:val="auto"/>
                      <w:kern w:val="0"/>
                      <w:sz w:val="21"/>
                      <w:szCs w:val="21"/>
                      <w:highlight w:val="none"/>
                      <w:vertAlign w:val="baseline"/>
                      <w:lang w:val="en-US" w:eastAsia="zh-CN" w:bidi="ar-SA"/>
                    </w:rPr>
                    <w:t>汽车零部件及配件制造</w:t>
                  </w:r>
                  <w:r>
                    <w:rPr>
                      <w:rFonts w:hint="default" w:ascii="Times New Roman" w:hAnsi="Times New Roman" w:eastAsia="宋体" w:cs="Times New Roman"/>
                      <w:color w:val="auto"/>
                      <w:sz w:val="21"/>
                      <w:szCs w:val="21"/>
                      <w:highlight w:val="none"/>
                      <w:lang w:val="en-US" w:eastAsia="zh-CN"/>
                    </w:rPr>
                    <w:t>，主要产污工序为下料、</w:t>
                  </w:r>
                  <w:r>
                    <w:rPr>
                      <w:rFonts w:hint="eastAsia" w:ascii="Times New Roman" w:hAnsi="Times New Roman" w:cs="Times New Roman"/>
                      <w:color w:val="auto"/>
                      <w:sz w:val="21"/>
                      <w:szCs w:val="21"/>
                      <w:highlight w:val="none"/>
                      <w:lang w:val="en-US" w:eastAsia="zh-CN"/>
                    </w:rPr>
                    <w:t>加热、锻造、抛丸、分选</w:t>
                  </w:r>
                  <w:r>
                    <w:rPr>
                      <w:rFonts w:hint="default" w:ascii="Times New Roman" w:hAnsi="Times New Roman" w:eastAsia="宋体" w:cs="Times New Roman"/>
                      <w:color w:val="auto"/>
                      <w:sz w:val="21"/>
                      <w:szCs w:val="21"/>
                      <w:highlight w:val="none"/>
                      <w:lang w:val="en-US" w:eastAsia="zh-CN"/>
                    </w:rPr>
                    <w:t>，主要产品为</w:t>
                  </w:r>
                  <w:r>
                    <w:rPr>
                      <w:rFonts w:hint="eastAsia" w:ascii="Times New Roman" w:hAnsi="Times New Roman" w:eastAsia="宋体" w:cs="Times New Roman"/>
                      <w:color w:val="auto"/>
                      <w:sz w:val="21"/>
                      <w:szCs w:val="21"/>
                      <w:highlight w:val="none"/>
                      <w:lang w:val="en-US" w:eastAsia="zh-CN"/>
                    </w:rPr>
                    <w:t>同步器齿毂</w:t>
                  </w:r>
                  <w:r>
                    <w:rPr>
                      <w:rFonts w:hint="eastAsia" w:ascii="Times New Roman" w:hAnsi="Times New Roman" w:cs="Times New Roman"/>
                      <w:color w:val="auto"/>
                      <w:sz w:val="21"/>
                      <w:szCs w:val="21"/>
                      <w:highlight w:val="none"/>
                      <w:lang w:val="en-US" w:eastAsia="zh-CN"/>
                    </w:rPr>
                    <w:t>和同步器结合齿圈</w:t>
                  </w:r>
                  <w:r>
                    <w:rPr>
                      <w:rFonts w:hint="default" w:ascii="Times New Roman" w:hAnsi="Times New Roman" w:eastAsia="宋体" w:cs="Times New Roman"/>
                      <w:color w:val="auto"/>
                      <w:sz w:val="21"/>
                      <w:szCs w:val="21"/>
                      <w:highlight w:val="none"/>
                      <w:lang w:val="en-US" w:eastAsia="zh-CN"/>
                    </w:rPr>
                    <w:t>，</w:t>
                  </w:r>
                  <w:r>
                    <w:rPr>
                      <w:rFonts w:hint="default"/>
                      <w:color w:val="auto"/>
                      <w:highlight w:val="none"/>
                      <w:lang w:val="en-US" w:eastAsia="zh-CN"/>
                    </w:rPr>
                    <w:t>不属于玻璃、陶瓷、电力、水泥等行业，大气污染物主要为颗粒物、</w:t>
                  </w:r>
                  <w:r>
                    <w:rPr>
                      <w:rFonts w:hint="eastAsia"/>
                      <w:color w:val="auto"/>
                      <w:highlight w:val="none"/>
                      <w:lang w:val="en-US" w:eastAsia="zh-CN"/>
                    </w:rPr>
                    <w:t>NOx、SO</w:t>
                  </w:r>
                  <w:r>
                    <w:rPr>
                      <w:rFonts w:hint="eastAsia"/>
                      <w:color w:val="auto"/>
                      <w:highlight w:val="none"/>
                      <w:vertAlign w:val="subscript"/>
                      <w:lang w:val="en-US" w:eastAsia="zh-CN"/>
                    </w:rPr>
                    <w:t>2</w:t>
                  </w:r>
                  <w:r>
                    <w:rPr>
                      <w:rFonts w:hint="default"/>
                      <w:color w:val="auto"/>
                      <w:highlight w:val="none"/>
                      <w:lang w:val="en-US" w:eastAsia="zh-CN"/>
                    </w:rPr>
                    <w:t>；</w:t>
                  </w:r>
                </w:p>
                <w:p w14:paraId="2E33AF9A">
                  <w:pPr>
                    <w:pStyle w:val="53"/>
                    <w:bidi w:val="0"/>
                    <w:rPr>
                      <w:rFonts w:hint="default"/>
                      <w:color w:val="auto"/>
                      <w:highlight w:val="none"/>
                      <w:lang w:val="en-US" w:eastAsia="zh-CN"/>
                    </w:rPr>
                  </w:pPr>
                  <w:r>
                    <w:rPr>
                      <w:rFonts w:hint="default"/>
                      <w:color w:val="auto"/>
                      <w:highlight w:val="none"/>
                      <w:lang w:val="en-US" w:eastAsia="zh-CN"/>
                    </w:rPr>
                    <w:t>3.经分析《关于印发2023年宝鸡市生态环境分区管控调整方案的通知》（宝区环办〔2024〕1号）中“5.5水环境工业污染重点管控区的污染物排放管控”，</w:t>
                  </w:r>
                  <w:r>
                    <w:rPr>
                      <w:rFonts w:hint="eastAsia"/>
                      <w:color w:val="auto"/>
                      <w:highlight w:val="none"/>
                      <w:lang w:val="en-US" w:eastAsia="zh-CN"/>
                    </w:rPr>
                    <w:t>本项目外排废水主要为生活污水，依托厂内现有化粪池，生活污水经化粪池预处理后经园区污水管网排入五丈原污水处理厂处理</w:t>
                  </w:r>
                  <w:r>
                    <w:rPr>
                      <w:rFonts w:hint="default"/>
                      <w:color w:val="auto"/>
                      <w:highlight w:val="none"/>
                      <w:lang w:val="en-US" w:eastAsia="zh-CN"/>
                    </w:rPr>
                    <w:t>。</w:t>
                  </w:r>
                </w:p>
                <w:p w14:paraId="1B94D83C">
                  <w:pPr>
                    <w:rPr>
                      <w:rFonts w:hint="default"/>
                      <w:lang w:val="en-US" w:eastAsia="zh-CN"/>
                    </w:rPr>
                  </w:pPr>
                </w:p>
              </w:tc>
              <w:tc>
                <w:tcPr>
                  <w:tcW w:w="268" w:type="pct"/>
                  <w:noWrap w:val="0"/>
                  <w:vAlign w:val="center"/>
                </w:tcPr>
                <w:p w14:paraId="295E1A33">
                  <w:pPr>
                    <w:pStyle w:val="53"/>
                    <w:bidi w:val="0"/>
                    <w:jc w:val="center"/>
                    <w:rPr>
                      <w:rFonts w:hint="eastAsia" w:eastAsia="宋体"/>
                      <w:color w:val="auto"/>
                      <w:highlight w:val="none"/>
                      <w:lang w:val="en-US" w:eastAsia="zh-CN"/>
                    </w:rPr>
                  </w:pPr>
                  <w:r>
                    <w:rPr>
                      <w:rFonts w:hint="eastAsia"/>
                      <w:color w:val="auto"/>
                      <w:highlight w:val="none"/>
                      <w:lang w:val="en-US" w:eastAsia="zh-CN"/>
                    </w:rPr>
                    <w:t>符合</w:t>
                  </w:r>
                </w:p>
              </w:tc>
            </w:tr>
            <w:tr w14:paraId="7341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7BBCDF4F">
                  <w:pPr>
                    <w:pStyle w:val="53"/>
                    <w:bidi w:val="0"/>
                    <w:jc w:val="center"/>
                    <w:rPr>
                      <w:rFonts w:hint="default"/>
                      <w:color w:val="auto"/>
                      <w:highlight w:val="none"/>
                    </w:rPr>
                  </w:pPr>
                </w:p>
              </w:tc>
              <w:tc>
                <w:tcPr>
                  <w:tcW w:w="172" w:type="pct"/>
                  <w:vMerge w:val="continue"/>
                  <w:noWrap w:val="0"/>
                  <w:vAlign w:val="center"/>
                </w:tcPr>
                <w:p w14:paraId="7B0454B6">
                  <w:pPr>
                    <w:pStyle w:val="53"/>
                    <w:bidi w:val="0"/>
                    <w:jc w:val="center"/>
                    <w:rPr>
                      <w:rFonts w:hint="default"/>
                      <w:color w:val="auto"/>
                      <w:highlight w:val="none"/>
                    </w:rPr>
                  </w:pPr>
                </w:p>
              </w:tc>
              <w:tc>
                <w:tcPr>
                  <w:tcW w:w="232" w:type="pct"/>
                  <w:vMerge w:val="continue"/>
                  <w:noWrap w:val="0"/>
                  <w:vAlign w:val="center"/>
                </w:tcPr>
                <w:p w14:paraId="72F2A0A5">
                  <w:pPr>
                    <w:pStyle w:val="53"/>
                    <w:bidi w:val="0"/>
                    <w:jc w:val="center"/>
                    <w:rPr>
                      <w:rFonts w:hint="default"/>
                      <w:color w:val="auto"/>
                      <w:highlight w:val="none"/>
                    </w:rPr>
                  </w:pPr>
                </w:p>
              </w:tc>
              <w:tc>
                <w:tcPr>
                  <w:tcW w:w="327" w:type="pct"/>
                  <w:vMerge w:val="continue"/>
                  <w:noWrap w:val="0"/>
                  <w:vAlign w:val="center"/>
                </w:tcPr>
                <w:p w14:paraId="2DF2C2DE">
                  <w:pPr>
                    <w:pStyle w:val="53"/>
                    <w:bidi w:val="0"/>
                    <w:jc w:val="center"/>
                    <w:rPr>
                      <w:rFonts w:hint="default"/>
                      <w:color w:val="auto"/>
                      <w:highlight w:val="none"/>
                      <w:lang w:val="en-US" w:eastAsia="zh-CN"/>
                    </w:rPr>
                  </w:pPr>
                </w:p>
              </w:tc>
              <w:tc>
                <w:tcPr>
                  <w:tcW w:w="259" w:type="pct"/>
                  <w:noWrap w:val="0"/>
                  <w:vAlign w:val="center"/>
                </w:tcPr>
                <w:p w14:paraId="197A5EFC">
                  <w:pPr>
                    <w:pStyle w:val="53"/>
                    <w:bidi w:val="0"/>
                    <w:jc w:val="center"/>
                    <w:rPr>
                      <w:rFonts w:hint="default"/>
                      <w:color w:val="auto"/>
                      <w:highlight w:val="none"/>
                      <w:lang w:val="en-US" w:eastAsia="zh-CN"/>
                    </w:rPr>
                  </w:pPr>
                  <w:r>
                    <w:rPr>
                      <w:color w:val="auto"/>
                      <w:highlight w:val="none"/>
                    </w:rPr>
                    <w:t>环境风险防控</w:t>
                  </w:r>
                </w:p>
              </w:tc>
              <w:tc>
                <w:tcPr>
                  <w:tcW w:w="2074" w:type="pct"/>
                  <w:noWrap w:val="0"/>
                  <w:vAlign w:val="center"/>
                </w:tcPr>
                <w:p w14:paraId="2B7BCE66">
                  <w:pPr>
                    <w:pStyle w:val="53"/>
                    <w:bidi w:val="0"/>
                    <w:jc w:val="left"/>
                    <w:rPr>
                      <w:rFonts w:hint="default"/>
                      <w:color w:val="auto"/>
                      <w:highlight w:val="none"/>
                      <w:lang w:val="en-US" w:eastAsia="zh-CN"/>
                    </w:rPr>
                  </w:pPr>
                  <w:r>
                    <w:rPr>
                      <w:rFonts w:hint="default"/>
                      <w:color w:val="auto"/>
                      <w:highlight w:val="none"/>
                      <w:lang w:val="en-US" w:eastAsia="zh-CN"/>
                    </w:rPr>
                    <w:t>蔡家坡经济技术开发区</w:t>
                  </w:r>
                </w:p>
                <w:p w14:paraId="3066F00B">
                  <w:pPr>
                    <w:pStyle w:val="53"/>
                    <w:bidi w:val="0"/>
                    <w:jc w:val="left"/>
                    <w:rPr>
                      <w:color w:val="auto"/>
                      <w:highlight w:val="none"/>
                      <w:lang w:val="en-US" w:eastAsia="zh-CN"/>
                    </w:rPr>
                  </w:pPr>
                  <w:r>
                    <w:rPr>
                      <w:rFonts w:hint="default"/>
                      <w:color w:val="auto"/>
                      <w:highlight w:val="none"/>
                      <w:lang w:val="en-US" w:eastAsia="zh-CN"/>
                    </w:rPr>
                    <w:t>1.执行宝鸡市生态环境要素分区总体准入清单中</w:t>
                  </w:r>
                  <w:r>
                    <w:rPr>
                      <w:rFonts w:hint="eastAsia"/>
                      <w:color w:val="auto"/>
                      <w:highlight w:val="none"/>
                      <w:lang w:val="en-US" w:eastAsia="zh-CN"/>
                    </w:rPr>
                    <w:t>“</w:t>
                  </w:r>
                  <w:r>
                    <w:rPr>
                      <w:rFonts w:hint="default"/>
                      <w:color w:val="auto"/>
                      <w:highlight w:val="none"/>
                      <w:lang w:val="en-US" w:eastAsia="zh-CN"/>
                    </w:rPr>
                    <w:t>5.9建设用地污染风险重点管控区的环境风险防控</w:t>
                  </w:r>
                  <w:r>
                    <w:rPr>
                      <w:rFonts w:hint="eastAsia"/>
                      <w:color w:val="auto"/>
                      <w:highlight w:val="none"/>
                      <w:lang w:val="en-US" w:eastAsia="zh-CN"/>
                    </w:rPr>
                    <w:t>”</w:t>
                  </w:r>
                  <w:r>
                    <w:rPr>
                      <w:rFonts w:hint="default"/>
                      <w:color w:val="auto"/>
                      <w:highlight w:val="none"/>
                      <w:lang w:val="en-US" w:eastAsia="zh-CN"/>
                    </w:rPr>
                    <w:t>。</w:t>
                  </w:r>
                </w:p>
              </w:tc>
              <w:tc>
                <w:tcPr>
                  <w:tcW w:w="1345" w:type="pct"/>
                  <w:noWrap w:val="0"/>
                  <w:vAlign w:val="center"/>
                </w:tcPr>
                <w:p w14:paraId="0872764B">
                  <w:pPr>
                    <w:pStyle w:val="53"/>
                    <w:bidi w:val="0"/>
                    <w:rPr>
                      <w:rFonts w:hint="default"/>
                      <w:color w:val="auto"/>
                      <w:highlight w:val="none"/>
                      <w:lang w:val="en-US" w:eastAsia="zh-CN"/>
                    </w:rPr>
                  </w:pPr>
                  <w:r>
                    <w:rPr>
                      <w:rFonts w:hint="eastAsia"/>
                      <w:color w:val="auto"/>
                      <w:highlight w:val="none"/>
                      <w:lang w:val="en-US" w:eastAsia="zh-CN"/>
                    </w:rPr>
                    <w:t>经分析《关于印发2023年宝鸡市生态环境分区管控调整方案的通知》（宝区环办〔2024〕1号）中“5.9建设用地污染风险重点管控区的环境风险防控”，本项目用地性质为工业用地，不涉及用地用途变更。</w:t>
                  </w:r>
                </w:p>
              </w:tc>
              <w:tc>
                <w:tcPr>
                  <w:tcW w:w="268" w:type="pct"/>
                  <w:noWrap w:val="0"/>
                  <w:vAlign w:val="center"/>
                </w:tcPr>
                <w:p w14:paraId="7CB8368A">
                  <w:pPr>
                    <w:pStyle w:val="53"/>
                    <w:bidi w:val="0"/>
                    <w:jc w:val="center"/>
                    <w:rPr>
                      <w:rFonts w:hint="default"/>
                      <w:color w:val="auto"/>
                      <w:highlight w:val="none"/>
                      <w:lang w:val="en-US" w:eastAsia="zh-CN"/>
                    </w:rPr>
                  </w:pPr>
                  <w:r>
                    <w:rPr>
                      <w:rFonts w:hint="eastAsia"/>
                      <w:color w:val="auto"/>
                      <w:highlight w:val="none"/>
                      <w:lang w:val="en-US" w:eastAsia="zh-CN"/>
                    </w:rPr>
                    <w:t>符合</w:t>
                  </w:r>
                </w:p>
              </w:tc>
            </w:tr>
            <w:tr w14:paraId="189B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318" w:type="pct"/>
                  <w:vMerge w:val="continue"/>
                  <w:noWrap w:val="0"/>
                  <w:vAlign w:val="center"/>
                </w:tcPr>
                <w:p w14:paraId="682A3FAC">
                  <w:pPr>
                    <w:pStyle w:val="53"/>
                    <w:bidi w:val="0"/>
                    <w:jc w:val="center"/>
                    <w:rPr>
                      <w:rFonts w:hint="default"/>
                      <w:color w:val="auto"/>
                      <w:highlight w:val="none"/>
                    </w:rPr>
                  </w:pPr>
                </w:p>
              </w:tc>
              <w:tc>
                <w:tcPr>
                  <w:tcW w:w="172" w:type="pct"/>
                  <w:vMerge w:val="continue"/>
                  <w:noWrap w:val="0"/>
                  <w:vAlign w:val="center"/>
                </w:tcPr>
                <w:p w14:paraId="6B49CEA2">
                  <w:pPr>
                    <w:pStyle w:val="53"/>
                    <w:bidi w:val="0"/>
                    <w:jc w:val="center"/>
                    <w:rPr>
                      <w:rFonts w:hint="default"/>
                      <w:color w:val="auto"/>
                      <w:highlight w:val="none"/>
                    </w:rPr>
                  </w:pPr>
                </w:p>
              </w:tc>
              <w:tc>
                <w:tcPr>
                  <w:tcW w:w="232" w:type="pct"/>
                  <w:vMerge w:val="continue"/>
                  <w:noWrap w:val="0"/>
                  <w:vAlign w:val="center"/>
                </w:tcPr>
                <w:p w14:paraId="57037D26">
                  <w:pPr>
                    <w:pStyle w:val="53"/>
                    <w:bidi w:val="0"/>
                    <w:jc w:val="center"/>
                    <w:rPr>
                      <w:rFonts w:hint="default"/>
                      <w:color w:val="auto"/>
                      <w:highlight w:val="none"/>
                    </w:rPr>
                  </w:pPr>
                </w:p>
              </w:tc>
              <w:tc>
                <w:tcPr>
                  <w:tcW w:w="327" w:type="pct"/>
                  <w:vMerge w:val="continue"/>
                  <w:noWrap w:val="0"/>
                  <w:vAlign w:val="center"/>
                </w:tcPr>
                <w:p w14:paraId="45B21C09">
                  <w:pPr>
                    <w:pStyle w:val="53"/>
                    <w:bidi w:val="0"/>
                    <w:jc w:val="center"/>
                    <w:rPr>
                      <w:rFonts w:hint="default"/>
                      <w:color w:val="auto"/>
                      <w:highlight w:val="none"/>
                      <w:lang w:val="en-US" w:eastAsia="zh-CN"/>
                    </w:rPr>
                  </w:pPr>
                </w:p>
              </w:tc>
              <w:tc>
                <w:tcPr>
                  <w:tcW w:w="259" w:type="pct"/>
                  <w:vMerge w:val="restart"/>
                  <w:noWrap w:val="0"/>
                  <w:vAlign w:val="center"/>
                </w:tcPr>
                <w:p w14:paraId="6E1034E1">
                  <w:pPr>
                    <w:pStyle w:val="53"/>
                    <w:bidi w:val="0"/>
                    <w:jc w:val="center"/>
                    <w:rPr>
                      <w:rFonts w:hint="default"/>
                      <w:color w:val="auto"/>
                      <w:highlight w:val="none"/>
                      <w:lang w:val="en-US" w:eastAsia="zh-CN"/>
                    </w:rPr>
                  </w:pPr>
                  <w:r>
                    <w:rPr>
                      <w:rFonts w:hint="eastAsia"/>
                      <w:color w:val="auto"/>
                      <w:highlight w:val="none"/>
                      <w:lang w:val="en-US" w:eastAsia="zh-CN"/>
                    </w:rPr>
                    <w:t>资</w:t>
                  </w:r>
                  <w:r>
                    <w:rPr>
                      <w:color w:val="auto"/>
                      <w:highlight w:val="none"/>
                    </w:rPr>
                    <w:t>源开发效率要求</w:t>
                  </w:r>
                </w:p>
              </w:tc>
              <w:tc>
                <w:tcPr>
                  <w:tcW w:w="2074" w:type="pct"/>
                  <w:noWrap w:val="0"/>
                  <w:vAlign w:val="center"/>
                </w:tcPr>
                <w:p w14:paraId="04C0C9AA">
                  <w:pPr>
                    <w:pStyle w:val="53"/>
                    <w:bidi w:val="0"/>
                    <w:jc w:val="left"/>
                    <w:rPr>
                      <w:rFonts w:hint="default"/>
                      <w:color w:val="auto"/>
                      <w:highlight w:val="none"/>
                      <w:lang w:val="en-US" w:eastAsia="zh-CN"/>
                    </w:rPr>
                  </w:pPr>
                  <w:r>
                    <w:rPr>
                      <w:rFonts w:hint="default"/>
                      <w:color w:val="auto"/>
                      <w:highlight w:val="none"/>
                      <w:lang w:val="en-US" w:eastAsia="zh-CN"/>
                    </w:rPr>
                    <w:t>土地资源重点管控区：</w:t>
                  </w:r>
                </w:p>
                <w:p w14:paraId="7F6E28D6">
                  <w:pPr>
                    <w:pStyle w:val="53"/>
                    <w:bidi w:val="0"/>
                    <w:jc w:val="left"/>
                    <w:rPr>
                      <w:rFonts w:hint="default"/>
                      <w:color w:val="auto"/>
                      <w:highlight w:val="none"/>
                      <w:lang w:val="en-US" w:eastAsia="zh-CN"/>
                    </w:rPr>
                  </w:pPr>
                  <w:r>
                    <w:rPr>
                      <w:rFonts w:hint="default"/>
                      <w:color w:val="auto"/>
                      <w:highlight w:val="none"/>
                      <w:lang w:val="en-US" w:eastAsia="zh-CN"/>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14:paraId="23B6C1D8">
                  <w:pPr>
                    <w:pStyle w:val="53"/>
                    <w:bidi w:val="0"/>
                    <w:jc w:val="left"/>
                    <w:rPr>
                      <w:color w:val="auto"/>
                      <w:highlight w:val="none"/>
                      <w:lang w:val="en-US" w:eastAsia="zh-CN"/>
                    </w:rPr>
                  </w:pPr>
                  <w:r>
                    <w:rPr>
                      <w:rFonts w:hint="default"/>
                      <w:color w:val="auto"/>
                      <w:highlight w:val="none"/>
                      <w:lang w:val="en-US" w:eastAsia="zh-CN"/>
                    </w:rPr>
                    <w:t>2.严格用地准入管理。严格执行自然资源开发利用限制和禁止目录、建设用地定额标准和市场准入负面清单。</w:t>
                  </w:r>
                </w:p>
              </w:tc>
              <w:tc>
                <w:tcPr>
                  <w:tcW w:w="1345" w:type="pct"/>
                  <w:noWrap w:val="0"/>
                  <w:vAlign w:val="center"/>
                </w:tcPr>
                <w:p w14:paraId="77C6AFE9">
                  <w:pPr>
                    <w:pStyle w:val="53"/>
                    <w:bidi w:val="0"/>
                    <w:jc w:val="center"/>
                    <w:rPr>
                      <w:rFonts w:hint="eastAsia"/>
                      <w:color w:val="auto"/>
                      <w:highlight w:val="none"/>
                      <w:lang w:val="en-US" w:eastAsia="zh-CN"/>
                    </w:rPr>
                  </w:pPr>
                  <w:r>
                    <w:rPr>
                      <w:rFonts w:hint="eastAsia"/>
                      <w:color w:val="auto"/>
                      <w:highlight w:val="none"/>
                      <w:lang w:val="en-US" w:eastAsia="zh-CN"/>
                    </w:rPr>
                    <w:t>1.本项目位于陕西省宝鸡市岐山县蔡家坡经济技术开发区，在蔡家坡经济技术开发区-区块二范围内，用地性质为工业用地，用地用途未改变；</w:t>
                  </w:r>
                </w:p>
                <w:p w14:paraId="1A3E2AED">
                  <w:pPr>
                    <w:pStyle w:val="53"/>
                    <w:bidi w:val="0"/>
                    <w:jc w:val="center"/>
                    <w:rPr>
                      <w:rFonts w:hint="eastAsia" w:eastAsia="宋体"/>
                      <w:color w:val="auto"/>
                      <w:highlight w:val="none"/>
                      <w:lang w:val="en-US" w:eastAsia="zh-CN"/>
                    </w:rPr>
                  </w:pPr>
                  <w:r>
                    <w:rPr>
                      <w:rFonts w:hint="eastAsia"/>
                      <w:color w:val="auto"/>
                      <w:highlight w:val="none"/>
                      <w:lang w:val="en-US" w:eastAsia="zh-CN"/>
                    </w:rPr>
                    <w:t>2.</w:t>
                  </w:r>
                  <w:r>
                    <w:rPr>
                      <w:rFonts w:hint="default" w:ascii="Times New Roman" w:hAnsi="Times New Roman" w:eastAsia="宋体" w:cs="Times New Roman"/>
                      <w:color w:val="auto"/>
                      <w:sz w:val="21"/>
                      <w:szCs w:val="21"/>
                      <w:highlight w:val="none"/>
                      <w:lang w:val="en-US" w:eastAsia="zh-CN"/>
                    </w:rPr>
                    <w:t>本项目为</w:t>
                  </w:r>
                  <w:r>
                    <w:rPr>
                      <w:rFonts w:hint="eastAsia" w:cs="Times New Roman"/>
                      <w:bCs/>
                      <w:color w:val="auto"/>
                      <w:kern w:val="0"/>
                      <w:sz w:val="21"/>
                      <w:szCs w:val="21"/>
                      <w:highlight w:val="none"/>
                      <w:vertAlign w:val="baseline"/>
                      <w:lang w:val="en-US" w:eastAsia="zh-CN" w:bidi="ar-SA"/>
                    </w:rPr>
                    <w:t>汽车零部件及配件制造</w:t>
                  </w:r>
                  <w:r>
                    <w:rPr>
                      <w:rFonts w:hint="default" w:ascii="Times New Roman" w:hAnsi="Times New Roman" w:eastAsia="宋体" w:cs="Times New Roman"/>
                      <w:color w:val="auto"/>
                      <w:sz w:val="21"/>
                      <w:szCs w:val="21"/>
                      <w:highlight w:val="none"/>
                      <w:lang w:val="en-US" w:eastAsia="zh-CN"/>
                    </w:rPr>
                    <w:t>，主要产污工序为下料、</w:t>
                  </w:r>
                  <w:r>
                    <w:rPr>
                      <w:rFonts w:hint="eastAsia" w:ascii="Times New Roman" w:hAnsi="Times New Roman" w:cs="Times New Roman"/>
                      <w:color w:val="auto"/>
                      <w:sz w:val="21"/>
                      <w:szCs w:val="21"/>
                      <w:highlight w:val="none"/>
                      <w:lang w:val="en-US" w:eastAsia="zh-CN"/>
                    </w:rPr>
                    <w:t>加热、锻造、抛丸、分选</w:t>
                  </w:r>
                  <w:r>
                    <w:rPr>
                      <w:rFonts w:hint="default" w:ascii="Times New Roman" w:hAnsi="Times New Roman" w:eastAsia="宋体" w:cs="Times New Roman"/>
                      <w:color w:val="auto"/>
                      <w:sz w:val="21"/>
                      <w:szCs w:val="21"/>
                      <w:highlight w:val="none"/>
                      <w:lang w:val="en-US" w:eastAsia="zh-CN"/>
                    </w:rPr>
                    <w:t>，主要产品为</w:t>
                  </w:r>
                  <w:r>
                    <w:rPr>
                      <w:rFonts w:hint="eastAsia" w:ascii="Times New Roman" w:hAnsi="Times New Roman" w:eastAsia="宋体" w:cs="Times New Roman"/>
                      <w:color w:val="auto"/>
                      <w:sz w:val="21"/>
                      <w:szCs w:val="21"/>
                      <w:highlight w:val="none"/>
                      <w:lang w:val="en-US" w:eastAsia="zh-CN"/>
                    </w:rPr>
                    <w:t>同步器齿毂</w:t>
                  </w:r>
                  <w:r>
                    <w:rPr>
                      <w:rFonts w:hint="eastAsia" w:ascii="Times New Roman" w:hAnsi="Times New Roman" w:cs="Times New Roman"/>
                      <w:color w:val="auto"/>
                      <w:sz w:val="21"/>
                      <w:szCs w:val="21"/>
                      <w:highlight w:val="none"/>
                      <w:lang w:val="en-US" w:eastAsia="zh-CN"/>
                    </w:rPr>
                    <w:t>和同步器结合齿圈</w:t>
                  </w:r>
                  <w:r>
                    <w:rPr>
                      <w:rFonts w:hint="default"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对照《产业结构调整指导目录（2024年本）》，该项目属于“鼓励类”中的“十六、汽车 1、汽车关键零部件”；对照《市场准入负面清单（2025年版）》，本项目不涉及禁止事项。</w:t>
                  </w:r>
                </w:p>
              </w:tc>
              <w:tc>
                <w:tcPr>
                  <w:tcW w:w="268" w:type="pct"/>
                  <w:vMerge w:val="restart"/>
                  <w:noWrap w:val="0"/>
                  <w:vAlign w:val="center"/>
                </w:tcPr>
                <w:p w14:paraId="37DAAA92">
                  <w:pPr>
                    <w:pStyle w:val="53"/>
                    <w:bidi w:val="0"/>
                    <w:jc w:val="center"/>
                    <w:rPr>
                      <w:rFonts w:hint="default"/>
                      <w:color w:val="auto"/>
                      <w:highlight w:val="none"/>
                      <w:lang w:val="en-US" w:eastAsia="zh-CN"/>
                    </w:rPr>
                  </w:pPr>
                  <w:r>
                    <w:rPr>
                      <w:rFonts w:hint="eastAsia"/>
                      <w:color w:val="auto"/>
                      <w:highlight w:val="none"/>
                      <w:lang w:val="en-US" w:eastAsia="zh-CN"/>
                    </w:rPr>
                    <w:t>符合</w:t>
                  </w:r>
                </w:p>
              </w:tc>
            </w:tr>
            <w:tr w14:paraId="1FF3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318" w:type="pct"/>
                  <w:vMerge w:val="continue"/>
                  <w:noWrap w:val="0"/>
                  <w:vAlign w:val="center"/>
                </w:tcPr>
                <w:p w14:paraId="4379C957">
                  <w:pPr>
                    <w:pStyle w:val="53"/>
                    <w:bidi w:val="0"/>
                    <w:jc w:val="center"/>
                  </w:pPr>
                </w:p>
              </w:tc>
              <w:tc>
                <w:tcPr>
                  <w:tcW w:w="172" w:type="pct"/>
                  <w:vMerge w:val="continue"/>
                  <w:noWrap w:val="0"/>
                  <w:vAlign w:val="center"/>
                </w:tcPr>
                <w:p w14:paraId="38222278">
                  <w:pPr>
                    <w:pStyle w:val="53"/>
                    <w:bidi w:val="0"/>
                    <w:jc w:val="center"/>
                  </w:pPr>
                </w:p>
              </w:tc>
              <w:tc>
                <w:tcPr>
                  <w:tcW w:w="232" w:type="pct"/>
                  <w:vMerge w:val="continue"/>
                  <w:noWrap w:val="0"/>
                  <w:vAlign w:val="center"/>
                </w:tcPr>
                <w:p w14:paraId="11CF00A3">
                  <w:pPr>
                    <w:pStyle w:val="53"/>
                    <w:bidi w:val="0"/>
                    <w:jc w:val="center"/>
                  </w:pPr>
                </w:p>
              </w:tc>
              <w:tc>
                <w:tcPr>
                  <w:tcW w:w="327" w:type="pct"/>
                  <w:vMerge w:val="continue"/>
                  <w:noWrap w:val="0"/>
                  <w:vAlign w:val="center"/>
                </w:tcPr>
                <w:p w14:paraId="5AA1CB2A">
                  <w:pPr>
                    <w:pStyle w:val="53"/>
                    <w:bidi w:val="0"/>
                    <w:jc w:val="center"/>
                  </w:pPr>
                </w:p>
              </w:tc>
              <w:tc>
                <w:tcPr>
                  <w:tcW w:w="259" w:type="pct"/>
                  <w:vMerge w:val="continue"/>
                  <w:noWrap w:val="0"/>
                  <w:vAlign w:val="center"/>
                </w:tcPr>
                <w:p w14:paraId="579841A1">
                  <w:pPr>
                    <w:pStyle w:val="53"/>
                    <w:bidi w:val="0"/>
                    <w:jc w:val="center"/>
                  </w:pPr>
                </w:p>
              </w:tc>
              <w:tc>
                <w:tcPr>
                  <w:tcW w:w="2074" w:type="pct"/>
                  <w:noWrap w:val="0"/>
                  <w:vAlign w:val="center"/>
                </w:tcPr>
                <w:p w14:paraId="7E15F0D5">
                  <w:pPr>
                    <w:pStyle w:val="53"/>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高污染燃料禁燃区：</w:t>
                  </w:r>
                </w:p>
                <w:p w14:paraId="79B1B900">
                  <w:pPr>
                    <w:pStyle w:val="53"/>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1.禁止销售、燃用高污染燃料（35蒸吨及以上锅炉、火力发电企业机组除外）。</w:t>
                  </w:r>
                </w:p>
                <w:p w14:paraId="2BAC39DB">
                  <w:pPr>
                    <w:pStyle w:val="53"/>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2.高污染燃料禁燃区执行Ⅲ类（严格）要求，禁止使用煤炭及其制品、石油焦、油页岩、原油、重油、渣油、煤焦油以及非专用锅炉或未配置高效除尘设施的专用锅炉燃用的生物质成型燃料。</w:t>
                  </w:r>
                </w:p>
                <w:p w14:paraId="4E7F8720">
                  <w:pPr>
                    <w:pStyle w:val="53"/>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3.禁止新建、扩建燃用高污染燃料的锅炉、窑炉、炉灶等设施，不得将其他燃料燃用设施改造为高污染燃料燃用设施。</w:t>
                  </w:r>
                </w:p>
                <w:p w14:paraId="305F98F0">
                  <w:pPr>
                    <w:pStyle w:val="53"/>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4.禁燃区内集中供热企业必须使用符合《商品煤质量管理暂行办法》的燃煤，发电企业必须使用符合《商品煤质量发电煤粉锅炉用煤》（GB/T7562-2018）标准的燃煤，不得擅自</w:t>
                  </w:r>
                  <w:r>
                    <w:rPr>
                      <w:rFonts w:hint="eastAsia" w:ascii="Times New Roman" w:hAnsi="Times New Roman" w:eastAsia="宋体" w:cs="Times New Roman"/>
                      <w:color w:val="auto"/>
                      <w:highlight w:val="none"/>
                      <w:lang w:val="en-US" w:eastAsia="zh-CN"/>
                    </w:rPr>
                    <w:t>改用其他</w:t>
                  </w:r>
                  <w:r>
                    <w:rPr>
                      <w:rFonts w:hint="default" w:ascii="Times New Roman" w:hAnsi="Times New Roman" w:eastAsia="宋体" w:cs="Times New Roman"/>
                      <w:color w:val="auto"/>
                      <w:highlight w:val="none"/>
                      <w:lang w:val="en-US" w:eastAsia="zh-CN"/>
                    </w:rPr>
                    <w:t>类型的高污染燃料，高效除尘、脱硫、脱硝设施必须正常稳定运行，确保大气污染物达标排放。</w:t>
                  </w:r>
                </w:p>
                <w:p w14:paraId="253C0415">
                  <w:pPr>
                    <w:pStyle w:val="53"/>
                    <w:bidi w:val="0"/>
                    <w:jc w:val="left"/>
                    <w:rPr>
                      <w:color w:val="auto"/>
                      <w:highlight w:val="none"/>
                    </w:rPr>
                  </w:pPr>
                  <w:r>
                    <w:rPr>
                      <w:rFonts w:hint="default" w:ascii="Times New Roman" w:hAnsi="Times New Roman" w:eastAsia="宋体" w:cs="Times New Roman"/>
                      <w:color w:val="auto"/>
                      <w:highlight w:val="none"/>
                      <w:lang w:val="en-US" w:eastAsia="zh-CN"/>
                    </w:rPr>
                    <w:t>5.禁止生产、销售和使用高污染燃料。禁止露天烧烤，禁止焦（木）炭烧烤，禁止焚烧垃圾（树叶、杂草）、沥青、油毡、橡胶、皮革等可产生有毒、有害烟尘和恶臭气体的物质。</w:t>
                  </w:r>
                </w:p>
              </w:tc>
              <w:tc>
                <w:tcPr>
                  <w:tcW w:w="1345" w:type="pct"/>
                  <w:noWrap w:val="0"/>
                  <w:vAlign w:val="center"/>
                </w:tcPr>
                <w:p w14:paraId="654B9C01">
                  <w:pPr>
                    <w:pStyle w:val="28"/>
                    <w:jc w:val="center"/>
                    <w:rPr>
                      <w:color w:val="auto"/>
                      <w:highlight w:val="none"/>
                    </w:rPr>
                  </w:pPr>
                  <w:r>
                    <w:rPr>
                      <w:rFonts w:hint="eastAsia"/>
                      <w:color w:val="auto"/>
                      <w:highlight w:val="none"/>
                      <w:lang w:val="en-US" w:eastAsia="zh-CN"/>
                    </w:rPr>
                    <w:t>本项目为汽车零部件及配件制造，生产工序不涉及高污染燃料。</w:t>
                  </w:r>
                </w:p>
              </w:tc>
              <w:tc>
                <w:tcPr>
                  <w:tcW w:w="268" w:type="pct"/>
                  <w:vMerge w:val="continue"/>
                  <w:noWrap w:val="0"/>
                  <w:vAlign w:val="center"/>
                </w:tcPr>
                <w:p w14:paraId="0591DA8F">
                  <w:pPr>
                    <w:pStyle w:val="53"/>
                    <w:bidi w:val="0"/>
                    <w:jc w:val="center"/>
                    <w:rPr>
                      <w:color w:val="auto"/>
                      <w:highlight w:val="none"/>
                    </w:rPr>
                  </w:pPr>
                </w:p>
              </w:tc>
            </w:tr>
            <w:tr w14:paraId="461F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8" w:type="pct"/>
                  <w:vMerge w:val="continue"/>
                  <w:noWrap w:val="0"/>
                  <w:vAlign w:val="center"/>
                </w:tcPr>
                <w:p w14:paraId="347F2650">
                  <w:pPr>
                    <w:pStyle w:val="53"/>
                    <w:bidi w:val="0"/>
                    <w:jc w:val="center"/>
                    <w:rPr>
                      <w:color w:val="auto"/>
                      <w:highlight w:val="none"/>
                    </w:rPr>
                  </w:pPr>
                </w:p>
              </w:tc>
              <w:tc>
                <w:tcPr>
                  <w:tcW w:w="172" w:type="pct"/>
                  <w:vMerge w:val="continue"/>
                  <w:noWrap w:val="0"/>
                  <w:vAlign w:val="center"/>
                </w:tcPr>
                <w:p w14:paraId="054B18C4">
                  <w:pPr>
                    <w:pStyle w:val="53"/>
                    <w:bidi w:val="0"/>
                    <w:jc w:val="center"/>
                    <w:rPr>
                      <w:color w:val="auto"/>
                      <w:highlight w:val="none"/>
                    </w:rPr>
                  </w:pPr>
                </w:p>
              </w:tc>
              <w:tc>
                <w:tcPr>
                  <w:tcW w:w="232" w:type="pct"/>
                  <w:vMerge w:val="continue"/>
                  <w:noWrap w:val="0"/>
                  <w:vAlign w:val="center"/>
                </w:tcPr>
                <w:p w14:paraId="183DE405">
                  <w:pPr>
                    <w:pStyle w:val="53"/>
                    <w:bidi w:val="0"/>
                    <w:jc w:val="center"/>
                    <w:rPr>
                      <w:color w:val="auto"/>
                      <w:highlight w:val="none"/>
                    </w:rPr>
                  </w:pPr>
                </w:p>
              </w:tc>
              <w:tc>
                <w:tcPr>
                  <w:tcW w:w="327" w:type="pct"/>
                  <w:vMerge w:val="continue"/>
                  <w:noWrap w:val="0"/>
                  <w:vAlign w:val="center"/>
                </w:tcPr>
                <w:p w14:paraId="41CFEE2E">
                  <w:pPr>
                    <w:pStyle w:val="53"/>
                    <w:bidi w:val="0"/>
                    <w:jc w:val="center"/>
                    <w:rPr>
                      <w:color w:val="auto"/>
                      <w:highlight w:val="none"/>
                    </w:rPr>
                  </w:pPr>
                </w:p>
              </w:tc>
              <w:tc>
                <w:tcPr>
                  <w:tcW w:w="259" w:type="pct"/>
                  <w:vMerge w:val="continue"/>
                  <w:noWrap w:val="0"/>
                  <w:vAlign w:val="center"/>
                </w:tcPr>
                <w:p w14:paraId="4FE32CA4">
                  <w:pPr>
                    <w:pStyle w:val="53"/>
                    <w:bidi w:val="0"/>
                    <w:jc w:val="center"/>
                    <w:rPr>
                      <w:color w:val="auto"/>
                      <w:highlight w:val="none"/>
                    </w:rPr>
                  </w:pPr>
                </w:p>
              </w:tc>
              <w:tc>
                <w:tcPr>
                  <w:tcW w:w="2074" w:type="pct"/>
                  <w:noWrap w:val="0"/>
                  <w:vAlign w:val="center"/>
                </w:tcPr>
                <w:p w14:paraId="446BA91B">
                  <w:pPr>
                    <w:pStyle w:val="53"/>
                    <w:bidi w:val="0"/>
                    <w:jc w:val="left"/>
                    <w:rPr>
                      <w:rFonts w:hint="default"/>
                      <w:color w:val="auto"/>
                      <w:highlight w:val="none"/>
                      <w:lang w:val="en-US" w:eastAsia="zh-CN"/>
                    </w:rPr>
                  </w:pPr>
                  <w:r>
                    <w:rPr>
                      <w:rFonts w:hint="default"/>
                      <w:color w:val="auto"/>
                      <w:highlight w:val="none"/>
                      <w:lang w:val="en-US" w:eastAsia="zh-CN"/>
                    </w:rPr>
                    <w:t>蔡家坡经济技术开发区</w:t>
                  </w:r>
                </w:p>
                <w:p w14:paraId="5D5A66CF">
                  <w:pPr>
                    <w:pStyle w:val="53"/>
                    <w:bidi w:val="0"/>
                    <w:jc w:val="left"/>
                    <w:rPr>
                      <w:rFonts w:hint="default"/>
                      <w:color w:val="auto"/>
                      <w:highlight w:val="none"/>
                      <w:lang w:val="en-US" w:eastAsia="zh-CN"/>
                    </w:rPr>
                  </w:pPr>
                  <w:r>
                    <w:rPr>
                      <w:rFonts w:hint="default"/>
                      <w:color w:val="auto"/>
                      <w:highlight w:val="none"/>
                      <w:lang w:val="en-US" w:eastAsia="zh-CN"/>
                    </w:rPr>
                    <w:t>1.工业用水循环率≥90%；工业固体废物利用率≥100%。</w:t>
                  </w:r>
                </w:p>
                <w:p w14:paraId="5F974D6F">
                  <w:pPr>
                    <w:pStyle w:val="53"/>
                    <w:bidi w:val="0"/>
                    <w:jc w:val="left"/>
                    <w:rPr>
                      <w:rFonts w:hint="default"/>
                      <w:color w:val="auto"/>
                      <w:highlight w:val="none"/>
                      <w:lang w:val="en-US" w:eastAsia="zh-CN"/>
                    </w:rPr>
                  </w:pPr>
                  <w:r>
                    <w:rPr>
                      <w:rFonts w:hint="default"/>
                      <w:color w:val="auto"/>
                      <w:highlight w:val="none"/>
                      <w:lang w:val="en-US" w:eastAsia="zh-CN"/>
                    </w:rPr>
                    <w:t>2.执行宝鸡市生态环境要素分区总体准入清单中</w:t>
                  </w:r>
                  <w:r>
                    <w:rPr>
                      <w:rFonts w:hint="eastAsia"/>
                      <w:color w:val="auto"/>
                      <w:highlight w:val="none"/>
                      <w:lang w:val="en-US" w:eastAsia="zh-CN"/>
                    </w:rPr>
                    <w:t>“</w:t>
                  </w:r>
                  <w:r>
                    <w:rPr>
                      <w:rFonts w:hint="default"/>
                      <w:color w:val="auto"/>
                      <w:highlight w:val="none"/>
                      <w:lang w:val="en-US" w:eastAsia="zh-CN"/>
                    </w:rPr>
                    <w:t>5.10 生态用水补给区管控分区的资源利用效率要求</w:t>
                  </w:r>
                  <w:r>
                    <w:rPr>
                      <w:rFonts w:hint="eastAsia"/>
                      <w:color w:val="auto"/>
                      <w:highlight w:val="none"/>
                      <w:lang w:val="en-US" w:eastAsia="zh-CN"/>
                    </w:rPr>
                    <w:t>”</w:t>
                  </w:r>
                  <w:r>
                    <w:rPr>
                      <w:rFonts w:hint="default"/>
                      <w:color w:val="auto"/>
                      <w:highlight w:val="none"/>
                      <w:lang w:val="en-US" w:eastAsia="zh-CN"/>
                    </w:rPr>
                    <w:t>；</w:t>
                  </w:r>
                </w:p>
                <w:p w14:paraId="7647EDCF">
                  <w:pPr>
                    <w:pStyle w:val="53"/>
                    <w:bidi w:val="0"/>
                    <w:jc w:val="left"/>
                    <w:rPr>
                      <w:b/>
                      <w:bCs/>
                      <w:color w:val="auto"/>
                      <w:highlight w:val="none"/>
                    </w:rPr>
                  </w:pPr>
                  <w:r>
                    <w:rPr>
                      <w:rFonts w:hint="default"/>
                      <w:color w:val="auto"/>
                      <w:highlight w:val="none"/>
                      <w:lang w:val="en-US" w:eastAsia="zh-CN"/>
                    </w:rPr>
                    <w:t>3.执行宝鸡市生态环境要素分区总体准入清单中</w:t>
                  </w:r>
                  <w:r>
                    <w:rPr>
                      <w:rFonts w:hint="eastAsia"/>
                      <w:color w:val="auto"/>
                      <w:highlight w:val="none"/>
                      <w:lang w:val="en-US" w:eastAsia="zh-CN"/>
                    </w:rPr>
                    <w:t>“</w:t>
                  </w:r>
                  <w:r>
                    <w:rPr>
                      <w:rFonts w:hint="default"/>
                      <w:color w:val="auto"/>
                      <w:highlight w:val="none"/>
                      <w:lang w:val="en-US" w:eastAsia="zh-CN"/>
                    </w:rPr>
                    <w:t>5.12 土地资源重点管控区的资源利用效率要求</w:t>
                  </w:r>
                  <w:r>
                    <w:rPr>
                      <w:rFonts w:hint="eastAsia"/>
                      <w:color w:val="auto"/>
                      <w:highlight w:val="none"/>
                      <w:lang w:val="en-US" w:eastAsia="zh-CN"/>
                    </w:rPr>
                    <w:t>”</w:t>
                  </w:r>
                  <w:r>
                    <w:rPr>
                      <w:rFonts w:hint="default"/>
                      <w:color w:val="auto"/>
                      <w:highlight w:val="none"/>
                      <w:lang w:val="en-US" w:eastAsia="zh-CN"/>
                    </w:rPr>
                    <w:t>；4.执行宝鸡市生态环境要素分区总体准入清单中</w:t>
                  </w:r>
                  <w:r>
                    <w:rPr>
                      <w:rFonts w:hint="eastAsia"/>
                      <w:color w:val="auto"/>
                      <w:highlight w:val="none"/>
                      <w:lang w:val="en-US" w:eastAsia="zh-CN"/>
                    </w:rPr>
                    <w:t>“</w:t>
                  </w:r>
                  <w:r>
                    <w:rPr>
                      <w:rFonts w:hint="default"/>
                      <w:color w:val="auto"/>
                      <w:highlight w:val="none"/>
                      <w:lang w:val="en-US" w:eastAsia="zh-CN"/>
                    </w:rPr>
                    <w:t>5.13 高污染燃料禁燃区的资源利用效率要求</w:t>
                  </w:r>
                  <w:r>
                    <w:rPr>
                      <w:rFonts w:hint="eastAsia"/>
                      <w:color w:val="auto"/>
                      <w:highlight w:val="none"/>
                      <w:lang w:val="en-US" w:eastAsia="zh-CN"/>
                    </w:rPr>
                    <w:t>”</w:t>
                  </w:r>
                  <w:r>
                    <w:rPr>
                      <w:rFonts w:hint="default"/>
                      <w:color w:val="auto"/>
                      <w:highlight w:val="none"/>
                      <w:lang w:val="en-US" w:eastAsia="zh-CN"/>
                    </w:rPr>
                    <w:t>。</w:t>
                  </w:r>
                </w:p>
              </w:tc>
              <w:tc>
                <w:tcPr>
                  <w:tcW w:w="1345" w:type="pct"/>
                  <w:noWrap w:val="0"/>
                  <w:vAlign w:val="center"/>
                </w:tcPr>
                <w:p w14:paraId="7F329319">
                  <w:pPr>
                    <w:pStyle w:val="53"/>
                    <w:bidi w:val="0"/>
                    <w:rPr>
                      <w:rFonts w:hint="eastAsia"/>
                      <w:color w:val="auto"/>
                      <w:highlight w:val="none"/>
                      <w:lang w:val="en-US" w:eastAsia="zh-CN"/>
                    </w:rPr>
                  </w:pPr>
                  <w:r>
                    <w:rPr>
                      <w:rFonts w:hint="eastAsia"/>
                      <w:color w:val="auto"/>
                      <w:highlight w:val="none"/>
                      <w:lang w:val="en-US" w:eastAsia="zh-CN"/>
                    </w:rPr>
                    <w:t>1.本项目脱模用水和冷却用水循环使用，定期补充损耗水量；锻造废料及不合格品全部集中收集后外售废品回收站，抛丸打磨产生的粉尘定期清理，集中收集后外售废品回收站；运营期产生的废润滑油、废油桶等危险废物暂存于危废贮存点，定期交由有资质单位处理。</w:t>
                  </w:r>
                </w:p>
                <w:p w14:paraId="59B5BC19">
                  <w:pPr>
                    <w:pStyle w:val="53"/>
                    <w:bidi w:val="0"/>
                    <w:rPr>
                      <w:rFonts w:hint="eastAsia"/>
                      <w:color w:val="auto"/>
                      <w:highlight w:val="none"/>
                      <w:lang w:val="en-US" w:eastAsia="zh-CN"/>
                    </w:rPr>
                  </w:pPr>
                  <w:r>
                    <w:rPr>
                      <w:rFonts w:hint="eastAsia"/>
                      <w:color w:val="auto"/>
                      <w:highlight w:val="none"/>
                      <w:lang w:val="en-US" w:eastAsia="zh-CN"/>
                    </w:rPr>
                    <w:t>2.经分析《关于印发2023年宝鸡市生态环境分区管控调整方案的通知》（宝区环办〔2024〕1号）中“5.10 生态用水补给区管控分区的资源利用效率要求”，本项目用水由蔡家坡经开区供水系统供给。不涉及河道取水。</w:t>
                  </w:r>
                </w:p>
                <w:p w14:paraId="542FD9F4">
                  <w:pPr>
                    <w:pStyle w:val="53"/>
                    <w:bidi w:val="0"/>
                    <w:rPr>
                      <w:rFonts w:hint="eastAsia"/>
                      <w:color w:val="auto"/>
                      <w:highlight w:val="none"/>
                      <w:lang w:val="en-US" w:eastAsia="zh-CN"/>
                    </w:rPr>
                  </w:pPr>
                  <w:r>
                    <w:rPr>
                      <w:rFonts w:hint="eastAsia"/>
                      <w:color w:val="auto"/>
                      <w:highlight w:val="none"/>
                      <w:lang w:val="en-US" w:eastAsia="zh-CN"/>
                    </w:rPr>
                    <w:t>3.经分析《关于印发2023年宝鸡市生态环境分区管控调整方案的通知》（宝区环办〔2024〕1号）中“5.12 土地资源重点管控区的资源利用效率要求”，本项目位于陕西省宝鸡市岐山县蔡家坡经济技术开发区，在蔡家坡经济技术开发区-区块二范围内，用地性质为工业用地，用地用途未改变；</w:t>
                  </w:r>
                </w:p>
                <w:p w14:paraId="0DC564CB">
                  <w:pPr>
                    <w:pStyle w:val="53"/>
                    <w:bidi w:val="0"/>
                    <w:rPr>
                      <w:rFonts w:hint="eastAsia" w:eastAsia="宋体"/>
                      <w:color w:val="auto"/>
                      <w:highlight w:val="none"/>
                      <w:lang w:val="en-US" w:eastAsia="zh-CN"/>
                    </w:rPr>
                  </w:pPr>
                  <w:r>
                    <w:rPr>
                      <w:rFonts w:hint="eastAsia"/>
                      <w:color w:val="auto"/>
                      <w:highlight w:val="none"/>
                      <w:lang w:val="en-US" w:eastAsia="zh-CN"/>
                    </w:rPr>
                    <w:t>4.经分析《关于印发2023年宝鸡市生态环境分区管控调整方案的通知》（宝区环办〔2024〕1号）中“5.13 高污染燃料禁燃区的资源利用效率要求”，本项目不涉及燃料。</w:t>
                  </w:r>
                </w:p>
              </w:tc>
              <w:tc>
                <w:tcPr>
                  <w:tcW w:w="268" w:type="pct"/>
                  <w:noWrap w:val="0"/>
                  <w:vAlign w:val="center"/>
                </w:tcPr>
                <w:p w14:paraId="49EE6A86">
                  <w:pPr>
                    <w:pStyle w:val="53"/>
                    <w:bidi w:val="0"/>
                    <w:rPr>
                      <w:rFonts w:hint="eastAsia"/>
                      <w:color w:val="auto"/>
                      <w:highlight w:val="none"/>
                      <w:lang w:val="en-US" w:eastAsia="zh-CN"/>
                    </w:rPr>
                  </w:pPr>
                  <w:r>
                    <w:rPr>
                      <w:rFonts w:hint="eastAsia"/>
                      <w:color w:val="auto"/>
                      <w:highlight w:val="none"/>
                      <w:lang w:val="en-US" w:eastAsia="zh-CN"/>
                    </w:rPr>
                    <w:t>符合</w:t>
                  </w:r>
                </w:p>
              </w:tc>
            </w:tr>
          </w:tbl>
          <w:p w14:paraId="38AF4D6E">
            <w:pPr>
              <w:bidi w:val="0"/>
              <w:ind w:left="0" w:leftChars="0" w:firstLine="0" w:firstLineChars="0"/>
              <w:rPr>
                <w:rFonts w:hint="eastAsia"/>
                <w:i w:val="0"/>
                <w:iCs w:val="0"/>
                <w:color w:val="auto"/>
                <w:sz w:val="24"/>
                <w:szCs w:val="24"/>
                <w:highlight w:val="none"/>
                <w:lang w:val="en-US" w:eastAsia="zh-CN"/>
              </w:rPr>
            </w:pPr>
          </w:p>
        </w:tc>
      </w:tr>
    </w:tbl>
    <w:p w14:paraId="30E4C4D3">
      <w:pPr>
        <w:pStyle w:val="6"/>
        <w:rPr>
          <w:color w:val="auto"/>
          <w:highlight w:val="none"/>
        </w:rPr>
        <w:sectPr>
          <w:pgSz w:w="16838" w:h="11906" w:orient="landscape"/>
          <w:pgMar w:top="1531" w:right="1701" w:bottom="1531" w:left="1701" w:header="851" w:footer="1077" w:gutter="0"/>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7758"/>
      </w:tblGrid>
      <w:tr w14:paraId="091CD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20" w:hRule="atLeast"/>
          <w:jc w:val="center"/>
        </w:trPr>
        <w:tc>
          <w:tcPr>
            <w:tcW w:w="1112" w:type="dxa"/>
            <w:noWrap w:val="0"/>
            <w:vAlign w:val="center"/>
          </w:tcPr>
          <w:p w14:paraId="6C229B5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highlight w:val="none"/>
              </w:rPr>
            </w:pPr>
          </w:p>
        </w:tc>
        <w:tc>
          <w:tcPr>
            <w:tcW w:w="7758" w:type="dxa"/>
            <w:noWrap w:val="0"/>
            <w:vAlign w:val="center"/>
          </w:tcPr>
          <w:p w14:paraId="279617E9">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一说明</w:t>
            </w:r>
          </w:p>
          <w:p w14:paraId="683494D7">
            <w:pPr>
              <w:pStyle w:val="8"/>
              <w:spacing w:line="360" w:lineRule="auto"/>
              <w:ind w:firstLine="480" w:firstLineChars="200"/>
              <w:jc w:val="both"/>
              <w:rPr>
                <w:rFonts w:hint="eastAsia"/>
                <w:color w:val="auto"/>
                <w:lang w:eastAsia="zh-CN"/>
              </w:rPr>
            </w:pPr>
            <w:r>
              <w:rPr>
                <w:color w:val="auto"/>
              </w:rPr>
              <w:t>对照</w:t>
            </w:r>
            <w:r>
              <w:rPr>
                <w:rFonts w:hint="eastAsia"/>
                <w:color w:val="auto"/>
                <w:lang w:eastAsia="zh-CN"/>
              </w:rPr>
              <w:t>“</w:t>
            </w:r>
            <w:r>
              <w:rPr>
                <w:rFonts w:hint="eastAsia"/>
                <w:color w:val="auto"/>
                <w:lang w:val="en-US" w:eastAsia="zh-CN"/>
              </w:rPr>
              <w:t>宝鸡市</w:t>
            </w:r>
            <w:r>
              <w:rPr>
                <w:color w:val="auto"/>
              </w:rPr>
              <w:t>生态环境分区管控准入清单</w:t>
            </w:r>
            <w:r>
              <w:rPr>
                <w:rFonts w:hint="eastAsia"/>
                <w:color w:val="auto"/>
                <w:lang w:eastAsia="zh-CN"/>
              </w:rPr>
              <w:t>”</w:t>
            </w:r>
            <w:r>
              <w:rPr>
                <w:color w:val="auto"/>
              </w:rPr>
              <w:t>中的</w:t>
            </w:r>
            <w:r>
              <w:rPr>
                <w:rFonts w:hint="eastAsia"/>
                <w:color w:val="auto"/>
                <w:lang w:val="en-US" w:eastAsia="zh-CN"/>
              </w:rPr>
              <w:t>重点</w:t>
            </w:r>
            <w:r>
              <w:rPr>
                <w:color w:val="auto"/>
              </w:rPr>
              <w:t>管控单元要求，</w:t>
            </w:r>
            <w:r>
              <w:rPr>
                <w:rFonts w:hint="eastAsia" w:ascii="Times New Roman" w:hAnsi="Times New Roman" w:cs="Times New Roman"/>
                <w:iCs/>
                <w:color w:val="auto"/>
                <w:sz w:val="24"/>
                <w:szCs w:val="24"/>
              </w:rPr>
              <w:t>本项目所在区环境质量现状较好，本工程运营期在采取相应的污染防治措施后，各项污染物均能达标排放，不触及项目区环境质量底线</w:t>
            </w:r>
            <w:r>
              <w:rPr>
                <w:color w:val="auto"/>
              </w:rPr>
              <w:t>，因此，</w:t>
            </w:r>
            <w:r>
              <w:rPr>
                <w:rFonts w:hint="eastAsia"/>
                <w:color w:val="auto"/>
              </w:rPr>
              <w:t>本项目符合</w:t>
            </w:r>
            <w:r>
              <w:rPr>
                <w:rFonts w:hint="eastAsia" w:ascii="宋体" w:hAnsi="宋体" w:cs="宋体"/>
                <w:color w:val="auto"/>
                <w:sz w:val="24"/>
                <w:szCs w:val="24"/>
                <w:lang w:bidi="ar"/>
              </w:rPr>
              <w:t>“三线一单”重点管控的各项要求</w:t>
            </w:r>
            <w:r>
              <w:rPr>
                <w:rFonts w:hint="eastAsia"/>
                <w:color w:val="auto"/>
                <w:lang w:eastAsia="zh-CN"/>
              </w:rPr>
              <w:t>。</w:t>
            </w:r>
          </w:p>
          <w:p w14:paraId="5AA7D622">
            <w:pPr>
              <w:numPr>
                <w:ilvl w:val="0"/>
                <w:numId w:val="4"/>
              </w:numPr>
              <w:bidi w:val="0"/>
              <w:ind w:left="0" w:leftChars="0" w:firstLine="482" w:firstLineChars="200"/>
              <w:rPr>
                <w:rFonts w:hint="eastAsia"/>
                <w:b/>
                <w:bCs/>
                <w:color w:val="auto"/>
                <w:lang w:val="en-US" w:eastAsia="zh-CN"/>
              </w:rPr>
            </w:pPr>
            <w:r>
              <w:rPr>
                <w:rFonts w:hint="eastAsia"/>
                <w:b/>
                <w:bCs/>
                <w:color w:val="auto"/>
                <w:lang w:val="en-US" w:eastAsia="zh-CN"/>
              </w:rPr>
              <w:t>与其他文件符合性分析</w:t>
            </w:r>
          </w:p>
          <w:p w14:paraId="6BA8B1E3">
            <w:pPr>
              <w:bidi w:val="0"/>
              <w:rPr>
                <w:rFonts w:hint="default"/>
                <w:color w:val="auto"/>
                <w:lang w:val="en-US" w:eastAsia="zh-CN"/>
              </w:rPr>
            </w:pPr>
            <w:r>
              <w:rPr>
                <w:rFonts w:hint="default"/>
                <w:color w:val="auto"/>
                <w:lang w:val="en-US" w:eastAsia="zh-CN"/>
              </w:rPr>
              <w:t>本项目与其他文件符合性分析，见下表。</w:t>
            </w:r>
          </w:p>
          <w:p w14:paraId="0AB7A114">
            <w:pPr>
              <w:pStyle w:val="58"/>
              <w:bidi w:val="0"/>
              <w:rPr>
                <w:rFonts w:hint="eastAsia"/>
                <w:color w:val="auto"/>
                <w:lang w:val="en-US" w:eastAsia="zh-CN"/>
              </w:rPr>
            </w:pPr>
            <w:r>
              <w:rPr>
                <w:rFonts w:hint="eastAsia"/>
                <w:color w:val="auto"/>
                <w:lang w:val="en-US" w:eastAsia="zh-CN"/>
              </w:rPr>
              <w:t>表1-6      本项目与其他文件符合性分析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5"/>
              <w:gridCol w:w="3364"/>
              <w:gridCol w:w="1958"/>
              <w:gridCol w:w="532"/>
            </w:tblGrid>
            <w:tr w14:paraId="0B76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2" w:type="pct"/>
                  <w:noWrap w:val="0"/>
                  <w:vAlign w:val="center"/>
                </w:tcPr>
                <w:p w14:paraId="02E6B5AD">
                  <w:pPr>
                    <w:pStyle w:val="53"/>
                    <w:bidi w:val="0"/>
                    <w:rPr>
                      <w:rFonts w:hint="default"/>
                      <w:b/>
                      <w:bCs/>
                      <w:color w:val="auto"/>
                    </w:rPr>
                  </w:pPr>
                  <w:r>
                    <w:rPr>
                      <w:rFonts w:hint="default"/>
                      <w:b/>
                      <w:bCs/>
                      <w:color w:val="auto"/>
                    </w:rPr>
                    <w:t>政策名称</w:t>
                  </w:r>
                </w:p>
              </w:tc>
              <w:tc>
                <w:tcPr>
                  <w:tcW w:w="2233" w:type="pct"/>
                  <w:noWrap w:val="0"/>
                  <w:vAlign w:val="center"/>
                </w:tcPr>
                <w:p w14:paraId="099FA7FC">
                  <w:pPr>
                    <w:pStyle w:val="53"/>
                    <w:bidi w:val="0"/>
                    <w:rPr>
                      <w:rFonts w:hint="default"/>
                      <w:b/>
                      <w:bCs/>
                      <w:color w:val="auto"/>
                    </w:rPr>
                  </w:pPr>
                  <w:r>
                    <w:rPr>
                      <w:rFonts w:hint="default"/>
                      <w:b/>
                      <w:bCs/>
                      <w:color w:val="auto"/>
                    </w:rPr>
                    <w:t>内容</w:t>
                  </w:r>
                </w:p>
              </w:tc>
              <w:tc>
                <w:tcPr>
                  <w:tcW w:w="1300" w:type="pct"/>
                  <w:noWrap w:val="0"/>
                  <w:vAlign w:val="center"/>
                </w:tcPr>
                <w:p w14:paraId="58DDF7EB">
                  <w:pPr>
                    <w:pStyle w:val="53"/>
                    <w:bidi w:val="0"/>
                    <w:rPr>
                      <w:rFonts w:hint="default"/>
                      <w:b/>
                      <w:bCs/>
                      <w:color w:val="auto"/>
                    </w:rPr>
                  </w:pPr>
                  <w:r>
                    <w:rPr>
                      <w:rFonts w:hint="default"/>
                      <w:b/>
                      <w:bCs/>
                      <w:color w:val="auto"/>
                    </w:rPr>
                    <w:t>本项目情况</w:t>
                  </w:r>
                </w:p>
              </w:tc>
              <w:tc>
                <w:tcPr>
                  <w:tcW w:w="353" w:type="pct"/>
                  <w:noWrap w:val="0"/>
                  <w:vAlign w:val="center"/>
                </w:tcPr>
                <w:p w14:paraId="0D259F42">
                  <w:pPr>
                    <w:pStyle w:val="53"/>
                    <w:bidi w:val="0"/>
                    <w:rPr>
                      <w:rFonts w:hint="default"/>
                      <w:b/>
                      <w:bCs/>
                      <w:color w:val="auto"/>
                    </w:rPr>
                  </w:pPr>
                  <w:r>
                    <w:rPr>
                      <w:rFonts w:hint="default"/>
                      <w:b/>
                      <w:bCs/>
                      <w:color w:val="auto"/>
                    </w:rPr>
                    <w:t>符合性</w:t>
                  </w:r>
                </w:p>
              </w:tc>
            </w:tr>
            <w:tr w14:paraId="7C73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2" w:hRule="atLeast"/>
                <w:jc w:val="center"/>
              </w:trPr>
              <w:tc>
                <w:tcPr>
                  <w:tcW w:w="1112" w:type="pct"/>
                  <w:noWrap w:val="0"/>
                  <w:vAlign w:val="center"/>
                </w:tcPr>
                <w:p w14:paraId="3ED9D7E2">
                  <w:pPr>
                    <w:pStyle w:val="53"/>
                    <w:bidi w:val="0"/>
                    <w:rPr>
                      <w:rFonts w:hint="eastAsia"/>
                      <w:color w:val="auto"/>
                      <w:lang w:val="en-US" w:eastAsia="zh-CN"/>
                    </w:rPr>
                  </w:pPr>
                  <w:r>
                    <w:rPr>
                      <w:rFonts w:hint="eastAsia"/>
                      <w:color w:val="auto"/>
                    </w:rPr>
                    <w:t>《国务院关于印发“十四五”节能减排综合工作方案的通知》国发〔2021〕33号</w:t>
                  </w:r>
                </w:p>
                <w:p w14:paraId="209CB314">
                  <w:pPr>
                    <w:pStyle w:val="53"/>
                    <w:bidi w:val="0"/>
                    <w:ind w:left="0" w:leftChars="0" w:firstLine="0" w:firstLineChars="0"/>
                    <w:rPr>
                      <w:rFonts w:hint="default"/>
                      <w:color w:val="auto"/>
                      <w:lang w:val="en-US" w:eastAsia="zh-CN"/>
                    </w:rPr>
                  </w:pPr>
                </w:p>
              </w:tc>
              <w:tc>
                <w:tcPr>
                  <w:tcW w:w="2233" w:type="pct"/>
                  <w:noWrap w:val="0"/>
                  <w:vAlign w:val="center"/>
                </w:tcPr>
                <w:p w14:paraId="676B170D">
                  <w:pPr>
                    <w:pStyle w:val="53"/>
                    <w:bidi w:val="0"/>
                    <w:ind w:left="0" w:leftChars="0" w:firstLine="0" w:firstLineChars="0"/>
                    <w:rPr>
                      <w:rFonts w:hint="default"/>
                      <w:color w:val="auto"/>
                      <w:lang w:val="en-US" w:eastAsia="zh-CN"/>
                    </w:rPr>
                  </w:pPr>
                  <w:r>
                    <w:rPr>
                      <w:rFonts w:hint="eastAsia"/>
                      <w:color w:val="auto"/>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绿岛”项目建设。到2025年，建成一批节能环保示范园区。</w:t>
                  </w:r>
                </w:p>
              </w:tc>
              <w:tc>
                <w:tcPr>
                  <w:tcW w:w="1300" w:type="pct"/>
                  <w:noWrap w:val="0"/>
                  <w:vAlign w:val="center"/>
                </w:tcPr>
                <w:p w14:paraId="7AD067F8">
                  <w:pPr>
                    <w:pStyle w:val="53"/>
                    <w:bidi w:val="0"/>
                    <w:ind w:left="0" w:leftChars="0" w:firstLine="0" w:firstLineChars="0"/>
                    <w:rPr>
                      <w:rFonts w:hint="eastAsia"/>
                      <w:color w:val="auto"/>
                      <w:lang w:val="en-US" w:eastAsia="zh-CN"/>
                    </w:rPr>
                  </w:pPr>
                  <w:r>
                    <w:rPr>
                      <w:rFonts w:hint="default"/>
                      <w:color w:val="auto"/>
                    </w:rPr>
                    <w:t>本项目位于</w:t>
                  </w:r>
                  <w:r>
                    <w:rPr>
                      <w:rFonts w:hint="eastAsia"/>
                      <w:color w:val="auto"/>
                      <w:lang w:val="en-US" w:eastAsia="zh-CN"/>
                    </w:rPr>
                    <w:t>蔡家坡经济技术开发区</w:t>
                  </w:r>
                  <w:r>
                    <w:rPr>
                      <w:rFonts w:hint="eastAsia"/>
                      <w:color w:val="auto"/>
                    </w:rPr>
                    <w:t>，</w:t>
                  </w:r>
                  <w:r>
                    <w:rPr>
                      <w:rFonts w:hint="eastAsia"/>
                      <w:color w:val="auto"/>
                      <w:lang w:val="en-US" w:eastAsia="zh-CN"/>
                    </w:rPr>
                    <w:t>项目周边</w:t>
                  </w:r>
                  <w:r>
                    <w:rPr>
                      <w:rFonts w:hint="eastAsia"/>
                      <w:color w:val="auto"/>
                    </w:rPr>
                    <w:t>配套设施完善。项目生产过程使用电力能源，在落实环评报告提出的各项环保措施后各类污染物均可达标排放。</w:t>
                  </w:r>
                </w:p>
              </w:tc>
              <w:tc>
                <w:tcPr>
                  <w:tcW w:w="353" w:type="pct"/>
                  <w:noWrap w:val="0"/>
                  <w:vAlign w:val="center"/>
                </w:tcPr>
                <w:p w14:paraId="2674C4DE">
                  <w:pPr>
                    <w:pStyle w:val="53"/>
                    <w:bidi w:val="0"/>
                    <w:rPr>
                      <w:rFonts w:hint="eastAsia"/>
                      <w:color w:val="auto"/>
                      <w:lang w:val="en-US" w:eastAsia="zh-CN"/>
                    </w:rPr>
                  </w:pPr>
                  <w:r>
                    <w:rPr>
                      <w:rFonts w:hint="default"/>
                      <w:color w:val="auto"/>
                    </w:rPr>
                    <w:t>符合</w:t>
                  </w:r>
                </w:p>
              </w:tc>
            </w:tr>
            <w:tr w14:paraId="0826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1112" w:type="pct"/>
                  <w:vMerge w:val="restart"/>
                  <w:noWrap w:val="0"/>
                  <w:vAlign w:val="center"/>
                </w:tcPr>
                <w:p w14:paraId="4C1AE46C">
                  <w:pPr>
                    <w:pStyle w:val="53"/>
                    <w:bidi w:val="0"/>
                    <w:rPr>
                      <w:rFonts w:hint="eastAsia" w:ascii="Times New Roman" w:hAnsi="Times New Roman" w:eastAsia="宋体" w:cs="Times New Roman"/>
                      <w:color w:val="auto"/>
                    </w:rPr>
                  </w:pPr>
                  <w:r>
                    <w:rPr>
                      <w:rFonts w:hint="eastAsia" w:ascii="Times New Roman" w:hAnsi="Times New Roman" w:eastAsia="宋体" w:cs="Times New Roman"/>
                      <w:color w:val="auto"/>
                    </w:rPr>
                    <w:t>《工业炉窑大气污染综合治理方案》环大气</w:t>
                  </w:r>
                </w:p>
                <w:p w14:paraId="6E6B4DB4">
                  <w:pPr>
                    <w:pStyle w:val="5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〔2019〕56号</w:t>
                  </w:r>
                </w:p>
              </w:tc>
              <w:tc>
                <w:tcPr>
                  <w:tcW w:w="2233" w:type="pct"/>
                  <w:noWrap w:val="0"/>
                  <w:vAlign w:val="center"/>
                </w:tcPr>
                <w:p w14:paraId="3F47231D">
                  <w:pPr>
                    <w:pStyle w:val="5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重点区域严格控制涉工业炉窑建设项目，严禁新增钢铁、焦化、电解铝、铸造、水泥和平板玻璃等产能</w:t>
                  </w:r>
                </w:p>
              </w:tc>
              <w:tc>
                <w:tcPr>
                  <w:tcW w:w="1300" w:type="pct"/>
                  <w:shd w:val="clear" w:color="auto" w:fill="auto"/>
                  <w:noWrap w:val="0"/>
                  <w:vAlign w:val="center"/>
                </w:tcPr>
                <w:p w14:paraId="1547396F">
                  <w:pPr>
                    <w:pStyle w:val="5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本项目不属于钢铁、焦化、电解铝、铸造、水泥和平板玻璃等行业。</w:t>
                  </w:r>
                </w:p>
              </w:tc>
              <w:tc>
                <w:tcPr>
                  <w:tcW w:w="353" w:type="pct"/>
                  <w:noWrap w:val="0"/>
                  <w:vAlign w:val="center"/>
                </w:tcPr>
                <w:p w14:paraId="74AF0278">
                  <w:pPr>
                    <w:pStyle w:val="53"/>
                    <w:bidi w:val="0"/>
                    <w:rPr>
                      <w:rFonts w:hint="eastAsia"/>
                      <w:color w:val="auto"/>
                      <w:lang w:val="en-US" w:eastAsia="zh-CN"/>
                    </w:rPr>
                  </w:pPr>
                  <w:r>
                    <w:rPr>
                      <w:rFonts w:hint="eastAsia"/>
                      <w:color w:val="auto"/>
                      <w:lang w:val="en-US" w:eastAsia="zh-CN"/>
                    </w:rPr>
                    <w:t>符合</w:t>
                  </w:r>
                </w:p>
              </w:tc>
            </w:tr>
            <w:tr w14:paraId="3B65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1112" w:type="pct"/>
                  <w:vMerge w:val="continue"/>
                  <w:noWrap w:val="0"/>
                  <w:vAlign w:val="center"/>
                </w:tcPr>
                <w:p w14:paraId="1A5149B7">
                  <w:pPr>
                    <w:pStyle w:val="53"/>
                    <w:bidi w:val="0"/>
                    <w:rPr>
                      <w:rFonts w:hint="eastAsia" w:ascii="Times New Roman" w:hAnsi="Times New Roman" w:eastAsia="宋体" w:cs="Times New Roman"/>
                      <w:color w:val="auto"/>
                    </w:rPr>
                  </w:pPr>
                </w:p>
              </w:tc>
              <w:tc>
                <w:tcPr>
                  <w:tcW w:w="2233" w:type="pct"/>
                  <w:noWrap w:val="0"/>
                  <w:vAlign w:val="center"/>
                </w:tcPr>
                <w:p w14:paraId="75FC2F33">
                  <w:pPr>
                    <w:pStyle w:val="5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加快淘汰燃煤工业炉窑。重点区域取缔燃煤热风炉，基本淘汰热电联产供热管网覆盖范围内的燃煤加热、烘干炉（窑）。</w:t>
                  </w:r>
                </w:p>
              </w:tc>
              <w:tc>
                <w:tcPr>
                  <w:tcW w:w="1300" w:type="pct"/>
                  <w:shd w:val="clear" w:color="auto" w:fill="auto"/>
                  <w:noWrap w:val="0"/>
                  <w:vAlign w:val="center"/>
                </w:tcPr>
                <w:p w14:paraId="6B6BC55A">
                  <w:pPr>
                    <w:pStyle w:val="5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本项目采用电加热及天然气加热方式，不涉及燃煤。</w:t>
                  </w:r>
                </w:p>
              </w:tc>
              <w:tc>
                <w:tcPr>
                  <w:tcW w:w="353" w:type="pct"/>
                  <w:noWrap w:val="0"/>
                  <w:vAlign w:val="center"/>
                </w:tcPr>
                <w:p w14:paraId="792D8CA1">
                  <w:pPr>
                    <w:pStyle w:val="53"/>
                    <w:bidi w:val="0"/>
                    <w:ind w:left="0" w:leftChars="0" w:firstLine="0" w:firstLineChars="0"/>
                    <w:rPr>
                      <w:rFonts w:hint="eastAsia"/>
                      <w:color w:val="auto"/>
                      <w:lang w:val="en-US" w:eastAsia="zh-CN"/>
                    </w:rPr>
                  </w:pPr>
                  <w:r>
                    <w:rPr>
                      <w:rFonts w:hint="default"/>
                      <w:color w:val="auto"/>
                    </w:rPr>
                    <w:t>符合</w:t>
                  </w:r>
                </w:p>
              </w:tc>
            </w:tr>
            <w:tr w14:paraId="604D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112" w:type="pct"/>
                  <w:vMerge w:val="continue"/>
                  <w:noWrap w:val="0"/>
                  <w:vAlign w:val="center"/>
                </w:tcPr>
                <w:p w14:paraId="3F0D675F">
                  <w:pPr>
                    <w:pStyle w:val="53"/>
                    <w:bidi w:val="0"/>
                    <w:rPr>
                      <w:rFonts w:hint="eastAsia" w:ascii="Times New Roman" w:hAnsi="Times New Roman" w:eastAsia="宋体" w:cs="Times New Roman"/>
                      <w:color w:val="auto"/>
                      <w:lang w:val="en-US" w:eastAsia="zh-CN"/>
                    </w:rPr>
                  </w:pPr>
                </w:p>
              </w:tc>
              <w:tc>
                <w:tcPr>
                  <w:tcW w:w="2233" w:type="pct"/>
                  <w:noWrap w:val="0"/>
                  <w:vAlign w:val="center"/>
                </w:tcPr>
                <w:p w14:paraId="4411820F">
                  <w:pPr>
                    <w:pStyle w:val="5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新建涉工业炉窑的建设项目，原则上要入园区，配套建设高效环境治理设施</w:t>
                  </w:r>
                </w:p>
              </w:tc>
              <w:tc>
                <w:tcPr>
                  <w:tcW w:w="1300" w:type="pct"/>
                  <w:shd w:val="clear" w:color="auto" w:fill="auto"/>
                  <w:noWrap w:val="0"/>
                  <w:vAlign w:val="center"/>
                </w:tcPr>
                <w:p w14:paraId="40CFDE46">
                  <w:pPr>
                    <w:pStyle w:val="5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本项目</w:t>
                  </w:r>
                  <w:r>
                    <w:rPr>
                      <w:rFonts w:hint="eastAsia" w:cs="Times New Roman"/>
                      <w:color w:val="auto"/>
                      <w:lang w:val="en-US" w:eastAsia="zh-CN"/>
                    </w:rPr>
                    <w:t>热处理炉配备低氮燃烧技术，废气经环保措施处理后可达标排放</w:t>
                  </w:r>
                </w:p>
              </w:tc>
              <w:tc>
                <w:tcPr>
                  <w:tcW w:w="353" w:type="pct"/>
                  <w:noWrap w:val="0"/>
                  <w:vAlign w:val="center"/>
                </w:tcPr>
                <w:p w14:paraId="088F97C6">
                  <w:pPr>
                    <w:pStyle w:val="53"/>
                    <w:bidi w:val="0"/>
                    <w:ind w:left="0" w:leftChars="0" w:firstLine="0" w:firstLineChars="0"/>
                    <w:rPr>
                      <w:rFonts w:hint="eastAsia"/>
                      <w:color w:val="auto"/>
                      <w:lang w:val="en-US" w:eastAsia="zh-CN"/>
                    </w:rPr>
                  </w:pPr>
                  <w:r>
                    <w:rPr>
                      <w:rFonts w:hint="default"/>
                      <w:color w:val="auto"/>
                    </w:rPr>
                    <w:t>符合</w:t>
                  </w:r>
                </w:p>
              </w:tc>
            </w:tr>
            <w:tr w14:paraId="7A06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112" w:type="pct"/>
                  <w:vMerge w:val="restart"/>
                  <w:noWrap w:val="0"/>
                  <w:vAlign w:val="center"/>
                </w:tcPr>
                <w:p w14:paraId="78A6E602">
                  <w:pPr>
                    <w:pStyle w:val="53"/>
                    <w:bidi w:val="0"/>
                    <w:rPr>
                      <w:rFonts w:hint="default" w:eastAsia="宋体"/>
                      <w:color w:val="auto"/>
                      <w:lang w:val="en-US" w:eastAsia="zh-CN"/>
                    </w:rPr>
                  </w:pPr>
                  <w:r>
                    <w:rPr>
                      <w:rFonts w:hint="eastAsia"/>
                      <w:color w:val="auto"/>
                    </w:rPr>
                    <w:t>《</w:t>
                  </w:r>
                  <w:r>
                    <w:rPr>
                      <w:rFonts w:hint="eastAsia"/>
                      <w:color w:val="auto"/>
                      <w:lang w:val="en-US" w:eastAsia="zh-CN"/>
                    </w:rPr>
                    <w:t>宝鸡市</w:t>
                  </w:r>
                  <w:r>
                    <w:rPr>
                      <w:rFonts w:hint="eastAsia"/>
                      <w:color w:val="auto"/>
                    </w:rPr>
                    <w:t>大气污染治理专项行动工作方案（2023-2027年）》</w:t>
                  </w:r>
                </w:p>
              </w:tc>
              <w:tc>
                <w:tcPr>
                  <w:tcW w:w="2233" w:type="pct"/>
                  <w:noWrap w:val="0"/>
                  <w:vAlign w:val="center"/>
                </w:tcPr>
                <w:p w14:paraId="0CECDF02">
                  <w:pPr>
                    <w:pStyle w:val="53"/>
                    <w:bidi w:val="0"/>
                    <w:rPr>
                      <w:rFonts w:hint="default"/>
                      <w:color w:val="auto"/>
                      <w:lang w:val="en-US" w:eastAsia="zh-CN"/>
                    </w:rPr>
                  </w:pPr>
                  <w:r>
                    <w:rPr>
                      <w:rFonts w:hint="eastAsia"/>
                      <w:color w:val="auto"/>
                    </w:rPr>
                    <w:t>产业发展结构调整。</w:t>
                  </w:r>
                  <w:r>
                    <w:rPr>
                      <w:rFonts w:hint="eastAsia"/>
                      <w:color w:val="auto"/>
                      <w:lang w:val="en-US" w:eastAsia="zh-CN"/>
                    </w:rPr>
                    <w:t>严禁新增钢铁、焦化、水泥熟料、平板玻璃、电解铝、氧化铝、煤化工产能，合理控制煤制油气产能规模，严控新增炼油产能。不得违规新增化工园区。严格执行《产业结构调整指导目录》，坚决遏制“两高”项目盲目发展，严格落实国家产业规划、产业政策、“三线一单”、规划环评以及产能置换、煤炭消费减量替代、区域污染物削减等要求，严禁不符合规定的项目建设。</w:t>
                  </w:r>
                </w:p>
              </w:tc>
              <w:tc>
                <w:tcPr>
                  <w:tcW w:w="1300" w:type="pct"/>
                  <w:noWrap w:val="0"/>
                  <w:vAlign w:val="center"/>
                </w:tcPr>
                <w:p w14:paraId="517600BA">
                  <w:pPr>
                    <w:pStyle w:val="53"/>
                    <w:bidi w:val="0"/>
                    <w:rPr>
                      <w:rFonts w:hint="eastAsia"/>
                      <w:color w:val="auto"/>
                      <w:lang w:val="en-US" w:eastAsia="zh-CN"/>
                    </w:rPr>
                  </w:pPr>
                  <w:r>
                    <w:rPr>
                      <w:rFonts w:hint="eastAsia"/>
                      <w:color w:val="auto"/>
                      <w:lang w:val="en-US" w:eastAsia="zh-CN"/>
                    </w:rPr>
                    <w:t>本项目为汽车零部件及配件制造。</w:t>
                  </w:r>
                  <w:r>
                    <w:rPr>
                      <w:color w:val="auto"/>
                    </w:rPr>
                    <w:t>根据《陕西省</w:t>
                  </w:r>
                  <w:r>
                    <w:rPr>
                      <w:rFonts w:hint="eastAsia"/>
                      <w:color w:val="auto"/>
                      <w:lang w:eastAsia="zh-CN"/>
                    </w:rPr>
                    <w:t>“</w:t>
                  </w:r>
                  <w:r>
                    <w:rPr>
                      <w:color w:val="auto"/>
                    </w:rPr>
                    <w:t>两高</w:t>
                  </w:r>
                  <w:r>
                    <w:rPr>
                      <w:rFonts w:hint="eastAsia"/>
                      <w:color w:val="auto"/>
                      <w:lang w:eastAsia="zh-CN"/>
                    </w:rPr>
                    <w:t>”</w:t>
                  </w:r>
                  <w:r>
                    <w:rPr>
                      <w:color w:val="auto"/>
                    </w:rPr>
                    <w:t>项目管理暂行目录》界定，</w:t>
                  </w:r>
                  <w:r>
                    <w:rPr>
                      <w:rFonts w:hint="default"/>
                      <w:color w:val="auto"/>
                    </w:rPr>
                    <w:t>本项目不纳入高耗能、高排放项目范畴，亦不属于钢铁、焦化、水泥熟料、平板玻璃、电解铝、氧化铝、煤化工、炼油等行业。</w:t>
                  </w:r>
                </w:p>
              </w:tc>
              <w:tc>
                <w:tcPr>
                  <w:tcW w:w="353" w:type="pct"/>
                  <w:noWrap w:val="0"/>
                  <w:vAlign w:val="center"/>
                </w:tcPr>
                <w:p w14:paraId="6B3005AA">
                  <w:pPr>
                    <w:pStyle w:val="53"/>
                    <w:bidi w:val="0"/>
                    <w:rPr>
                      <w:rFonts w:hint="default"/>
                      <w:color w:val="auto"/>
                      <w:lang w:val="en-US" w:eastAsia="zh-CN"/>
                    </w:rPr>
                  </w:pPr>
                  <w:r>
                    <w:rPr>
                      <w:rFonts w:hint="default"/>
                      <w:color w:val="auto"/>
                    </w:rPr>
                    <w:t>符合</w:t>
                  </w:r>
                </w:p>
              </w:tc>
            </w:tr>
            <w:tr w14:paraId="321D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2" w:hRule="atLeast"/>
                <w:jc w:val="center"/>
              </w:trPr>
              <w:tc>
                <w:tcPr>
                  <w:tcW w:w="1112" w:type="pct"/>
                  <w:vMerge w:val="continue"/>
                  <w:noWrap w:val="0"/>
                  <w:vAlign w:val="center"/>
                </w:tcPr>
                <w:p w14:paraId="63BE1196">
                  <w:pPr>
                    <w:pStyle w:val="53"/>
                    <w:bidi w:val="0"/>
                    <w:rPr>
                      <w:rFonts w:hint="default"/>
                      <w:color w:val="auto"/>
                    </w:rPr>
                  </w:pPr>
                </w:p>
              </w:tc>
              <w:tc>
                <w:tcPr>
                  <w:tcW w:w="2233" w:type="pct"/>
                  <w:noWrap w:val="0"/>
                  <w:vAlign w:val="center"/>
                </w:tcPr>
                <w:p w14:paraId="35FD5A2E">
                  <w:pPr>
                    <w:pStyle w:val="53"/>
                    <w:bidi w:val="0"/>
                    <w:rPr>
                      <w:rFonts w:hint="default"/>
                      <w:color w:val="auto"/>
                      <w:lang w:val="en-US" w:eastAsia="zh-CN"/>
                    </w:rPr>
                  </w:pPr>
                  <w:r>
                    <w:rPr>
                      <w:rFonts w:hint="default"/>
                      <w:color w:val="auto"/>
                      <w:lang w:val="en-US" w:eastAsia="zh-CN"/>
                    </w:rPr>
                    <w:t>以城市建成区为重点，逐步扩大禁燃区范围。2024年底前，各县</w:t>
                  </w:r>
                  <w:r>
                    <w:rPr>
                      <w:rFonts w:hint="eastAsia"/>
                      <w:color w:val="auto"/>
                      <w:lang w:val="en-US" w:eastAsia="zh-CN"/>
                    </w:rPr>
                    <w:t>（</w:t>
                  </w:r>
                  <w:r>
                    <w:rPr>
                      <w:rFonts w:hint="default"/>
                      <w:color w:val="auto"/>
                      <w:lang w:val="en-US" w:eastAsia="zh-CN"/>
                    </w:rPr>
                    <w:t>区</w:t>
                  </w:r>
                  <w:r>
                    <w:rPr>
                      <w:rFonts w:hint="eastAsia"/>
                      <w:color w:val="auto"/>
                      <w:lang w:val="en-US" w:eastAsia="zh-CN"/>
                    </w:rPr>
                    <w:t>）</w:t>
                  </w:r>
                  <w:r>
                    <w:rPr>
                      <w:rFonts w:hint="default"/>
                      <w:color w:val="auto"/>
                      <w:lang w:val="en-US" w:eastAsia="zh-CN"/>
                    </w:rPr>
                    <w:t>应依法将平原地区划定为高污染燃料禁燃区。禁燃区禁止销售、使用高污染燃料</w:t>
                  </w:r>
                  <w:r>
                    <w:rPr>
                      <w:rFonts w:hint="eastAsia"/>
                      <w:color w:val="auto"/>
                      <w:lang w:val="en-US" w:eastAsia="zh-CN"/>
                    </w:rPr>
                    <w:t>（</w:t>
                  </w:r>
                  <w:r>
                    <w:rPr>
                      <w:rFonts w:hint="default"/>
                      <w:color w:val="auto"/>
                      <w:lang w:val="en-US" w:eastAsia="zh-CN"/>
                    </w:rPr>
                    <w:t>35蒸吨及以上锅炉、火力发电企业机组除外</w:t>
                  </w:r>
                  <w:r>
                    <w:rPr>
                      <w:rFonts w:hint="eastAsia"/>
                      <w:color w:val="auto"/>
                      <w:lang w:val="en-US" w:eastAsia="zh-CN"/>
                    </w:rPr>
                    <w:t>）</w:t>
                  </w:r>
                  <w:r>
                    <w:rPr>
                      <w:rFonts w:hint="default"/>
                      <w:color w:val="auto"/>
                      <w:lang w:val="en-US" w:eastAsia="zh-CN"/>
                    </w:rPr>
                    <w:t>。</w:t>
                  </w:r>
                </w:p>
              </w:tc>
              <w:tc>
                <w:tcPr>
                  <w:tcW w:w="1300" w:type="pct"/>
                  <w:noWrap w:val="0"/>
                  <w:vAlign w:val="center"/>
                </w:tcPr>
                <w:p w14:paraId="06008B00">
                  <w:pPr>
                    <w:pStyle w:val="53"/>
                    <w:bidi w:val="0"/>
                    <w:rPr>
                      <w:rFonts w:hint="default"/>
                      <w:color w:val="auto"/>
                      <w:lang w:val="en-US" w:eastAsia="zh-CN"/>
                    </w:rPr>
                  </w:pPr>
                  <w:r>
                    <w:rPr>
                      <w:rFonts w:hint="eastAsia"/>
                      <w:color w:val="auto"/>
                      <w:highlight w:val="none"/>
                      <w:lang w:val="en-US" w:eastAsia="zh-CN"/>
                    </w:rPr>
                    <w:t>本项目为汽车零部件及配件制造，生产工序不涉及高污染燃料。</w:t>
                  </w:r>
                </w:p>
              </w:tc>
              <w:tc>
                <w:tcPr>
                  <w:tcW w:w="353" w:type="pct"/>
                  <w:noWrap w:val="0"/>
                  <w:vAlign w:val="center"/>
                </w:tcPr>
                <w:p w14:paraId="0E143046">
                  <w:pPr>
                    <w:pStyle w:val="53"/>
                    <w:bidi w:val="0"/>
                    <w:rPr>
                      <w:rFonts w:hint="default"/>
                      <w:color w:val="auto"/>
                      <w:lang w:val="en-US" w:eastAsia="zh-CN"/>
                    </w:rPr>
                  </w:pPr>
                  <w:r>
                    <w:rPr>
                      <w:rFonts w:hint="eastAsia"/>
                      <w:color w:val="auto"/>
                      <w:lang w:val="en-US" w:eastAsia="zh-CN"/>
                    </w:rPr>
                    <w:t>符合</w:t>
                  </w:r>
                </w:p>
              </w:tc>
            </w:tr>
            <w:tr w14:paraId="182E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112" w:type="pct"/>
                  <w:noWrap w:val="0"/>
                  <w:vAlign w:val="center"/>
                </w:tcPr>
                <w:p w14:paraId="1776BD45">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岐山县</w:t>
                  </w:r>
                  <w:r>
                    <w:rPr>
                      <w:rFonts w:hint="default" w:ascii="Times New Roman" w:hAnsi="Times New Roman" w:eastAsia="宋体" w:cs="Times New Roman"/>
                      <w:color w:val="auto"/>
                      <w:lang w:val="en-US" w:eastAsia="zh-CN"/>
                    </w:rPr>
                    <w:t>大气污染治理专项行动方案（2023—2027年）》</w:t>
                  </w:r>
                </w:p>
              </w:tc>
              <w:tc>
                <w:tcPr>
                  <w:tcW w:w="2233" w:type="pct"/>
                  <w:noWrap w:val="0"/>
                  <w:vAlign w:val="center"/>
                </w:tcPr>
                <w:p w14:paraId="5C3B8F0E">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产业发展结构调整。严禁新增钢铁、焦化、水泥熟料、平板玻璃、电解铝、氧化铝、煤化工产能。不得新增化工园区。严格执行《产业结构调整指导目录》，坚决遏制</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两高</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项目盲目发展，严格落实国家产业规划、产业政策、</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三线一单</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、规划环评以及产能置换、煤炭消费减量替代、区域污染物削减等要求，严禁不符合规定的项目建设。</w:t>
                  </w:r>
                </w:p>
              </w:tc>
              <w:tc>
                <w:tcPr>
                  <w:tcW w:w="1300" w:type="pct"/>
                  <w:noWrap w:val="0"/>
                  <w:vAlign w:val="center"/>
                </w:tcPr>
                <w:p w14:paraId="73E7052E">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项目不属于钢铁、焦化、水泥熟料、平板玻璃、电解铝、氧化铝、煤化工</w:t>
                  </w:r>
                  <w:r>
                    <w:rPr>
                      <w:rFonts w:hint="eastAsia" w:ascii="Times New Roman" w:hAnsi="Times New Roman" w:eastAsia="宋体" w:cs="Times New Roman"/>
                      <w:color w:val="auto"/>
                      <w:lang w:val="en-US" w:eastAsia="zh-CN"/>
                    </w:rPr>
                    <w:t>；本项目不属于《市场准入负面清单》（2022版）中“禁止准入类”，项目建设符合宝鸡</w:t>
                  </w:r>
                </w:p>
                <w:p w14:paraId="119F4462">
                  <w:pPr>
                    <w:pStyle w:val="5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市“三线一单”生态环境分区管控方案要求</w:t>
                  </w:r>
                  <w:r>
                    <w:rPr>
                      <w:rFonts w:hint="default" w:ascii="Times New Roman" w:hAnsi="Times New Roman" w:eastAsia="宋体" w:cs="Times New Roman"/>
                      <w:color w:val="auto"/>
                      <w:lang w:val="en-US" w:eastAsia="zh-CN"/>
                    </w:rPr>
                    <w:t>。</w:t>
                  </w:r>
                </w:p>
              </w:tc>
              <w:tc>
                <w:tcPr>
                  <w:tcW w:w="353" w:type="pct"/>
                  <w:noWrap w:val="0"/>
                  <w:vAlign w:val="center"/>
                </w:tcPr>
                <w:p w14:paraId="0717D764">
                  <w:pPr>
                    <w:pStyle w:val="53"/>
                    <w:bidi w:val="0"/>
                    <w:rPr>
                      <w:rFonts w:hint="default"/>
                      <w:color w:val="auto"/>
                      <w:lang w:val="en-US" w:eastAsia="zh-CN"/>
                    </w:rPr>
                  </w:pPr>
                  <w:r>
                    <w:rPr>
                      <w:rFonts w:hint="default"/>
                      <w:color w:val="auto"/>
                    </w:rPr>
                    <w:t>符合</w:t>
                  </w:r>
                </w:p>
              </w:tc>
            </w:tr>
            <w:tr w14:paraId="78D0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112" w:type="pct"/>
                  <w:vMerge w:val="restart"/>
                  <w:noWrap w:val="0"/>
                  <w:vAlign w:val="center"/>
                </w:tcPr>
                <w:p w14:paraId="6F63D210">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《陕西省噪声污染防治行动计划》</w:t>
                  </w:r>
                </w:p>
              </w:tc>
              <w:tc>
                <w:tcPr>
                  <w:tcW w:w="2233" w:type="pct"/>
                  <w:noWrap w:val="0"/>
                  <w:vAlign w:val="center"/>
                </w:tcPr>
                <w:p w14:paraId="0D17CCB8">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8.严格落实噪声污染防治要求。可能产生噪声污染的新改扩建项目应当依法开展环评，符合相关规划环评管控要求。建设项目的噪声污染防治设施应当与主体工程同时设计、同时施工、同时投产使用。</w:t>
                  </w:r>
                </w:p>
              </w:tc>
              <w:tc>
                <w:tcPr>
                  <w:tcW w:w="1300" w:type="pct"/>
                  <w:noWrap w:val="0"/>
                  <w:vAlign w:val="center"/>
                </w:tcPr>
                <w:p w14:paraId="3D23DF5C">
                  <w:pPr>
                    <w:pStyle w:val="53"/>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项目环评正在办理中，项目噪声防治措施与主体工程同时设计、同时施工、同时投产使用。</w:t>
                  </w:r>
                </w:p>
              </w:tc>
              <w:tc>
                <w:tcPr>
                  <w:tcW w:w="353" w:type="pct"/>
                  <w:noWrap w:val="0"/>
                  <w:vAlign w:val="center"/>
                </w:tcPr>
                <w:p w14:paraId="0568E59C">
                  <w:pPr>
                    <w:pStyle w:val="53"/>
                    <w:bidi w:val="0"/>
                    <w:rPr>
                      <w:rFonts w:hint="default"/>
                      <w:color w:val="auto"/>
                    </w:rPr>
                  </w:pPr>
                </w:p>
              </w:tc>
            </w:tr>
            <w:tr w14:paraId="518E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112" w:type="pct"/>
                  <w:vMerge w:val="continue"/>
                  <w:noWrap w:val="0"/>
                  <w:vAlign w:val="center"/>
                </w:tcPr>
                <w:p w14:paraId="53F7CCB0">
                  <w:pPr>
                    <w:pStyle w:val="53"/>
                    <w:bidi w:val="0"/>
                    <w:rPr>
                      <w:rFonts w:hint="default" w:ascii="Times New Roman" w:hAnsi="Times New Roman" w:eastAsia="宋体" w:cs="Times New Roman"/>
                      <w:color w:val="auto"/>
                      <w:lang w:val="en-US" w:eastAsia="zh-CN"/>
                    </w:rPr>
                  </w:pPr>
                </w:p>
              </w:tc>
              <w:tc>
                <w:tcPr>
                  <w:tcW w:w="2233" w:type="pct"/>
                  <w:noWrap w:val="0"/>
                  <w:vAlign w:val="center"/>
                </w:tcPr>
                <w:p w14:paraId="6F905EE6">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1300" w:type="pct"/>
                  <w:noWrap w:val="0"/>
                  <w:vAlign w:val="center"/>
                </w:tcPr>
                <w:p w14:paraId="2F4817B5">
                  <w:pPr>
                    <w:pStyle w:val="53"/>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项目建设过</w:t>
                  </w:r>
                  <w:r>
                    <w:rPr>
                      <w:rFonts w:hint="eastAsia" w:ascii="Times New Roman" w:hAnsi="Times New Roman" w:eastAsia="宋体" w:cs="Times New Roman"/>
                      <w:color w:val="auto"/>
                      <w:lang w:val="en-US" w:eastAsia="zh-CN"/>
                    </w:rPr>
                    <w:t>程中</w:t>
                  </w:r>
                  <w:r>
                    <w:rPr>
                      <w:rFonts w:hint="default" w:ascii="Times New Roman" w:hAnsi="Times New Roman" w:eastAsia="宋体" w:cs="Times New Roman"/>
                      <w:color w:val="auto"/>
                      <w:lang w:val="en-US" w:eastAsia="zh-CN"/>
                    </w:rPr>
                    <w:t>落实噪声防治措施，运行期加强厂区噪声管理，项目落实噪声防治措施，经厂房隔声和距离衰减后影响不大。</w:t>
                  </w:r>
                </w:p>
              </w:tc>
              <w:tc>
                <w:tcPr>
                  <w:tcW w:w="353" w:type="pct"/>
                  <w:noWrap w:val="0"/>
                  <w:vAlign w:val="center"/>
                </w:tcPr>
                <w:p w14:paraId="6E5BAC20">
                  <w:pPr>
                    <w:pStyle w:val="53"/>
                    <w:bidi w:val="0"/>
                    <w:rPr>
                      <w:rFonts w:hint="default"/>
                      <w:color w:val="auto"/>
                    </w:rPr>
                  </w:pPr>
                </w:p>
              </w:tc>
            </w:tr>
            <w:tr w14:paraId="1EF1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112" w:type="pct"/>
                  <w:vMerge w:val="continue"/>
                  <w:noWrap w:val="0"/>
                  <w:vAlign w:val="center"/>
                </w:tcPr>
                <w:p w14:paraId="6CC131F0">
                  <w:pPr>
                    <w:pStyle w:val="53"/>
                    <w:bidi w:val="0"/>
                    <w:rPr>
                      <w:rFonts w:hint="default" w:ascii="Times New Roman" w:hAnsi="Times New Roman" w:eastAsia="宋体" w:cs="Times New Roman"/>
                      <w:color w:val="auto"/>
                      <w:lang w:val="en-US" w:eastAsia="zh-CN"/>
                    </w:rPr>
                  </w:pPr>
                </w:p>
              </w:tc>
              <w:tc>
                <w:tcPr>
                  <w:tcW w:w="2233" w:type="pct"/>
                  <w:noWrap w:val="0"/>
                  <w:vAlign w:val="center"/>
                </w:tcPr>
                <w:p w14:paraId="0F398809">
                  <w:pPr>
                    <w:pStyle w:val="5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加严噪声敏感建筑物集中区域施工要求。噪声敏感建筑物集中区域的施工场地应优先使用低噪声施工工艺和设备，采取减振降噪措施，加强进出场地运输车辆管理。建设单位应根据国家规定设置噪声自动监测系统，与监督管理部门联网。20.加强夜间施工噪声管控。严格夜间施工噪声管控，完善夜间施工证明申报、审核、时限及施工管理要求，并依法进行公示公告。鼓励各市探索实施重点项目昼间通行保障措施，减少夜间施工扰民。开展夜间施工噪声专项执法整治，建立施工噪声投诉、违法处罚情况日常考核制度和定期通报制度，实施信用扣分。</w:t>
                  </w:r>
                </w:p>
              </w:tc>
              <w:tc>
                <w:tcPr>
                  <w:tcW w:w="1300" w:type="pct"/>
                  <w:noWrap w:val="0"/>
                  <w:vAlign w:val="center"/>
                </w:tcPr>
                <w:p w14:paraId="73D55AA0">
                  <w:pPr>
                    <w:pStyle w:val="53"/>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项目施工期禁止22:00以后施工，同时加强施工期运输车辆管理，不会对周边产生大的噪声影响。</w:t>
                  </w:r>
                </w:p>
              </w:tc>
              <w:tc>
                <w:tcPr>
                  <w:tcW w:w="353" w:type="pct"/>
                  <w:noWrap w:val="0"/>
                  <w:vAlign w:val="center"/>
                </w:tcPr>
                <w:p w14:paraId="09CEB4A0">
                  <w:pPr>
                    <w:pStyle w:val="53"/>
                    <w:bidi w:val="0"/>
                    <w:rPr>
                      <w:rFonts w:hint="default"/>
                      <w:color w:val="auto"/>
                    </w:rPr>
                  </w:pPr>
                </w:p>
              </w:tc>
            </w:tr>
          </w:tbl>
          <w:p w14:paraId="55A89A7F">
            <w:pPr>
              <w:numPr>
                <w:ilvl w:val="0"/>
                <w:numId w:val="4"/>
              </w:numPr>
              <w:bidi w:val="0"/>
              <w:ind w:left="0" w:leftChars="0" w:firstLine="482" w:firstLineChars="200"/>
              <w:rPr>
                <w:rFonts w:hint="eastAsia"/>
                <w:b/>
                <w:bCs/>
                <w:color w:val="auto"/>
                <w:lang w:val="en-US" w:eastAsia="zh-CN"/>
              </w:rPr>
            </w:pPr>
            <w:r>
              <w:rPr>
                <w:rFonts w:hint="eastAsia"/>
                <w:b/>
                <w:bCs/>
                <w:color w:val="auto"/>
                <w:lang w:val="en-US" w:eastAsia="zh-CN"/>
              </w:rPr>
              <w:t>选址合理性分析</w:t>
            </w:r>
          </w:p>
          <w:p w14:paraId="1E22388D">
            <w:pPr>
              <w:bidi w:val="0"/>
              <w:rPr>
                <w:rFonts w:hint="eastAsia"/>
                <w:color w:val="auto"/>
                <w:lang w:val="en-US" w:eastAsia="zh-CN"/>
              </w:rPr>
            </w:pPr>
            <w:r>
              <w:rPr>
                <w:rFonts w:hint="eastAsia"/>
                <w:color w:val="auto"/>
                <w:lang w:val="en-US" w:eastAsia="zh-CN"/>
              </w:rPr>
              <w:t>（1）项目用地：本项目选址位于陕西省宝鸡市岐山县蔡家坡经济技术开发区百万平米标准化厂房产业园，项目用地为工业用地，符合项目建设用地要求。</w:t>
            </w:r>
          </w:p>
          <w:p w14:paraId="21E0310C">
            <w:pPr>
              <w:bidi w:val="0"/>
              <w:rPr>
                <w:rFonts w:hint="eastAsia"/>
                <w:color w:val="auto"/>
                <w:lang w:val="en-US" w:eastAsia="zh-CN"/>
              </w:rPr>
            </w:pPr>
            <w:r>
              <w:rPr>
                <w:rFonts w:hint="eastAsia"/>
                <w:color w:val="auto"/>
                <w:lang w:val="en-US" w:eastAsia="zh-CN"/>
              </w:rPr>
              <w:t>（2）环境敏感性：项目所在区域不属于自然保护区、森林公园、风景名胜区、世界文化自然遗产、地质公园等禁止开发的生态红线区、重点保护生态红线区以及脆弱生态保护红线区内，项目建设不会占用生态红线保护区。</w:t>
            </w:r>
          </w:p>
          <w:p w14:paraId="30C65933">
            <w:pPr>
              <w:bidi w:val="0"/>
              <w:rPr>
                <w:rFonts w:hint="eastAsia"/>
                <w:color w:val="auto"/>
                <w:lang w:val="en-US" w:eastAsia="zh-CN"/>
              </w:rPr>
            </w:pPr>
            <w:r>
              <w:rPr>
                <w:rFonts w:hint="eastAsia"/>
                <w:color w:val="auto"/>
                <w:lang w:val="en-US" w:eastAsia="zh-CN"/>
              </w:rPr>
              <w:t>（3）环境区划功能符合性：项目所在地不属于水源保护区；项目所在区域环境空气质量、地表水环境质量、声环境均符合规划功能要求。</w:t>
            </w:r>
          </w:p>
          <w:p w14:paraId="4458CA13">
            <w:pPr>
              <w:bidi w:val="0"/>
              <w:rPr>
                <w:rFonts w:hint="eastAsia"/>
                <w:color w:val="auto"/>
                <w:lang w:val="en-US" w:eastAsia="zh-CN"/>
              </w:rPr>
            </w:pPr>
            <w:r>
              <w:rPr>
                <w:rFonts w:hint="eastAsia"/>
                <w:color w:val="auto"/>
                <w:lang w:val="en-US" w:eastAsia="zh-CN"/>
              </w:rPr>
              <w:t>（4）环境影响可接受性：项目各工序污染源采取相应的污染控制措施后，均可实现达标排放，不会对区域环境产生明显影响。项目运营期污染物均能做到达标排放，不会改变评价区现有环境功能，对周边环境影响可以接受。</w:t>
            </w:r>
          </w:p>
          <w:p w14:paraId="489055E3">
            <w:pPr>
              <w:bidi w:val="0"/>
              <w:rPr>
                <w:rFonts w:hint="eastAsia"/>
                <w:color w:val="auto"/>
                <w:lang w:val="en-US" w:eastAsia="zh-CN"/>
              </w:rPr>
            </w:pPr>
            <w:r>
              <w:rPr>
                <w:rFonts w:hint="eastAsia"/>
                <w:color w:val="auto"/>
                <w:lang w:val="en-US" w:eastAsia="zh-CN"/>
              </w:rPr>
              <w:t>综上所述，本项目符合宝鸡市岐山县蔡家坡经济技术开发区总体规划、区域环境功能规划相关要求，从环境保护角度分析，本项目选址合理可行。</w:t>
            </w:r>
          </w:p>
          <w:p w14:paraId="3A92A9A1">
            <w:pPr>
              <w:bidi w:val="0"/>
              <w:rPr>
                <w:rFonts w:hint="eastAsia"/>
                <w:color w:val="auto"/>
                <w:lang w:val="en-US" w:eastAsia="zh-CN"/>
              </w:rPr>
            </w:pPr>
          </w:p>
        </w:tc>
      </w:tr>
    </w:tbl>
    <w:p w14:paraId="3F875B17">
      <w:pPr>
        <w:spacing w:line="360" w:lineRule="auto"/>
        <w:outlineLvl w:val="0"/>
        <w:rPr>
          <w:rFonts w:eastAsia="黑体"/>
          <w:color w:val="auto"/>
          <w:sz w:val="30"/>
          <w:highlight w:val="none"/>
        </w:rPr>
        <w:sectPr>
          <w:pgSz w:w="11906" w:h="16838"/>
          <w:pgMar w:top="1701" w:right="1531" w:bottom="1701" w:left="1531" w:header="851" w:footer="1077" w:gutter="0"/>
          <w:pgNumType w:fmt="decimal"/>
          <w:cols w:space="720" w:num="1"/>
          <w:docGrid w:linePitch="312" w:charSpace="0"/>
        </w:sectPr>
      </w:pPr>
    </w:p>
    <w:p w14:paraId="2CBFC474">
      <w:pPr>
        <w:pStyle w:val="26"/>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707D6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5" w:hRule="atLeast"/>
          <w:jc w:val="center"/>
        </w:trPr>
        <w:tc>
          <w:tcPr>
            <w:tcW w:w="579" w:type="dxa"/>
            <w:noWrap w:val="0"/>
            <w:vAlign w:val="center"/>
          </w:tcPr>
          <w:p w14:paraId="15FC5A9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color w:val="auto"/>
                <w:highlight w:val="none"/>
              </w:rPr>
            </w:pPr>
            <w:r>
              <w:rPr>
                <w:rFonts w:hint="eastAsia"/>
                <w:color w:val="auto"/>
                <w:highlight w:val="none"/>
              </w:rPr>
              <w:t>建设内容</w:t>
            </w:r>
          </w:p>
        </w:tc>
        <w:tc>
          <w:tcPr>
            <w:tcW w:w="8481" w:type="dxa"/>
            <w:vMerge w:val="restart"/>
            <w:noWrap w:val="0"/>
            <w:vAlign w:val="top"/>
          </w:tcPr>
          <w:p w14:paraId="4A5CAADE">
            <w:pPr>
              <w:numPr>
                <w:ilvl w:val="0"/>
                <w:numId w:val="6"/>
              </w:numPr>
              <w:bidi w:val="0"/>
              <w:rPr>
                <w:rFonts w:hint="eastAsia"/>
                <w:b/>
                <w:bCs/>
                <w:color w:val="auto"/>
                <w:highlight w:val="none"/>
                <w:lang w:val="en-US" w:eastAsia="zh-CN"/>
              </w:rPr>
            </w:pPr>
            <w:r>
              <w:rPr>
                <w:rFonts w:hint="eastAsia"/>
                <w:b/>
                <w:bCs/>
                <w:color w:val="auto"/>
                <w:highlight w:val="none"/>
                <w:lang w:val="en-US" w:eastAsia="zh-CN"/>
              </w:rPr>
              <w:t>项目由来</w:t>
            </w:r>
          </w:p>
          <w:p w14:paraId="5B8B0156">
            <w:pPr>
              <w:bidi w:val="0"/>
              <w:rPr>
                <w:rFonts w:hint="eastAsia"/>
                <w:color w:val="auto"/>
                <w:highlight w:val="none"/>
                <w:lang w:val="en-US" w:eastAsia="zh-CN"/>
              </w:rPr>
            </w:pPr>
            <w:bookmarkStart w:id="2" w:name="OLE_LINK5"/>
            <w:r>
              <w:rPr>
                <w:rFonts w:hint="eastAsia"/>
                <w:color w:val="auto"/>
                <w:highlight w:val="none"/>
                <w:lang w:val="en-US" w:eastAsia="zh-CN"/>
              </w:rPr>
              <w:t>陕西磐固捷创精锻科技有限公司</w:t>
            </w:r>
            <w:bookmarkEnd w:id="2"/>
            <w:r>
              <w:rPr>
                <w:rFonts w:hint="eastAsia"/>
                <w:color w:val="auto"/>
                <w:highlight w:val="none"/>
                <w:lang w:val="en-US" w:eastAsia="zh-CN"/>
              </w:rPr>
              <w:t>成立于2025年7月，是一家以研发生产高端精密商用车（重卡）变速箱齿轮为主业的汽车关键零部件制造企业，公司位于蔡家坡经济技术开发区百万平方米厂房机械加工A区，注册资本金1000万元人民币。</w:t>
            </w:r>
          </w:p>
          <w:p w14:paraId="1CDEE4B1">
            <w:pPr>
              <w:bidi w:val="0"/>
              <w:rPr>
                <w:rFonts w:hint="default"/>
                <w:color w:val="auto"/>
                <w:highlight w:val="none"/>
                <w:lang w:val="en-US" w:eastAsia="zh-CN"/>
              </w:rPr>
            </w:pPr>
            <w:r>
              <w:rPr>
                <w:rFonts w:hint="eastAsia"/>
                <w:color w:val="auto"/>
                <w:highlight w:val="none"/>
                <w:lang w:val="en-US" w:eastAsia="zh-CN"/>
              </w:rPr>
              <w:t>2025年7月，陕西磐固捷创精锻科技有限公司作为经开区重点招商引资企业正式入驻蔡家坡经济技术开发区百万平方米厂房A区，租赁A区10号工业厂房，总建筑面积3000m</w:t>
            </w:r>
            <w:r>
              <w:rPr>
                <w:rFonts w:hint="eastAsia"/>
                <w:color w:val="auto"/>
                <w:highlight w:val="none"/>
                <w:vertAlign w:val="superscript"/>
                <w:lang w:val="en-US" w:eastAsia="zh-CN"/>
              </w:rPr>
              <w:t>2</w:t>
            </w:r>
            <w:r>
              <w:rPr>
                <w:rFonts w:hint="eastAsia"/>
                <w:color w:val="auto"/>
                <w:highlight w:val="none"/>
                <w:lang w:val="en-US" w:eastAsia="zh-CN"/>
              </w:rPr>
              <w:t>，购置先进的电动螺旋压力机、中频感应加热炉、网带式等温正火炉、金属履带式抛丸机、数控机床及检验检测设备，建成全自动化汽车商用车（重卡）变速箱齿轮生产线，研发生产高端精密商用车（重卡）同步器齿毂、同步器结合齿圈等，具有年产300万件重卡变速箱齿轮生产配套能力。</w:t>
            </w:r>
          </w:p>
          <w:p w14:paraId="791553CD">
            <w:pPr>
              <w:bidi w:val="0"/>
              <w:rPr>
                <w:rFonts w:hint="eastAsia"/>
                <w:color w:val="auto"/>
                <w:highlight w:val="none"/>
                <w:lang w:val="en-US" w:eastAsia="zh-CN"/>
              </w:rPr>
            </w:pPr>
            <w:r>
              <w:rPr>
                <w:rFonts w:hint="eastAsia"/>
                <w:color w:val="auto"/>
                <w:highlight w:val="none"/>
                <w:lang w:val="en-US" w:eastAsia="zh-CN"/>
              </w:rPr>
              <w:t>根据《中华人民共和国环境影响评价法》《建设项目环境保护管理条例》和《建设项目环境影响评价分类管理名录》（2021年版），本项目主要生产同步器齿毂和同步器结合齿圈，属于国民经济行业类别中C3670汽车零部件及配件制造；根据《建设项目环境影响评价分类管理名录》（2021年版），本项目属于“三十三、汽车制造业”中的“汽车零部件及配件制造367—其他”项目，需编制环境影响报告表。为此，陕西磐固捷创精锻科技有限公司于2026年3月委托我公司承担本项目的环境影响评价工作。</w:t>
            </w:r>
          </w:p>
          <w:p w14:paraId="56FE90BF">
            <w:pPr>
              <w:bidi w:val="0"/>
              <w:rPr>
                <w:rFonts w:hint="default"/>
                <w:color w:val="auto"/>
                <w:highlight w:val="none"/>
                <w:lang w:val="en-US" w:eastAsia="zh-CN"/>
              </w:rPr>
            </w:pPr>
            <w:r>
              <w:rPr>
                <w:rFonts w:hint="default"/>
                <w:color w:val="auto"/>
                <w:highlight w:val="none"/>
                <w:lang w:val="en-US" w:eastAsia="zh-CN"/>
              </w:rPr>
              <w:t>我公司相关技术人员在进行资料收集与调研、现场踏勘的基础上，依据国家及陕西省环境保护的有关规定，并</w:t>
            </w:r>
            <w:r>
              <w:rPr>
                <w:rFonts w:hint="eastAsia"/>
                <w:color w:val="auto"/>
                <w:highlight w:val="none"/>
                <w:lang w:val="en-US" w:eastAsia="zh-CN"/>
              </w:rPr>
              <w:t>按照</w:t>
            </w:r>
            <w:r>
              <w:rPr>
                <w:rFonts w:hint="default"/>
                <w:color w:val="auto"/>
                <w:highlight w:val="none"/>
                <w:lang w:val="en-US" w:eastAsia="zh-CN"/>
              </w:rPr>
              <w:t>《建设项目环境影响报告表编制技术指南（污染影响类）（试行）》要求，编制了《</w:t>
            </w:r>
            <w:r>
              <w:rPr>
                <w:rFonts w:hint="eastAsia"/>
                <w:color w:val="auto"/>
                <w:highlight w:val="none"/>
                <w:lang w:val="en-US" w:eastAsia="zh-CN"/>
              </w:rPr>
              <w:t>汽车关键零部件研发生产线（一期）建设项目</w:t>
            </w:r>
            <w:r>
              <w:rPr>
                <w:rFonts w:hint="default"/>
                <w:color w:val="auto"/>
                <w:highlight w:val="none"/>
                <w:lang w:val="en-US" w:eastAsia="zh-CN"/>
              </w:rPr>
              <w:t>环境影响报告表》。</w:t>
            </w:r>
          </w:p>
          <w:p w14:paraId="17FC3B0E">
            <w:pPr>
              <w:numPr>
                <w:ilvl w:val="0"/>
                <w:numId w:val="6"/>
              </w:numPr>
              <w:bidi w:val="0"/>
              <w:rPr>
                <w:rFonts w:hint="default"/>
                <w:b/>
                <w:bCs/>
                <w:color w:val="auto"/>
                <w:highlight w:val="none"/>
                <w:lang w:val="en-US" w:eastAsia="zh-CN"/>
              </w:rPr>
            </w:pPr>
            <w:r>
              <w:rPr>
                <w:rFonts w:hint="eastAsia"/>
                <w:b/>
                <w:bCs/>
                <w:color w:val="auto"/>
                <w:highlight w:val="none"/>
                <w:lang w:val="en-US" w:eastAsia="zh-CN"/>
              </w:rPr>
              <w:t>项目概况</w:t>
            </w:r>
          </w:p>
          <w:p w14:paraId="5266A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eastAsia"/>
                <w:color w:val="auto"/>
                <w:highlight w:val="none"/>
                <w:lang w:val="en-US" w:eastAsia="zh-CN"/>
              </w:rPr>
              <w:t>本项目位于</w:t>
            </w:r>
            <w:r>
              <w:rPr>
                <w:rFonts w:hint="default"/>
                <w:color w:val="auto"/>
                <w:highlight w:val="none"/>
              </w:rPr>
              <w:t>陕西省</w:t>
            </w:r>
            <w:r>
              <w:rPr>
                <w:rFonts w:hint="eastAsia"/>
                <w:color w:val="auto"/>
                <w:highlight w:val="none"/>
                <w:lang w:val="en-US" w:eastAsia="zh-CN"/>
              </w:rPr>
              <w:t>宝鸡市岐山县蔡家坡经开区南环路北侧百万平方米标准化厂房机械加工区10#北跨</w:t>
            </w:r>
            <w:r>
              <w:rPr>
                <w:rFonts w:hint="default"/>
                <w:color w:val="auto"/>
                <w:highlight w:val="none"/>
              </w:rPr>
              <w:t>，</w:t>
            </w:r>
            <w:r>
              <w:rPr>
                <w:rFonts w:hint="eastAsia"/>
                <w:color w:val="auto"/>
                <w:highlight w:val="none"/>
                <w:lang w:val="en-US" w:eastAsia="zh-CN"/>
              </w:rPr>
              <w:t>项</w:t>
            </w:r>
            <w:r>
              <w:rPr>
                <w:rFonts w:hint="eastAsia"/>
                <w:color w:val="auto"/>
                <w:highlight w:val="none"/>
                <w:lang w:eastAsia="zh-CN"/>
              </w:rPr>
              <w:t>目地理坐标为东经</w:t>
            </w:r>
            <w:r>
              <w:rPr>
                <w:rFonts w:hint="default"/>
                <w:color w:val="auto"/>
                <w:highlight w:val="none"/>
                <w:lang w:eastAsia="zh-CN"/>
              </w:rPr>
              <w:t>107°35′39.65</w:t>
            </w:r>
            <w:r>
              <w:rPr>
                <w:rFonts w:hint="eastAsia"/>
                <w:color w:val="auto"/>
                <w:highlight w:val="none"/>
                <w:lang w:val="en-US" w:eastAsia="zh-CN"/>
              </w:rPr>
              <w:t>2</w:t>
            </w:r>
            <w:r>
              <w:rPr>
                <w:rFonts w:hint="default"/>
                <w:color w:val="auto"/>
                <w:highlight w:val="none"/>
                <w:lang w:eastAsia="zh-CN"/>
              </w:rPr>
              <w:t>″，</w:t>
            </w:r>
            <w:r>
              <w:rPr>
                <w:rFonts w:hint="default"/>
                <w:color w:val="auto"/>
                <w:highlight w:val="none"/>
                <w:lang w:val="en-US" w:eastAsia="zh-CN"/>
              </w:rPr>
              <w:t>北纬</w:t>
            </w:r>
            <w:r>
              <w:rPr>
                <w:rFonts w:hint="default"/>
                <w:color w:val="auto"/>
                <w:highlight w:val="none"/>
                <w:lang w:eastAsia="zh-CN"/>
              </w:rPr>
              <w:t>34°16′29.311″</w:t>
            </w:r>
            <w:r>
              <w:rPr>
                <w:rFonts w:hint="eastAsia"/>
                <w:color w:val="auto"/>
                <w:highlight w:val="none"/>
                <w:lang w:eastAsia="zh-CN"/>
              </w:rPr>
              <w:t>；</w:t>
            </w:r>
            <w:r>
              <w:rPr>
                <w:rFonts w:hint="eastAsia"/>
                <w:color w:val="auto"/>
                <w:highlight w:val="none"/>
                <w:lang w:val="en-US" w:eastAsia="zh-CN"/>
              </w:rPr>
              <w:t>项目四周皆为标准化空厂房。</w:t>
            </w:r>
            <w:r>
              <w:rPr>
                <w:rFonts w:hint="eastAsia"/>
                <w:color w:val="auto"/>
                <w:highlight w:val="none"/>
                <w:lang w:eastAsia="zh-CN"/>
              </w:rPr>
              <w:t>本项目建设用地利用</w:t>
            </w:r>
            <w:r>
              <w:rPr>
                <w:rFonts w:hint="eastAsia"/>
                <w:color w:val="auto"/>
                <w:highlight w:val="none"/>
                <w:lang w:val="en-US" w:eastAsia="zh-CN"/>
              </w:rPr>
              <w:t>陕西华开置业有限公司已建成标准化厂房3000m</w:t>
            </w:r>
            <w:r>
              <w:rPr>
                <w:rFonts w:hint="eastAsia"/>
                <w:color w:val="auto"/>
                <w:highlight w:val="none"/>
                <w:vertAlign w:val="superscript"/>
                <w:lang w:val="en-US" w:eastAsia="zh-CN"/>
              </w:rPr>
              <w:t>2</w:t>
            </w:r>
            <w:r>
              <w:rPr>
                <w:rFonts w:hint="eastAsia"/>
                <w:color w:val="auto"/>
                <w:highlight w:val="none"/>
                <w:lang w:val="en-US" w:eastAsia="zh-CN"/>
              </w:rPr>
              <w:t>，不涉及新增占地</w:t>
            </w:r>
            <w:r>
              <w:rPr>
                <w:rFonts w:hint="eastAsia"/>
                <w:color w:val="auto"/>
                <w:highlight w:val="none"/>
                <w:lang w:eastAsia="zh-CN"/>
              </w:rPr>
              <w:t>。</w:t>
            </w:r>
            <w:r>
              <w:rPr>
                <w:rFonts w:hint="default"/>
                <w:color w:val="auto"/>
                <w:highlight w:val="none"/>
              </w:rPr>
              <w:t>项目地理位置见</w:t>
            </w:r>
            <w:r>
              <w:rPr>
                <w:rFonts w:hint="eastAsia"/>
                <w:color w:val="auto"/>
                <w:highlight w:val="none"/>
                <w:lang w:eastAsia="zh-CN"/>
              </w:rPr>
              <w:t>附图</w:t>
            </w:r>
            <w:r>
              <w:rPr>
                <w:rFonts w:hint="eastAsia"/>
                <w:color w:val="auto"/>
                <w:highlight w:val="none"/>
                <w:lang w:val="en-US" w:eastAsia="zh-CN"/>
              </w:rPr>
              <w:t>1。</w:t>
            </w:r>
          </w:p>
          <w:p w14:paraId="047F8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default"/>
                <w:color w:val="auto"/>
                <w:highlight w:val="none"/>
              </w:rPr>
              <w:t>项目名称：</w:t>
            </w:r>
            <w:r>
              <w:rPr>
                <w:rFonts w:hint="eastAsia"/>
                <w:color w:val="auto"/>
                <w:highlight w:val="none"/>
                <w:lang w:val="en-US" w:eastAsia="zh-CN"/>
              </w:rPr>
              <w:t>汽车关键零部件研发生产线（一期）建设项目；</w:t>
            </w:r>
          </w:p>
          <w:p w14:paraId="7E27B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lang w:val="en-US" w:eastAsia="zh-CN"/>
              </w:rPr>
            </w:pPr>
            <w:r>
              <w:rPr>
                <w:rFonts w:hint="default"/>
                <w:color w:val="auto"/>
                <w:highlight w:val="none"/>
              </w:rPr>
              <w:t>建设单位：</w:t>
            </w:r>
            <w:r>
              <w:rPr>
                <w:rFonts w:hint="eastAsia"/>
                <w:color w:val="auto"/>
                <w:highlight w:val="none"/>
                <w:lang w:val="en-US" w:eastAsia="zh-CN"/>
              </w:rPr>
              <w:t>陕西磐固捷创精锻科技有限公司；</w:t>
            </w:r>
          </w:p>
          <w:p w14:paraId="24D4D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highlight w:val="none"/>
                <w:vertAlign w:val="baseline"/>
                <w:lang w:eastAsia="zh-CN"/>
              </w:rPr>
            </w:pPr>
            <w:r>
              <w:rPr>
                <w:rFonts w:hint="default"/>
                <w:color w:val="auto"/>
                <w:highlight w:val="none"/>
              </w:rPr>
              <w:t>建设</w:t>
            </w:r>
            <w:r>
              <w:rPr>
                <w:rFonts w:hint="eastAsia"/>
                <w:color w:val="auto"/>
                <w:highlight w:val="none"/>
                <w:lang w:val="en-US" w:eastAsia="zh-CN"/>
              </w:rPr>
              <w:t>场址</w:t>
            </w:r>
            <w:r>
              <w:rPr>
                <w:rFonts w:hint="default"/>
                <w:color w:val="auto"/>
                <w:highlight w:val="none"/>
              </w:rPr>
              <w:t>：陕西省</w:t>
            </w:r>
            <w:r>
              <w:rPr>
                <w:rFonts w:hint="eastAsia"/>
                <w:color w:val="auto"/>
                <w:highlight w:val="none"/>
                <w:lang w:val="en-US" w:eastAsia="zh-CN"/>
              </w:rPr>
              <w:t>宝鸡市岐山县蔡家坡经开区南环路北侧百万平方米标准化厂房机械加工区10#北跨</w:t>
            </w:r>
            <w:r>
              <w:rPr>
                <w:rFonts w:hint="eastAsia" w:cs="Times New Roman"/>
                <w:color w:val="auto"/>
                <w:highlight w:val="none"/>
                <w:vertAlign w:val="baseline"/>
                <w:lang w:eastAsia="zh-CN"/>
              </w:rPr>
              <w:t>；</w:t>
            </w:r>
          </w:p>
          <w:p w14:paraId="00D39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default"/>
                <w:color w:val="auto"/>
                <w:highlight w:val="none"/>
              </w:rPr>
              <w:t>建设性质：</w:t>
            </w:r>
            <w:r>
              <w:rPr>
                <w:rFonts w:hint="eastAsia"/>
                <w:color w:val="auto"/>
                <w:highlight w:val="none"/>
                <w:lang w:val="en-US" w:eastAsia="zh-CN"/>
              </w:rPr>
              <w:t>新建</w:t>
            </w:r>
            <w:r>
              <w:rPr>
                <w:rFonts w:hint="default"/>
                <w:color w:val="auto"/>
                <w:highlight w:val="none"/>
              </w:rPr>
              <w:t>；</w:t>
            </w:r>
          </w:p>
          <w:p w14:paraId="5C69A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highlight w:val="none"/>
                <w:lang w:val="en-US" w:eastAsia="zh-CN"/>
              </w:rPr>
            </w:pPr>
            <w:r>
              <w:rPr>
                <w:rFonts w:hint="default"/>
                <w:color w:val="auto"/>
                <w:highlight w:val="none"/>
                <w:lang w:val="en-US" w:eastAsia="zh-CN"/>
              </w:rPr>
              <w:t>建设</w:t>
            </w:r>
            <w:r>
              <w:rPr>
                <w:rFonts w:hint="default"/>
                <w:color w:val="auto"/>
                <w:highlight w:val="none"/>
              </w:rPr>
              <w:t>规模：该项目占地3000平方米</w:t>
            </w:r>
            <w:r>
              <w:rPr>
                <w:rFonts w:hint="eastAsia"/>
                <w:color w:val="auto"/>
                <w:highlight w:val="none"/>
                <w:lang w:eastAsia="zh-CN"/>
              </w:rPr>
              <w:t>；</w:t>
            </w:r>
            <w:r>
              <w:rPr>
                <w:rFonts w:hint="default"/>
                <w:color w:val="auto"/>
                <w:highlight w:val="none"/>
              </w:rPr>
              <w:t>在现有厂房内设置精锻车间、机加车间、研发中心等功能区域，购置电动螺旋压力机、中频感应加热炉、数控机床等设备47台</w:t>
            </w:r>
            <w:r>
              <w:rPr>
                <w:rFonts w:hint="eastAsia"/>
                <w:color w:val="auto"/>
                <w:highlight w:val="none"/>
                <w:lang w:eastAsia="zh-CN"/>
              </w:rPr>
              <w:t>（</w:t>
            </w:r>
            <w:r>
              <w:rPr>
                <w:rFonts w:hint="default"/>
                <w:color w:val="auto"/>
                <w:highlight w:val="none"/>
              </w:rPr>
              <w:t>套</w:t>
            </w:r>
            <w:r>
              <w:rPr>
                <w:rFonts w:hint="eastAsia"/>
                <w:color w:val="auto"/>
                <w:highlight w:val="none"/>
                <w:lang w:eastAsia="zh-CN"/>
              </w:rPr>
              <w:t>）</w:t>
            </w:r>
            <w:r>
              <w:rPr>
                <w:rFonts w:hint="default"/>
                <w:color w:val="auto"/>
                <w:highlight w:val="none"/>
              </w:rPr>
              <w:t>，形成年产300万件商用车变速箱齿轮生产能力</w:t>
            </w:r>
            <w:r>
              <w:rPr>
                <w:rFonts w:hint="eastAsia"/>
                <w:color w:val="auto"/>
                <w:highlight w:val="none"/>
                <w:lang w:eastAsia="zh-CN"/>
              </w:rPr>
              <w:t>；</w:t>
            </w:r>
          </w:p>
          <w:p w14:paraId="7AF2B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lang w:val="en-US" w:eastAsia="zh-CN"/>
              </w:rPr>
            </w:pPr>
            <w:r>
              <w:rPr>
                <w:rFonts w:hint="default"/>
                <w:color w:val="auto"/>
                <w:highlight w:val="none"/>
                <w:lang w:val="en-US" w:eastAsia="zh-CN"/>
              </w:rPr>
              <w:t>建设期限</w:t>
            </w:r>
            <w:r>
              <w:rPr>
                <w:rFonts w:hint="default"/>
                <w:color w:val="auto"/>
                <w:highlight w:val="none"/>
              </w:rPr>
              <w:t>：</w:t>
            </w:r>
            <w:r>
              <w:rPr>
                <w:rFonts w:hint="eastAsia"/>
                <w:color w:val="auto"/>
                <w:highlight w:val="none"/>
                <w:lang w:val="en-US" w:eastAsia="zh-CN"/>
              </w:rPr>
              <w:t>项目建设周期为6个月</w:t>
            </w:r>
            <w:r>
              <w:rPr>
                <w:rFonts w:hint="eastAsia"/>
                <w:color w:val="auto"/>
                <w:highlight w:val="none"/>
                <w:lang w:val="en-US" w:eastAsia="zh-CN"/>
              </w:rPr>
              <w:t>；</w:t>
            </w:r>
          </w:p>
          <w:p w14:paraId="7A08B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default"/>
                <w:color w:val="auto"/>
                <w:highlight w:val="none"/>
              </w:rPr>
              <w:t>项目投资：总投资</w:t>
            </w:r>
            <w:r>
              <w:rPr>
                <w:rFonts w:hint="eastAsia"/>
                <w:color w:val="auto"/>
                <w:highlight w:val="none"/>
                <w:lang w:val="en-US" w:eastAsia="zh-CN"/>
              </w:rPr>
              <w:t>3822</w:t>
            </w:r>
            <w:r>
              <w:rPr>
                <w:rFonts w:hint="default"/>
                <w:color w:val="auto"/>
                <w:highlight w:val="none"/>
              </w:rPr>
              <w:t>万元</w:t>
            </w:r>
            <w:r>
              <w:rPr>
                <w:rFonts w:hint="eastAsia"/>
                <w:color w:val="auto"/>
                <w:highlight w:val="none"/>
                <w:lang w:eastAsia="zh-CN"/>
              </w:rPr>
              <w:t>，</w:t>
            </w:r>
            <w:r>
              <w:rPr>
                <w:rFonts w:hint="default"/>
                <w:color w:val="auto"/>
                <w:highlight w:val="none"/>
              </w:rPr>
              <w:t>环保投资</w:t>
            </w:r>
            <w:r>
              <w:rPr>
                <w:rFonts w:hint="default" w:ascii="Times New Roman" w:hAnsi="Times New Roman" w:eastAsia="宋体" w:cs="Times New Roman"/>
                <w:color w:val="auto"/>
                <w:highlight w:val="none"/>
              </w:rPr>
              <w:t>为</w:t>
            </w:r>
            <w:r>
              <w:rPr>
                <w:rFonts w:hint="eastAsia" w:cs="Times New Roman"/>
                <w:color w:val="auto"/>
                <w:highlight w:val="none"/>
                <w:lang w:val="en-US" w:eastAsia="zh-CN"/>
              </w:rPr>
              <w:t>40</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万</w:t>
            </w:r>
            <w:r>
              <w:rPr>
                <w:rFonts w:hint="default"/>
                <w:color w:val="auto"/>
                <w:highlight w:val="none"/>
              </w:rPr>
              <w:t>元</w:t>
            </w:r>
            <w:r>
              <w:rPr>
                <w:rFonts w:hint="eastAsia"/>
                <w:color w:val="auto"/>
                <w:highlight w:val="none"/>
                <w:lang w:eastAsia="zh-CN"/>
              </w:rPr>
              <w:t>，</w:t>
            </w:r>
            <w:r>
              <w:rPr>
                <w:rFonts w:hint="default"/>
                <w:color w:val="auto"/>
                <w:highlight w:val="none"/>
              </w:rPr>
              <w:t>占总投资的</w:t>
            </w:r>
            <w:r>
              <w:rPr>
                <w:rFonts w:hint="eastAsia"/>
                <w:color w:val="auto"/>
                <w:highlight w:val="none"/>
                <w:lang w:val="en-US" w:eastAsia="zh-CN"/>
              </w:rPr>
              <w:t>1.05</w:t>
            </w:r>
            <w:r>
              <w:rPr>
                <w:rFonts w:hint="default"/>
                <w:color w:val="auto"/>
                <w:highlight w:val="none"/>
                <w:lang w:val="en-US" w:eastAsia="zh-CN"/>
              </w:rPr>
              <w:t>%</w:t>
            </w:r>
            <w:r>
              <w:rPr>
                <w:rFonts w:hint="eastAsia"/>
                <w:color w:val="auto"/>
                <w:highlight w:val="none"/>
                <w:lang w:val="en-US" w:eastAsia="zh-CN"/>
              </w:rPr>
              <w:t>。</w:t>
            </w:r>
          </w:p>
          <w:p w14:paraId="1DDD8C54">
            <w:pPr>
              <w:numPr>
                <w:ilvl w:val="0"/>
                <w:numId w:val="6"/>
              </w:numPr>
              <w:bidi w:val="0"/>
              <w:rPr>
                <w:rFonts w:hint="default"/>
                <w:b/>
                <w:bCs/>
                <w:color w:val="auto"/>
                <w:highlight w:val="none"/>
                <w:lang w:val="en-US" w:eastAsia="zh-CN"/>
              </w:rPr>
            </w:pPr>
            <w:r>
              <w:rPr>
                <w:rFonts w:hint="eastAsia"/>
                <w:b/>
                <w:bCs/>
                <w:color w:val="auto"/>
                <w:highlight w:val="none"/>
                <w:lang w:val="en-US" w:eastAsia="zh-CN"/>
              </w:rPr>
              <w:t>项目组成</w:t>
            </w:r>
          </w:p>
          <w:p w14:paraId="042555F6">
            <w:pPr>
              <w:bidi w:val="0"/>
              <w:rPr>
                <w:rFonts w:hint="default"/>
                <w:color w:val="auto"/>
                <w:highlight w:val="none"/>
                <w:lang w:val="en-US" w:eastAsia="zh-CN"/>
              </w:rPr>
            </w:pPr>
            <w:r>
              <w:rPr>
                <w:rFonts w:hint="default"/>
                <w:color w:val="auto"/>
                <w:highlight w:val="none"/>
                <w:lang w:val="en-US" w:eastAsia="zh-CN"/>
              </w:rPr>
              <w:t>项目主要组成见</w:t>
            </w:r>
            <w:r>
              <w:rPr>
                <w:rFonts w:hint="eastAsia"/>
                <w:color w:val="auto"/>
                <w:highlight w:val="none"/>
                <w:lang w:val="en-US" w:eastAsia="zh-CN"/>
              </w:rPr>
              <w:t>下表</w:t>
            </w:r>
            <w:r>
              <w:rPr>
                <w:rFonts w:hint="default"/>
                <w:color w:val="auto"/>
                <w:highlight w:val="none"/>
                <w:lang w:val="en-US" w:eastAsia="zh-CN"/>
              </w:rPr>
              <w:t>。</w:t>
            </w:r>
          </w:p>
          <w:p w14:paraId="171E1903">
            <w:pPr>
              <w:pStyle w:val="58"/>
              <w:bidi w:val="0"/>
              <w:rPr>
                <w:color w:val="auto"/>
                <w:highlight w:val="none"/>
              </w:rPr>
            </w:pPr>
            <w:r>
              <w:rPr>
                <w:rFonts w:hint="eastAsia"/>
                <w:color w:val="auto"/>
                <w:highlight w:val="none"/>
              </w:rPr>
              <w:t>表</w:t>
            </w:r>
            <w:r>
              <w:rPr>
                <w:rFonts w:hint="eastAsia"/>
                <w:color w:val="auto"/>
                <w:highlight w:val="none"/>
                <w:lang w:val="en-US" w:eastAsia="zh-CN"/>
              </w:rPr>
              <w:t>2-1</w:t>
            </w:r>
            <w:r>
              <w:rPr>
                <w:rFonts w:hint="eastAsia"/>
                <w:color w:val="auto"/>
                <w:highlight w:val="none"/>
              </w:rPr>
              <w:t xml:space="preserve">   项目主要组成内容一览表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72"/>
              <w:gridCol w:w="1179"/>
              <w:gridCol w:w="1587"/>
              <w:gridCol w:w="3825"/>
              <w:gridCol w:w="1112"/>
            </w:tblGrid>
            <w:tr w14:paraId="18B5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noWrap w:val="0"/>
                  <w:vAlign w:val="center"/>
                </w:tcPr>
                <w:p w14:paraId="039DACCE">
                  <w:pPr>
                    <w:pStyle w:val="53"/>
                    <w:bidi w:val="0"/>
                    <w:rPr>
                      <w:rFonts w:hint="eastAsia"/>
                      <w:b/>
                      <w:bCs/>
                      <w:color w:val="auto"/>
                      <w:highlight w:val="none"/>
                      <w:lang w:eastAsia="zh-CN"/>
                    </w:rPr>
                  </w:pPr>
                  <w:r>
                    <w:rPr>
                      <w:rFonts w:hint="eastAsia"/>
                      <w:b/>
                      <w:bCs/>
                      <w:color w:val="auto"/>
                      <w:highlight w:val="none"/>
                      <w:lang w:val="en-US" w:eastAsia="zh-CN"/>
                    </w:rPr>
                    <w:t>类别</w:t>
                  </w:r>
                </w:p>
              </w:tc>
              <w:tc>
                <w:tcPr>
                  <w:tcW w:w="704" w:type="pct"/>
                  <w:noWrap w:val="0"/>
                  <w:vAlign w:val="center"/>
                </w:tcPr>
                <w:p w14:paraId="1010466E">
                  <w:pPr>
                    <w:pStyle w:val="53"/>
                    <w:bidi w:val="0"/>
                    <w:rPr>
                      <w:b/>
                      <w:bCs/>
                      <w:color w:val="auto"/>
                      <w:highlight w:val="none"/>
                    </w:rPr>
                  </w:pPr>
                  <w:r>
                    <w:rPr>
                      <w:rFonts w:hint="eastAsia"/>
                      <w:b/>
                      <w:bCs/>
                      <w:color w:val="auto"/>
                      <w:highlight w:val="none"/>
                      <w:lang w:val="en-US" w:eastAsia="zh-CN"/>
                    </w:rPr>
                    <w:t>工程</w:t>
                  </w:r>
                  <w:r>
                    <w:rPr>
                      <w:b/>
                      <w:bCs/>
                      <w:color w:val="auto"/>
                      <w:highlight w:val="none"/>
                    </w:rPr>
                    <w:t>组成</w:t>
                  </w:r>
                </w:p>
              </w:tc>
              <w:tc>
                <w:tcPr>
                  <w:tcW w:w="3230" w:type="pct"/>
                  <w:gridSpan w:val="2"/>
                  <w:noWrap w:val="0"/>
                  <w:vAlign w:val="center"/>
                </w:tcPr>
                <w:p w14:paraId="487C992E">
                  <w:pPr>
                    <w:pStyle w:val="53"/>
                    <w:bidi w:val="0"/>
                    <w:rPr>
                      <w:rFonts w:hint="default" w:eastAsia="宋体"/>
                      <w:b/>
                      <w:bCs/>
                      <w:color w:val="auto"/>
                      <w:highlight w:val="none"/>
                      <w:lang w:val="en-US" w:eastAsia="zh-CN"/>
                    </w:rPr>
                  </w:pPr>
                  <w:r>
                    <w:rPr>
                      <w:rFonts w:hint="eastAsia"/>
                      <w:b/>
                      <w:bCs/>
                      <w:color w:val="auto"/>
                      <w:highlight w:val="none"/>
                      <w:lang w:val="en-US" w:eastAsia="zh-CN"/>
                    </w:rPr>
                    <w:t>项目内容</w:t>
                  </w:r>
                </w:p>
              </w:tc>
              <w:tc>
                <w:tcPr>
                  <w:tcW w:w="664" w:type="pct"/>
                  <w:noWrap w:val="0"/>
                  <w:vAlign w:val="center"/>
                </w:tcPr>
                <w:p w14:paraId="6D9C074B">
                  <w:pPr>
                    <w:pStyle w:val="53"/>
                    <w:bidi w:val="0"/>
                    <w:rPr>
                      <w:rFonts w:hint="default"/>
                      <w:b/>
                      <w:bCs/>
                      <w:color w:val="auto"/>
                      <w:highlight w:val="none"/>
                      <w:lang w:val="en-US" w:eastAsia="zh-CN"/>
                    </w:rPr>
                  </w:pPr>
                  <w:r>
                    <w:rPr>
                      <w:rFonts w:hint="eastAsia"/>
                      <w:b/>
                      <w:bCs/>
                      <w:color w:val="auto"/>
                      <w:highlight w:val="none"/>
                      <w:lang w:val="en-US" w:eastAsia="zh-CN"/>
                    </w:rPr>
                    <w:t>备注</w:t>
                  </w:r>
                </w:p>
              </w:tc>
            </w:tr>
            <w:tr w14:paraId="6CB1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restart"/>
                  <w:noWrap w:val="0"/>
                  <w:vAlign w:val="center"/>
                </w:tcPr>
                <w:p w14:paraId="33D8A286">
                  <w:pPr>
                    <w:pStyle w:val="53"/>
                    <w:bidi w:val="0"/>
                    <w:rPr>
                      <w:color w:val="auto"/>
                      <w:highlight w:val="none"/>
                    </w:rPr>
                  </w:pPr>
                  <w:r>
                    <w:rPr>
                      <w:color w:val="auto"/>
                      <w:highlight w:val="none"/>
                    </w:rPr>
                    <w:t>主体工程</w:t>
                  </w:r>
                </w:p>
              </w:tc>
              <w:tc>
                <w:tcPr>
                  <w:tcW w:w="704" w:type="pct"/>
                  <w:vMerge w:val="restart"/>
                  <w:noWrap w:val="0"/>
                  <w:vAlign w:val="center"/>
                </w:tcPr>
                <w:p w14:paraId="0A4E8C0E">
                  <w:pPr>
                    <w:pStyle w:val="53"/>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生产厂房</w:t>
                  </w:r>
                </w:p>
              </w:tc>
              <w:tc>
                <w:tcPr>
                  <w:tcW w:w="947" w:type="pct"/>
                  <w:vMerge w:val="restart"/>
                  <w:shd w:val="clear" w:color="auto" w:fill="auto"/>
                  <w:noWrap w:val="0"/>
                  <w:vAlign w:val="center"/>
                </w:tcPr>
                <w:p w14:paraId="4FA62A2B">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highlight w:val="none"/>
                      <w:lang w:val="en-US" w:eastAsia="zh-CN"/>
                    </w:rPr>
                  </w:pPr>
                  <w:r>
                    <w:rPr>
                      <w:rFonts w:hint="default"/>
                      <w:color w:val="auto"/>
                      <w:highlight w:val="none"/>
                      <w:lang w:val="en-US" w:eastAsia="zh-CN"/>
                    </w:rPr>
                    <w:t>本项目租赁的现有厂房为轻钢结构单层工业厂房，占地面积</w:t>
                  </w:r>
                  <w:r>
                    <w:rPr>
                      <w:rFonts w:hint="eastAsia"/>
                      <w:color w:val="auto"/>
                      <w:highlight w:val="none"/>
                      <w:lang w:val="en-US" w:eastAsia="zh-CN"/>
                    </w:rPr>
                    <w:t>3</w:t>
                  </w:r>
                  <w:r>
                    <w:rPr>
                      <w:rFonts w:hint="default"/>
                      <w:color w:val="auto"/>
                      <w:highlight w:val="none"/>
                      <w:lang w:val="en-US" w:eastAsia="zh-CN"/>
                    </w:rPr>
                    <w:t>000平方米，尺寸为</w:t>
                  </w:r>
                  <w:r>
                    <w:rPr>
                      <w:rFonts w:hint="eastAsia"/>
                      <w:color w:val="auto"/>
                      <w:highlight w:val="none"/>
                      <w:lang w:val="en-US" w:eastAsia="zh-CN"/>
                    </w:rPr>
                    <w:t>20</w:t>
                  </w:r>
                  <w:r>
                    <w:rPr>
                      <w:rFonts w:hint="default"/>
                      <w:color w:val="auto"/>
                      <w:highlight w:val="none"/>
                      <w:lang w:val="en-US" w:eastAsia="zh-CN"/>
                    </w:rPr>
                    <w:t>米×</w:t>
                  </w:r>
                  <w:r>
                    <w:rPr>
                      <w:rFonts w:hint="eastAsia"/>
                      <w:color w:val="auto"/>
                      <w:highlight w:val="none"/>
                      <w:lang w:val="en-US" w:eastAsia="zh-CN"/>
                    </w:rPr>
                    <w:t>150</w:t>
                  </w:r>
                  <w:r>
                    <w:rPr>
                      <w:rFonts w:hint="default"/>
                      <w:color w:val="auto"/>
                      <w:highlight w:val="none"/>
                      <w:lang w:val="en-US" w:eastAsia="zh-CN"/>
                    </w:rPr>
                    <w:t>米，高度10米。厂房内将布设1条</w:t>
                  </w:r>
                  <w:r>
                    <w:rPr>
                      <w:rFonts w:hint="eastAsia"/>
                      <w:color w:val="auto"/>
                      <w:highlight w:val="none"/>
                      <w:lang w:val="en-US" w:eastAsia="zh-CN"/>
                    </w:rPr>
                    <w:t>商用车变速箱齿轮</w:t>
                  </w:r>
                  <w:r>
                    <w:rPr>
                      <w:rFonts w:hint="default"/>
                      <w:color w:val="auto"/>
                      <w:highlight w:val="none"/>
                      <w:lang w:val="en-US" w:eastAsia="zh-CN"/>
                    </w:rPr>
                    <w:t>生产线，各功能区域分布如下：</w:t>
                  </w:r>
                </w:p>
                <w:p w14:paraId="5BDF4EA7">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p>
              </w:tc>
              <w:tc>
                <w:tcPr>
                  <w:tcW w:w="2283" w:type="pct"/>
                  <w:shd w:val="clear" w:color="auto" w:fill="auto"/>
                  <w:noWrap w:val="0"/>
                  <w:vAlign w:val="center"/>
                </w:tcPr>
                <w:p w14:paraId="29FEF0F1">
                  <w:pPr>
                    <w:pStyle w:val="53"/>
                    <w:bidi w:val="0"/>
                    <w:ind w:left="0" w:leftChars="0" w:firstLine="0" w:firstLineChars="0"/>
                    <w:jc w:val="left"/>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下料区：位于厂房西南侧，占地面积约90m</w:t>
                  </w:r>
                  <w:r>
                    <w:rPr>
                      <w:rFonts w:hint="eastAsia"/>
                      <w:color w:val="auto"/>
                      <w:highlight w:val="none"/>
                      <w:vertAlign w:val="superscript"/>
                      <w:lang w:val="en-US" w:eastAsia="zh-CN"/>
                    </w:rPr>
                    <w:t>2</w:t>
                  </w:r>
                  <w:r>
                    <w:rPr>
                      <w:rFonts w:hint="eastAsia"/>
                      <w:color w:val="auto"/>
                      <w:highlight w:val="none"/>
                      <w:lang w:val="en-US" w:eastAsia="zh-CN"/>
                    </w:rPr>
                    <w:t>，设置圆锯机，将原料按齿轮所需长度切断，方便后续加工</w:t>
                  </w:r>
                </w:p>
              </w:tc>
              <w:tc>
                <w:tcPr>
                  <w:tcW w:w="1096" w:type="dxa"/>
                  <w:noWrap w:val="0"/>
                  <w:vAlign w:val="center"/>
                </w:tcPr>
                <w:p w14:paraId="5595E3F1">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新建</w:t>
                  </w:r>
                </w:p>
              </w:tc>
            </w:tr>
            <w:tr w14:paraId="7548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03F7BC09">
                  <w:pPr>
                    <w:pStyle w:val="53"/>
                    <w:bidi w:val="0"/>
                    <w:rPr>
                      <w:color w:val="auto"/>
                      <w:highlight w:val="none"/>
                    </w:rPr>
                  </w:pPr>
                </w:p>
              </w:tc>
              <w:tc>
                <w:tcPr>
                  <w:tcW w:w="704" w:type="pct"/>
                  <w:vMerge w:val="continue"/>
                  <w:noWrap w:val="0"/>
                  <w:vAlign w:val="center"/>
                </w:tcPr>
                <w:p w14:paraId="31E27429">
                  <w:pPr>
                    <w:pStyle w:val="53"/>
                    <w:bidi w:val="0"/>
                    <w:ind w:left="0" w:leftChars="0" w:firstLine="0" w:firstLineChars="0"/>
                    <w:rPr>
                      <w:rFonts w:hint="eastAsia"/>
                      <w:color w:val="auto"/>
                      <w:highlight w:val="none"/>
                      <w:lang w:val="en-US" w:eastAsia="zh-CN"/>
                    </w:rPr>
                  </w:pPr>
                </w:p>
              </w:tc>
              <w:tc>
                <w:tcPr>
                  <w:tcW w:w="947" w:type="pct"/>
                  <w:vMerge w:val="continue"/>
                  <w:shd w:val="clear" w:color="auto" w:fill="auto"/>
                  <w:noWrap w:val="0"/>
                  <w:vAlign w:val="center"/>
                </w:tcPr>
                <w:p w14:paraId="5F2BDAAB">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p>
              </w:tc>
              <w:tc>
                <w:tcPr>
                  <w:tcW w:w="2283" w:type="pct"/>
                  <w:shd w:val="clear" w:color="auto" w:fill="auto"/>
                  <w:noWrap w:val="0"/>
                  <w:vAlign w:val="top"/>
                </w:tcPr>
                <w:p w14:paraId="6BA66F7F">
                  <w:pPr>
                    <w:pStyle w:val="53"/>
                    <w:bidi w:val="0"/>
                    <w:ind w:left="0" w:leftChars="0" w:firstLine="0" w:firstLineChars="0"/>
                    <w:jc w:val="left"/>
                    <w:rPr>
                      <w:rFonts w:hint="default"/>
                      <w:color w:val="auto"/>
                      <w:highlight w:val="none"/>
                      <w:lang w:val="en-US" w:eastAsia="zh-CN"/>
                    </w:rPr>
                  </w:pPr>
                  <w:r>
                    <w:rPr>
                      <w:rFonts w:hint="eastAsia"/>
                      <w:color w:val="auto"/>
                      <w:highlight w:val="none"/>
                      <w:lang w:val="en-US" w:eastAsia="zh-CN"/>
                    </w:rPr>
                    <w:t>锻造区：位于厂房西南侧，占地面积约200m</w:t>
                  </w:r>
                  <w:r>
                    <w:rPr>
                      <w:rFonts w:hint="eastAsia"/>
                      <w:color w:val="auto"/>
                      <w:highlight w:val="none"/>
                      <w:vertAlign w:val="superscript"/>
                      <w:lang w:val="en-US" w:eastAsia="zh-CN"/>
                    </w:rPr>
                    <w:t>2</w:t>
                  </w:r>
                  <w:r>
                    <w:rPr>
                      <w:rFonts w:hint="eastAsia"/>
                      <w:color w:val="auto"/>
                      <w:highlight w:val="none"/>
                      <w:lang w:val="en-US" w:eastAsia="zh-CN"/>
                    </w:rPr>
                    <w:t>，设置中频感应加热炉、热模锻压力机等设备，通过加热、锻压使毛坯成型，获得齿轮初步形状与致密组织</w:t>
                  </w:r>
                </w:p>
              </w:tc>
              <w:tc>
                <w:tcPr>
                  <w:tcW w:w="1096" w:type="dxa"/>
                  <w:noWrap w:val="0"/>
                  <w:vAlign w:val="center"/>
                </w:tcPr>
                <w:p w14:paraId="7641A830">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新建</w:t>
                  </w:r>
                </w:p>
              </w:tc>
            </w:tr>
            <w:tr w14:paraId="715E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7F1943DF">
                  <w:pPr>
                    <w:pStyle w:val="53"/>
                    <w:bidi w:val="0"/>
                    <w:rPr>
                      <w:color w:val="auto"/>
                      <w:highlight w:val="none"/>
                    </w:rPr>
                  </w:pPr>
                </w:p>
              </w:tc>
              <w:tc>
                <w:tcPr>
                  <w:tcW w:w="704" w:type="pct"/>
                  <w:vMerge w:val="continue"/>
                  <w:noWrap w:val="0"/>
                  <w:vAlign w:val="center"/>
                </w:tcPr>
                <w:p w14:paraId="43CDA75B">
                  <w:pPr>
                    <w:pStyle w:val="53"/>
                    <w:bidi w:val="0"/>
                    <w:ind w:left="0" w:leftChars="0" w:firstLine="0" w:firstLineChars="0"/>
                    <w:rPr>
                      <w:rFonts w:hint="eastAsia"/>
                      <w:color w:val="auto"/>
                      <w:highlight w:val="none"/>
                      <w:lang w:val="en-US" w:eastAsia="zh-CN"/>
                    </w:rPr>
                  </w:pPr>
                </w:p>
              </w:tc>
              <w:tc>
                <w:tcPr>
                  <w:tcW w:w="947" w:type="pct"/>
                  <w:vMerge w:val="continue"/>
                  <w:shd w:val="clear" w:color="auto" w:fill="auto"/>
                  <w:noWrap w:val="0"/>
                  <w:vAlign w:val="center"/>
                </w:tcPr>
                <w:p w14:paraId="5EF20A79">
                  <w:pPr>
                    <w:pStyle w:val="53"/>
                    <w:bidi w:val="0"/>
                    <w:ind w:left="0" w:leftChars="0" w:firstLine="0" w:firstLineChars="0"/>
                    <w:rPr>
                      <w:rFonts w:hint="eastAsia"/>
                      <w:color w:val="auto"/>
                      <w:highlight w:val="none"/>
                      <w:lang w:val="en-US" w:eastAsia="zh-CN"/>
                    </w:rPr>
                  </w:pPr>
                </w:p>
              </w:tc>
              <w:tc>
                <w:tcPr>
                  <w:tcW w:w="2283" w:type="pct"/>
                  <w:shd w:val="clear" w:color="auto" w:fill="auto"/>
                  <w:noWrap w:val="0"/>
                  <w:vAlign w:val="top"/>
                </w:tcPr>
                <w:p w14:paraId="0AD08517">
                  <w:pPr>
                    <w:pStyle w:val="53"/>
                    <w:bidi w:val="0"/>
                    <w:ind w:left="0" w:leftChars="0" w:firstLine="0" w:firstLineChars="0"/>
                    <w:jc w:val="left"/>
                    <w:rPr>
                      <w:rFonts w:hint="default"/>
                      <w:color w:val="auto"/>
                      <w:highlight w:val="none"/>
                      <w:lang w:val="en-US" w:eastAsia="zh-CN"/>
                    </w:rPr>
                  </w:pPr>
                  <w:r>
                    <w:rPr>
                      <w:rFonts w:hint="eastAsia"/>
                      <w:color w:val="auto"/>
                      <w:highlight w:val="none"/>
                      <w:lang w:val="en-US" w:eastAsia="zh-CN"/>
                    </w:rPr>
                    <w:t>热处理区</w:t>
                  </w:r>
                  <w:r>
                    <w:rPr>
                      <w:rFonts w:hint="default"/>
                      <w:color w:val="auto"/>
                      <w:highlight w:val="none"/>
                      <w:lang w:val="en-US" w:eastAsia="zh-CN"/>
                    </w:rPr>
                    <w:t>：位于厂房西北侧，</w:t>
                  </w:r>
                  <w:r>
                    <w:rPr>
                      <w:rFonts w:hint="eastAsia"/>
                      <w:color w:val="auto"/>
                      <w:highlight w:val="none"/>
                      <w:lang w:val="en-US" w:eastAsia="zh-CN"/>
                    </w:rPr>
                    <w:t>占地面积约200m</w:t>
                  </w:r>
                  <w:r>
                    <w:rPr>
                      <w:rFonts w:hint="eastAsia"/>
                      <w:color w:val="auto"/>
                      <w:highlight w:val="none"/>
                      <w:vertAlign w:val="superscript"/>
                      <w:lang w:val="en-US" w:eastAsia="zh-CN"/>
                    </w:rPr>
                    <w:t>2</w:t>
                  </w:r>
                  <w:r>
                    <w:rPr>
                      <w:rFonts w:hint="eastAsia"/>
                      <w:color w:val="auto"/>
                      <w:highlight w:val="none"/>
                      <w:lang w:val="en-US" w:eastAsia="zh-CN"/>
                    </w:rPr>
                    <w:t>，设置等温正火炉等设备</w:t>
                  </w:r>
                  <w:r>
                    <w:rPr>
                      <w:rFonts w:hint="default"/>
                      <w:color w:val="auto"/>
                      <w:highlight w:val="none"/>
                      <w:lang w:val="en-US" w:eastAsia="zh-CN"/>
                    </w:rPr>
                    <w:t>，对锻件或半成品进行等温正火、渗碳、淬火、回火</w:t>
                  </w:r>
                  <w:r>
                    <w:rPr>
                      <w:rFonts w:hint="eastAsia"/>
                      <w:color w:val="auto"/>
                      <w:highlight w:val="none"/>
                      <w:lang w:val="en-US" w:eastAsia="zh-CN"/>
                    </w:rPr>
                    <w:t>等</w:t>
                  </w:r>
                  <w:r>
                    <w:rPr>
                      <w:rFonts w:hint="default"/>
                      <w:color w:val="auto"/>
                      <w:highlight w:val="none"/>
                      <w:lang w:val="en-US" w:eastAsia="zh-CN"/>
                    </w:rPr>
                    <w:t>作业</w:t>
                  </w:r>
                </w:p>
              </w:tc>
              <w:tc>
                <w:tcPr>
                  <w:tcW w:w="1096" w:type="dxa"/>
                  <w:noWrap w:val="0"/>
                  <w:vAlign w:val="center"/>
                </w:tcPr>
                <w:p w14:paraId="37342C13">
                  <w:pPr>
                    <w:pStyle w:val="53"/>
                    <w:bidi w:val="0"/>
                    <w:ind w:left="0" w:leftChars="0" w:firstLine="0" w:firstLineChars="0"/>
                    <w:rPr>
                      <w:rFonts w:hint="eastAsia"/>
                      <w:color w:val="auto"/>
                      <w:highlight w:val="none"/>
                      <w:lang w:val="en-US" w:eastAsia="zh-CN"/>
                    </w:rPr>
                  </w:pPr>
                  <w:r>
                    <w:rPr>
                      <w:rFonts w:hint="eastAsia"/>
                      <w:color w:val="auto"/>
                      <w:highlight w:val="none"/>
                      <w:lang w:val="en-US" w:eastAsia="zh-CN"/>
                    </w:rPr>
                    <w:t>新建</w:t>
                  </w:r>
                </w:p>
              </w:tc>
            </w:tr>
            <w:tr w14:paraId="5D3C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4B36A8EB">
                  <w:pPr>
                    <w:pStyle w:val="53"/>
                    <w:bidi w:val="0"/>
                    <w:rPr>
                      <w:color w:val="auto"/>
                      <w:highlight w:val="none"/>
                    </w:rPr>
                  </w:pPr>
                </w:p>
              </w:tc>
              <w:tc>
                <w:tcPr>
                  <w:tcW w:w="704" w:type="pct"/>
                  <w:vMerge w:val="continue"/>
                  <w:noWrap w:val="0"/>
                  <w:vAlign w:val="center"/>
                </w:tcPr>
                <w:p w14:paraId="48D80AE8">
                  <w:pPr>
                    <w:pStyle w:val="53"/>
                    <w:bidi w:val="0"/>
                    <w:ind w:left="0" w:leftChars="0" w:firstLine="0" w:firstLineChars="0"/>
                    <w:rPr>
                      <w:rFonts w:hint="eastAsia"/>
                      <w:color w:val="auto"/>
                      <w:highlight w:val="none"/>
                      <w:lang w:val="en-US" w:eastAsia="zh-CN"/>
                    </w:rPr>
                  </w:pPr>
                </w:p>
              </w:tc>
              <w:tc>
                <w:tcPr>
                  <w:tcW w:w="947" w:type="pct"/>
                  <w:vMerge w:val="continue"/>
                  <w:shd w:val="clear" w:color="auto" w:fill="auto"/>
                  <w:noWrap w:val="0"/>
                  <w:vAlign w:val="center"/>
                </w:tcPr>
                <w:p w14:paraId="28CB164F">
                  <w:pPr>
                    <w:pStyle w:val="53"/>
                    <w:bidi w:val="0"/>
                    <w:ind w:left="0" w:leftChars="0" w:firstLine="0" w:firstLineChars="0"/>
                    <w:rPr>
                      <w:rFonts w:hint="eastAsia"/>
                      <w:color w:val="auto"/>
                      <w:highlight w:val="none"/>
                      <w:lang w:val="en-US" w:eastAsia="zh-CN"/>
                    </w:rPr>
                  </w:pPr>
                </w:p>
              </w:tc>
              <w:tc>
                <w:tcPr>
                  <w:tcW w:w="3827" w:type="dxa"/>
                  <w:shd w:val="clear" w:color="auto" w:fill="auto"/>
                  <w:noWrap w:val="0"/>
                  <w:vAlign w:val="top"/>
                </w:tcPr>
                <w:p w14:paraId="7CC4AAA8">
                  <w:pPr>
                    <w:pStyle w:val="53"/>
                    <w:bidi w:val="0"/>
                    <w:ind w:left="0" w:leftChars="0" w:firstLine="0" w:firstLineChars="0"/>
                    <w:jc w:val="left"/>
                    <w:rPr>
                      <w:rFonts w:hint="eastAsia"/>
                      <w:color w:val="auto"/>
                      <w:highlight w:val="none"/>
                      <w:lang w:val="en-US" w:eastAsia="zh-CN"/>
                    </w:rPr>
                  </w:pPr>
                  <w:r>
                    <w:rPr>
                      <w:rFonts w:hint="eastAsia"/>
                      <w:color w:val="auto"/>
                      <w:highlight w:val="none"/>
                      <w:lang w:val="en-US" w:eastAsia="zh-CN"/>
                    </w:rPr>
                    <w:t>机加区：位于厂房南侧，占地面积约600m</w:t>
                  </w:r>
                  <w:r>
                    <w:rPr>
                      <w:rFonts w:hint="eastAsia"/>
                      <w:color w:val="auto"/>
                      <w:highlight w:val="none"/>
                      <w:vertAlign w:val="superscript"/>
                      <w:lang w:val="en-US" w:eastAsia="zh-CN"/>
                    </w:rPr>
                    <w:t>2</w:t>
                  </w:r>
                  <w:r>
                    <w:rPr>
                      <w:rFonts w:hint="eastAsia"/>
                      <w:color w:val="auto"/>
                      <w:highlight w:val="none"/>
                      <w:lang w:val="en-US" w:eastAsia="zh-CN"/>
                    </w:rPr>
                    <w:t>，设置数控机床、抛丸机等设备，对热处理后的齿轮进行精密加工</w:t>
                  </w:r>
                </w:p>
              </w:tc>
              <w:tc>
                <w:tcPr>
                  <w:tcW w:w="1096" w:type="dxa"/>
                  <w:noWrap w:val="0"/>
                  <w:vAlign w:val="center"/>
                </w:tcPr>
                <w:p w14:paraId="6128A37D">
                  <w:pPr>
                    <w:pStyle w:val="53"/>
                    <w:bidi w:val="0"/>
                    <w:ind w:left="0" w:leftChars="0" w:firstLine="0" w:firstLineChars="0"/>
                    <w:rPr>
                      <w:rFonts w:hint="eastAsia"/>
                      <w:color w:val="auto"/>
                      <w:highlight w:val="none"/>
                      <w:lang w:val="en-US" w:eastAsia="zh-CN"/>
                    </w:rPr>
                  </w:pPr>
                  <w:r>
                    <w:rPr>
                      <w:rFonts w:hint="eastAsia"/>
                      <w:color w:val="auto"/>
                      <w:highlight w:val="none"/>
                      <w:lang w:val="en-US" w:eastAsia="zh-CN"/>
                    </w:rPr>
                    <w:t>新建</w:t>
                  </w:r>
                </w:p>
              </w:tc>
            </w:tr>
            <w:tr w14:paraId="5347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791" w:hRule="atLeast"/>
                <w:jc w:val="center"/>
              </w:trPr>
              <w:tc>
                <w:tcPr>
                  <w:tcW w:w="401" w:type="pct"/>
                  <w:vMerge w:val="continue"/>
                  <w:noWrap w:val="0"/>
                  <w:vAlign w:val="center"/>
                </w:tcPr>
                <w:p w14:paraId="297D0B2F">
                  <w:pPr>
                    <w:pStyle w:val="53"/>
                    <w:bidi w:val="0"/>
                    <w:rPr>
                      <w:color w:val="auto"/>
                      <w:highlight w:val="none"/>
                    </w:rPr>
                  </w:pPr>
                </w:p>
              </w:tc>
              <w:tc>
                <w:tcPr>
                  <w:tcW w:w="704" w:type="pct"/>
                  <w:vMerge w:val="continue"/>
                  <w:noWrap w:val="0"/>
                  <w:vAlign w:val="center"/>
                </w:tcPr>
                <w:p w14:paraId="0C167622">
                  <w:pPr>
                    <w:pStyle w:val="53"/>
                    <w:bidi w:val="0"/>
                    <w:ind w:left="0" w:leftChars="0" w:firstLine="0" w:firstLineChars="0"/>
                    <w:rPr>
                      <w:rFonts w:hint="eastAsia"/>
                      <w:color w:val="auto"/>
                      <w:highlight w:val="none"/>
                      <w:lang w:val="en-US" w:eastAsia="zh-CN"/>
                    </w:rPr>
                  </w:pPr>
                </w:p>
              </w:tc>
              <w:tc>
                <w:tcPr>
                  <w:tcW w:w="947" w:type="pct"/>
                  <w:vMerge w:val="continue"/>
                  <w:shd w:val="clear" w:color="auto" w:fill="auto"/>
                  <w:noWrap w:val="0"/>
                  <w:vAlign w:val="center"/>
                </w:tcPr>
                <w:p w14:paraId="7CCD63A4">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p>
              </w:tc>
              <w:tc>
                <w:tcPr>
                  <w:tcW w:w="2283" w:type="pct"/>
                  <w:shd w:val="clear" w:color="auto" w:fill="auto"/>
                  <w:noWrap w:val="0"/>
                  <w:vAlign w:val="top"/>
                </w:tcPr>
                <w:p w14:paraId="7608E951">
                  <w:pPr>
                    <w:pStyle w:val="53"/>
                    <w:bidi w:val="0"/>
                    <w:ind w:left="0" w:leftChars="0" w:firstLine="0" w:firstLineChars="0"/>
                    <w:jc w:val="left"/>
                    <w:rPr>
                      <w:rFonts w:hint="default"/>
                      <w:color w:val="auto"/>
                      <w:highlight w:val="none"/>
                      <w:lang w:val="en-US"/>
                    </w:rPr>
                  </w:pPr>
                  <w:r>
                    <w:rPr>
                      <w:rFonts w:hint="eastAsia"/>
                      <w:color w:val="auto"/>
                      <w:highlight w:val="none"/>
                      <w:lang w:val="en-US" w:eastAsia="zh-CN"/>
                    </w:rPr>
                    <w:t>研发中心：位于厂房东北侧，占地面积约100m</w:t>
                  </w:r>
                  <w:r>
                    <w:rPr>
                      <w:rFonts w:hint="eastAsia"/>
                      <w:color w:val="auto"/>
                      <w:highlight w:val="none"/>
                      <w:vertAlign w:val="superscript"/>
                      <w:lang w:val="en-US" w:eastAsia="zh-CN"/>
                    </w:rPr>
                    <w:t>2</w:t>
                  </w:r>
                  <w:r>
                    <w:rPr>
                      <w:rFonts w:hint="eastAsia"/>
                      <w:color w:val="auto"/>
                      <w:highlight w:val="none"/>
                      <w:lang w:val="en-US" w:eastAsia="zh-CN"/>
                    </w:rPr>
                    <w:t>，设置</w:t>
                  </w:r>
                  <w:r>
                    <w:rPr>
                      <w:rFonts w:hint="eastAsia" w:ascii="Times New Roman" w:hAnsi="Times New Roman" w:eastAsia="宋体" w:cs="Times New Roman"/>
                      <w:color w:val="auto"/>
                      <w:highlight w:val="none"/>
                      <w:lang w:val="en-US" w:eastAsia="zh-CN"/>
                    </w:rPr>
                    <w:t>实验室检验检测仪器</w:t>
                  </w:r>
                  <w:r>
                    <w:rPr>
                      <w:rFonts w:hint="eastAsia" w:cs="Times New Roman"/>
                      <w:color w:val="auto"/>
                      <w:highlight w:val="none"/>
                      <w:lang w:val="en-US" w:eastAsia="zh-CN"/>
                    </w:rPr>
                    <w:t>，用于变速箱齿轮样品检测和尺寸精度、表面粗糙度、力学性能等性能试验</w:t>
                  </w:r>
                </w:p>
              </w:tc>
              <w:tc>
                <w:tcPr>
                  <w:tcW w:w="1096" w:type="dxa"/>
                  <w:noWrap w:val="0"/>
                  <w:vAlign w:val="center"/>
                </w:tcPr>
                <w:p w14:paraId="1616CBF8">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新建</w:t>
                  </w:r>
                </w:p>
              </w:tc>
            </w:tr>
            <w:tr w14:paraId="0776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restart"/>
                  <w:noWrap w:val="0"/>
                  <w:vAlign w:val="center"/>
                </w:tcPr>
                <w:p w14:paraId="25028300">
                  <w:pPr>
                    <w:pStyle w:val="53"/>
                    <w:bidi w:val="0"/>
                    <w:rPr>
                      <w:rFonts w:hint="default" w:eastAsia="宋体"/>
                      <w:color w:val="auto"/>
                      <w:highlight w:val="none"/>
                      <w:lang w:val="en-US" w:eastAsia="zh-CN"/>
                    </w:rPr>
                  </w:pPr>
                  <w:r>
                    <w:rPr>
                      <w:rFonts w:hint="eastAsia"/>
                      <w:color w:val="auto"/>
                      <w:highlight w:val="none"/>
                      <w:lang w:val="en-US" w:eastAsia="zh-CN"/>
                    </w:rPr>
                    <w:t>储运工程</w:t>
                  </w:r>
                </w:p>
              </w:tc>
              <w:tc>
                <w:tcPr>
                  <w:tcW w:w="704" w:type="pct"/>
                  <w:noWrap w:val="0"/>
                  <w:vAlign w:val="center"/>
                </w:tcPr>
                <w:p w14:paraId="2FE24A14">
                  <w:pPr>
                    <w:pStyle w:val="53"/>
                    <w:bidi w:val="0"/>
                    <w:rPr>
                      <w:rFonts w:hint="default"/>
                      <w:color w:val="auto"/>
                      <w:highlight w:val="none"/>
                      <w:lang w:val="en-US" w:eastAsia="zh-CN"/>
                    </w:rPr>
                  </w:pPr>
                  <w:r>
                    <w:rPr>
                      <w:rFonts w:hint="eastAsia"/>
                      <w:color w:val="auto"/>
                      <w:highlight w:val="none"/>
                      <w:lang w:val="en-US" w:eastAsia="zh-CN"/>
                    </w:rPr>
                    <w:t>成品库</w:t>
                  </w:r>
                </w:p>
              </w:tc>
              <w:tc>
                <w:tcPr>
                  <w:tcW w:w="3230" w:type="pct"/>
                  <w:gridSpan w:val="2"/>
                  <w:shd w:val="clear" w:color="auto" w:fill="auto"/>
                  <w:noWrap w:val="0"/>
                  <w:vAlign w:val="center"/>
                </w:tcPr>
                <w:p w14:paraId="1A6A7A66">
                  <w:pPr>
                    <w:pStyle w:val="53"/>
                    <w:bidi w:val="0"/>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本项目设置2个成品库，总占地面积为160m</w:t>
                  </w:r>
                  <w:r>
                    <w:rPr>
                      <w:rFonts w:hint="eastAsia"/>
                      <w:color w:val="auto"/>
                      <w:highlight w:val="none"/>
                      <w:vertAlign w:val="superscript"/>
                      <w:lang w:val="en-US" w:eastAsia="zh-CN"/>
                    </w:rPr>
                    <w:t>2</w:t>
                  </w:r>
                  <w:r>
                    <w:rPr>
                      <w:rFonts w:hint="eastAsia"/>
                      <w:color w:val="auto"/>
                      <w:highlight w:val="none"/>
                      <w:lang w:val="en-US" w:eastAsia="zh-CN"/>
                    </w:rPr>
                    <w:t>，用于成品的临时存放</w:t>
                  </w:r>
                </w:p>
              </w:tc>
              <w:tc>
                <w:tcPr>
                  <w:tcW w:w="1096" w:type="dxa"/>
                  <w:noWrap w:val="0"/>
                  <w:vAlign w:val="center"/>
                </w:tcPr>
                <w:p w14:paraId="360F54E0">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新建</w:t>
                  </w:r>
                </w:p>
              </w:tc>
            </w:tr>
            <w:tr w14:paraId="7866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735608B4">
                  <w:pPr>
                    <w:pStyle w:val="53"/>
                    <w:bidi w:val="0"/>
                    <w:rPr>
                      <w:rFonts w:hint="eastAsia"/>
                      <w:color w:val="auto"/>
                      <w:highlight w:val="none"/>
                      <w:lang w:val="en-US" w:eastAsia="zh-CN"/>
                    </w:rPr>
                  </w:pPr>
                </w:p>
              </w:tc>
              <w:tc>
                <w:tcPr>
                  <w:tcW w:w="704" w:type="pct"/>
                  <w:noWrap w:val="0"/>
                  <w:vAlign w:val="center"/>
                </w:tcPr>
                <w:p w14:paraId="6D8E0D04">
                  <w:pPr>
                    <w:pStyle w:val="53"/>
                    <w:bidi w:val="0"/>
                    <w:rPr>
                      <w:rFonts w:hint="default"/>
                      <w:color w:val="auto"/>
                      <w:highlight w:val="none"/>
                      <w:lang w:val="en-US" w:eastAsia="zh-CN"/>
                    </w:rPr>
                  </w:pPr>
                  <w:r>
                    <w:rPr>
                      <w:rFonts w:hint="eastAsia"/>
                      <w:color w:val="auto"/>
                      <w:highlight w:val="none"/>
                      <w:lang w:val="en-US" w:eastAsia="zh-CN"/>
                    </w:rPr>
                    <w:t>锻件库</w:t>
                  </w:r>
                </w:p>
              </w:tc>
              <w:tc>
                <w:tcPr>
                  <w:tcW w:w="3230" w:type="pct"/>
                  <w:gridSpan w:val="2"/>
                  <w:shd w:val="clear" w:color="auto" w:fill="auto"/>
                  <w:noWrap w:val="0"/>
                  <w:vAlign w:val="center"/>
                </w:tcPr>
                <w:p w14:paraId="5CB40C49">
                  <w:pPr>
                    <w:pStyle w:val="53"/>
                    <w:bidi w:val="0"/>
                    <w:ind w:left="0" w:leftChars="0" w:firstLine="0" w:firstLineChars="0"/>
                    <w:jc w:val="center"/>
                    <w:rPr>
                      <w:color w:val="auto"/>
                      <w:highlight w:val="none"/>
                    </w:rPr>
                  </w:pPr>
                  <w:r>
                    <w:rPr>
                      <w:rFonts w:hint="eastAsia"/>
                      <w:color w:val="auto"/>
                      <w:highlight w:val="none"/>
                      <w:lang w:val="en-US" w:eastAsia="zh-CN"/>
                    </w:rPr>
                    <w:t>占地面积为100m</w:t>
                  </w:r>
                  <w:r>
                    <w:rPr>
                      <w:rFonts w:hint="eastAsia"/>
                      <w:color w:val="auto"/>
                      <w:highlight w:val="none"/>
                      <w:vertAlign w:val="superscript"/>
                      <w:lang w:val="en-US" w:eastAsia="zh-CN"/>
                    </w:rPr>
                    <w:t>2</w:t>
                  </w:r>
                  <w:r>
                    <w:rPr>
                      <w:rFonts w:hint="eastAsia"/>
                      <w:color w:val="auto"/>
                      <w:highlight w:val="none"/>
                      <w:lang w:val="en-US" w:eastAsia="zh-CN"/>
                    </w:rPr>
                    <w:t>，用于锻件的临时存放</w:t>
                  </w:r>
                </w:p>
              </w:tc>
              <w:tc>
                <w:tcPr>
                  <w:tcW w:w="1096" w:type="dxa"/>
                  <w:noWrap w:val="0"/>
                  <w:vAlign w:val="center"/>
                </w:tcPr>
                <w:p w14:paraId="6084B2DF">
                  <w:pPr>
                    <w:pStyle w:val="53"/>
                    <w:bidi w:val="0"/>
                    <w:ind w:left="0" w:leftChars="0" w:firstLine="0" w:firstLineChars="0"/>
                    <w:rPr>
                      <w:rFonts w:hint="eastAsia"/>
                      <w:color w:val="auto"/>
                      <w:highlight w:val="none"/>
                      <w:lang w:val="en-US" w:eastAsia="zh-CN"/>
                    </w:rPr>
                  </w:pPr>
                  <w:r>
                    <w:rPr>
                      <w:rFonts w:hint="eastAsia"/>
                      <w:color w:val="auto"/>
                      <w:highlight w:val="none"/>
                      <w:lang w:val="en-US" w:eastAsia="zh-CN"/>
                    </w:rPr>
                    <w:t>新建</w:t>
                  </w:r>
                </w:p>
              </w:tc>
            </w:tr>
            <w:tr w14:paraId="54BC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4702AFB3">
                  <w:pPr>
                    <w:pStyle w:val="53"/>
                    <w:bidi w:val="0"/>
                    <w:rPr>
                      <w:rFonts w:hint="eastAsia"/>
                      <w:color w:val="auto"/>
                      <w:highlight w:val="none"/>
                      <w:lang w:val="en-US" w:eastAsia="zh-CN"/>
                    </w:rPr>
                  </w:pPr>
                </w:p>
              </w:tc>
              <w:tc>
                <w:tcPr>
                  <w:tcW w:w="704" w:type="pct"/>
                  <w:noWrap w:val="0"/>
                  <w:vAlign w:val="center"/>
                </w:tcPr>
                <w:p w14:paraId="7BBBDDF9">
                  <w:pPr>
                    <w:pStyle w:val="53"/>
                    <w:bidi w:val="0"/>
                    <w:rPr>
                      <w:rFonts w:hint="default"/>
                      <w:color w:val="auto"/>
                      <w:highlight w:val="none"/>
                      <w:lang w:val="en-US" w:eastAsia="zh-CN"/>
                    </w:rPr>
                  </w:pPr>
                  <w:r>
                    <w:rPr>
                      <w:rFonts w:hint="eastAsia"/>
                      <w:color w:val="auto"/>
                      <w:highlight w:val="none"/>
                      <w:lang w:val="en-US" w:eastAsia="zh-CN"/>
                    </w:rPr>
                    <w:t>钢材库</w:t>
                  </w:r>
                </w:p>
              </w:tc>
              <w:tc>
                <w:tcPr>
                  <w:tcW w:w="3230" w:type="pct"/>
                  <w:gridSpan w:val="2"/>
                  <w:shd w:val="clear" w:color="auto" w:fill="auto"/>
                  <w:noWrap w:val="0"/>
                  <w:vAlign w:val="center"/>
                </w:tcPr>
                <w:p w14:paraId="677408FF">
                  <w:pPr>
                    <w:pStyle w:val="53"/>
                    <w:bidi w:val="0"/>
                    <w:ind w:left="0" w:leftChars="0" w:firstLine="0" w:firstLineChars="0"/>
                    <w:jc w:val="center"/>
                    <w:rPr>
                      <w:rFonts w:hint="default"/>
                      <w:color w:val="auto"/>
                      <w:highlight w:val="none"/>
                      <w:lang w:val="en-US"/>
                    </w:rPr>
                  </w:pPr>
                  <w:r>
                    <w:rPr>
                      <w:rFonts w:hint="eastAsia"/>
                      <w:color w:val="auto"/>
                      <w:highlight w:val="none"/>
                      <w:lang w:val="en-US" w:eastAsia="zh-CN"/>
                    </w:rPr>
                    <w:t>占地面积为280m</w:t>
                  </w:r>
                  <w:r>
                    <w:rPr>
                      <w:rFonts w:hint="eastAsia"/>
                      <w:color w:val="auto"/>
                      <w:highlight w:val="none"/>
                      <w:vertAlign w:val="superscript"/>
                      <w:lang w:val="en-US" w:eastAsia="zh-CN"/>
                    </w:rPr>
                    <w:t>2</w:t>
                  </w:r>
                  <w:r>
                    <w:rPr>
                      <w:rFonts w:hint="eastAsia"/>
                      <w:color w:val="auto"/>
                      <w:highlight w:val="none"/>
                      <w:lang w:val="en-US" w:eastAsia="zh-CN"/>
                    </w:rPr>
                    <w:t>，用于存放生产所需原材料</w:t>
                  </w:r>
                </w:p>
              </w:tc>
              <w:tc>
                <w:tcPr>
                  <w:tcW w:w="1096" w:type="dxa"/>
                  <w:noWrap w:val="0"/>
                  <w:vAlign w:val="center"/>
                </w:tcPr>
                <w:p w14:paraId="5598E628">
                  <w:pPr>
                    <w:pStyle w:val="53"/>
                    <w:bidi w:val="0"/>
                    <w:ind w:left="0" w:leftChars="0" w:firstLine="0" w:firstLineChars="0"/>
                    <w:rPr>
                      <w:rFonts w:hint="eastAsia"/>
                      <w:color w:val="auto"/>
                      <w:highlight w:val="none"/>
                      <w:lang w:val="en-US" w:eastAsia="zh-CN"/>
                    </w:rPr>
                  </w:pPr>
                  <w:r>
                    <w:rPr>
                      <w:rFonts w:hint="eastAsia"/>
                      <w:color w:val="auto"/>
                      <w:highlight w:val="none"/>
                      <w:lang w:val="en-US" w:eastAsia="zh-CN"/>
                    </w:rPr>
                    <w:t>新建</w:t>
                  </w:r>
                </w:p>
              </w:tc>
            </w:tr>
            <w:tr w14:paraId="3987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0049227E">
                  <w:pPr>
                    <w:pStyle w:val="53"/>
                    <w:bidi w:val="0"/>
                    <w:rPr>
                      <w:rFonts w:hint="eastAsia"/>
                      <w:color w:val="auto"/>
                      <w:highlight w:val="none"/>
                      <w:lang w:val="en-US" w:eastAsia="zh-CN"/>
                    </w:rPr>
                  </w:pPr>
                </w:p>
              </w:tc>
              <w:tc>
                <w:tcPr>
                  <w:tcW w:w="704" w:type="pct"/>
                  <w:noWrap w:val="0"/>
                  <w:vAlign w:val="center"/>
                </w:tcPr>
                <w:p w14:paraId="075A5A38">
                  <w:pPr>
                    <w:pStyle w:val="53"/>
                    <w:bidi w:val="0"/>
                    <w:rPr>
                      <w:rFonts w:hint="default"/>
                      <w:color w:val="auto"/>
                      <w:highlight w:val="none"/>
                      <w:lang w:val="en-US" w:eastAsia="zh-CN"/>
                    </w:rPr>
                  </w:pPr>
                  <w:r>
                    <w:rPr>
                      <w:rFonts w:hint="eastAsia"/>
                      <w:color w:val="auto"/>
                      <w:highlight w:val="none"/>
                      <w:lang w:val="en-US" w:eastAsia="zh-CN"/>
                    </w:rPr>
                    <w:t>铁屑区</w:t>
                  </w:r>
                </w:p>
              </w:tc>
              <w:tc>
                <w:tcPr>
                  <w:tcW w:w="3230" w:type="pct"/>
                  <w:gridSpan w:val="2"/>
                  <w:shd w:val="clear" w:color="auto" w:fill="auto"/>
                  <w:noWrap w:val="0"/>
                  <w:vAlign w:val="center"/>
                </w:tcPr>
                <w:p w14:paraId="5AC53E6A">
                  <w:pPr>
                    <w:pStyle w:val="53"/>
                    <w:bidi w:val="0"/>
                    <w:ind w:left="0" w:leftChars="0" w:firstLine="0" w:firstLineChars="0"/>
                    <w:jc w:val="center"/>
                    <w:rPr>
                      <w:rFonts w:hint="default"/>
                      <w:color w:val="auto"/>
                      <w:highlight w:val="none"/>
                      <w:lang w:val="en-US"/>
                    </w:rPr>
                  </w:pPr>
                  <w:r>
                    <w:rPr>
                      <w:rFonts w:hint="eastAsia"/>
                      <w:color w:val="auto"/>
                      <w:highlight w:val="none"/>
                      <w:lang w:val="en-US" w:eastAsia="zh-CN"/>
                    </w:rPr>
                    <w:t>占地面积为80m</w:t>
                  </w:r>
                  <w:r>
                    <w:rPr>
                      <w:rFonts w:hint="eastAsia"/>
                      <w:color w:val="auto"/>
                      <w:highlight w:val="none"/>
                      <w:vertAlign w:val="superscript"/>
                      <w:lang w:val="en-US" w:eastAsia="zh-CN"/>
                    </w:rPr>
                    <w:t>2</w:t>
                  </w:r>
                  <w:r>
                    <w:rPr>
                      <w:rFonts w:hint="eastAsia"/>
                      <w:color w:val="auto"/>
                      <w:highlight w:val="none"/>
                      <w:lang w:val="en-US" w:eastAsia="zh-CN"/>
                    </w:rPr>
                    <w:t>，用于临时存放生产过程中产生的铁屑和下脚料</w:t>
                  </w:r>
                </w:p>
              </w:tc>
              <w:tc>
                <w:tcPr>
                  <w:tcW w:w="1096" w:type="dxa"/>
                  <w:noWrap w:val="0"/>
                  <w:vAlign w:val="center"/>
                </w:tcPr>
                <w:p w14:paraId="24E214B7">
                  <w:pPr>
                    <w:pStyle w:val="53"/>
                    <w:bidi w:val="0"/>
                    <w:ind w:left="0" w:leftChars="0" w:firstLine="0" w:firstLineChars="0"/>
                    <w:rPr>
                      <w:rFonts w:hint="eastAsia"/>
                      <w:color w:val="auto"/>
                      <w:highlight w:val="none"/>
                      <w:lang w:val="en-US" w:eastAsia="zh-CN"/>
                    </w:rPr>
                  </w:pPr>
                  <w:r>
                    <w:rPr>
                      <w:rFonts w:hint="eastAsia"/>
                      <w:color w:val="auto"/>
                      <w:highlight w:val="none"/>
                      <w:lang w:val="en-US" w:eastAsia="zh-CN"/>
                    </w:rPr>
                    <w:t>新建</w:t>
                  </w:r>
                </w:p>
              </w:tc>
            </w:tr>
            <w:tr w14:paraId="48BF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605" w:hRule="exact"/>
                <w:jc w:val="center"/>
              </w:trPr>
              <w:tc>
                <w:tcPr>
                  <w:tcW w:w="401" w:type="pct"/>
                  <w:vMerge w:val="restart"/>
                  <w:noWrap w:val="0"/>
                  <w:vAlign w:val="center"/>
                </w:tcPr>
                <w:p w14:paraId="7E8B62B0">
                  <w:pPr>
                    <w:pStyle w:val="53"/>
                    <w:bidi w:val="0"/>
                    <w:rPr>
                      <w:rFonts w:hint="eastAsia"/>
                      <w:color w:val="auto"/>
                      <w:highlight w:val="none"/>
                      <w:lang w:val="en-US" w:eastAsia="zh-CN"/>
                    </w:rPr>
                  </w:pPr>
                  <w:r>
                    <w:rPr>
                      <w:rFonts w:hint="eastAsia"/>
                      <w:color w:val="auto"/>
                      <w:highlight w:val="none"/>
                      <w:lang w:val="en-US" w:eastAsia="zh-CN"/>
                    </w:rPr>
                    <w:t>辅助工程</w:t>
                  </w:r>
                </w:p>
              </w:tc>
              <w:tc>
                <w:tcPr>
                  <w:tcW w:w="704" w:type="pct"/>
                  <w:noWrap w:val="0"/>
                  <w:vAlign w:val="center"/>
                </w:tcPr>
                <w:p w14:paraId="00E6BE96">
                  <w:pPr>
                    <w:pStyle w:val="53"/>
                    <w:bidi w:val="0"/>
                    <w:rPr>
                      <w:rFonts w:hint="default"/>
                      <w:color w:val="auto"/>
                      <w:highlight w:val="none"/>
                      <w:lang w:val="en-US" w:eastAsia="zh-CN"/>
                    </w:rPr>
                  </w:pPr>
                  <w:r>
                    <w:rPr>
                      <w:rFonts w:hint="eastAsia"/>
                      <w:color w:val="auto"/>
                      <w:highlight w:val="none"/>
                      <w:lang w:val="en-US" w:eastAsia="zh-CN"/>
                    </w:rPr>
                    <w:t>办公室</w:t>
                  </w:r>
                </w:p>
              </w:tc>
              <w:tc>
                <w:tcPr>
                  <w:tcW w:w="3230" w:type="pct"/>
                  <w:gridSpan w:val="2"/>
                  <w:shd w:val="clear" w:color="auto" w:fill="auto"/>
                  <w:noWrap w:val="0"/>
                  <w:vAlign w:val="center"/>
                </w:tcPr>
                <w:p w14:paraId="7B0E1D63">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面积为90m</w:t>
                  </w:r>
                  <w:r>
                    <w:rPr>
                      <w:rFonts w:hint="eastAsia"/>
                      <w:color w:val="auto"/>
                      <w:highlight w:val="none"/>
                      <w:vertAlign w:val="superscript"/>
                      <w:lang w:val="en-US" w:eastAsia="zh-CN"/>
                    </w:rPr>
                    <w:t>2</w:t>
                  </w:r>
                  <w:r>
                    <w:rPr>
                      <w:rFonts w:hint="eastAsia"/>
                      <w:color w:val="auto"/>
                      <w:highlight w:val="none"/>
                      <w:lang w:val="en-US" w:eastAsia="zh-CN"/>
                    </w:rPr>
                    <w:t>，用于员工日常办公和为车间提供日常管理工作</w:t>
                  </w:r>
                </w:p>
              </w:tc>
              <w:tc>
                <w:tcPr>
                  <w:tcW w:w="1096" w:type="dxa"/>
                  <w:noWrap w:val="0"/>
                  <w:vAlign w:val="center"/>
                </w:tcPr>
                <w:p w14:paraId="68373A04">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新建</w:t>
                  </w:r>
                </w:p>
              </w:tc>
            </w:tr>
            <w:tr w14:paraId="6560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90" w:hRule="atLeast"/>
                <w:jc w:val="center"/>
              </w:trPr>
              <w:tc>
                <w:tcPr>
                  <w:tcW w:w="401" w:type="pct"/>
                  <w:vMerge w:val="continue"/>
                  <w:noWrap w:val="0"/>
                  <w:vAlign w:val="center"/>
                </w:tcPr>
                <w:p w14:paraId="4004C1F9">
                  <w:pPr>
                    <w:pStyle w:val="53"/>
                    <w:bidi w:val="0"/>
                    <w:rPr>
                      <w:color w:val="auto"/>
                      <w:highlight w:val="none"/>
                    </w:rPr>
                  </w:pPr>
                </w:p>
              </w:tc>
              <w:tc>
                <w:tcPr>
                  <w:tcW w:w="704" w:type="pct"/>
                  <w:noWrap w:val="0"/>
                  <w:vAlign w:val="center"/>
                </w:tcPr>
                <w:p w14:paraId="64D6BD8B">
                  <w:pPr>
                    <w:pStyle w:val="53"/>
                    <w:bidi w:val="0"/>
                    <w:rPr>
                      <w:rFonts w:hint="default"/>
                      <w:color w:val="auto"/>
                      <w:highlight w:val="none"/>
                      <w:lang w:val="en-US" w:eastAsia="zh-CN"/>
                    </w:rPr>
                  </w:pPr>
                  <w:r>
                    <w:rPr>
                      <w:rFonts w:hint="eastAsia"/>
                      <w:color w:val="auto"/>
                      <w:highlight w:val="none"/>
                      <w:lang w:val="en-US" w:eastAsia="zh-CN"/>
                    </w:rPr>
                    <w:t>配电房</w:t>
                  </w:r>
                </w:p>
              </w:tc>
              <w:tc>
                <w:tcPr>
                  <w:tcW w:w="3230" w:type="pct"/>
                  <w:gridSpan w:val="2"/>
                  <w:shd w:val="clear" w:color="auto" w:fill="auto"/>
                  <w:noWrap w:val="0"/>
                  <w:vAlign w:val="center"/>
                </w:tcPr>
                <w:p w14:paraId="0AC4D71C">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面积为90m</w:t>
                  </w:r>
                  <w:r>
                    <w:rPr>
                      <w:rFonts w:hint="eastAsia"/>
                      <w:color w:val="auto"/>
                      <w:highlight w:val="none"/>
                      <w:vertAlign w:val="superscript"/>
                      <w:lang w:val="en-US" w:eastAsia="zh-CN"/>
                    </w:rPr>
                    <w:t>2</w:t>
                  </w:r>
                  <w:r>
                    <w:rPr>
                      <w:rFonts w:hint="eastAsia"/>
                      <w:color w:val="auto"/>
                      <w:highlight w:val="none"/>
                      <w:lang w:val="en-US" w:eastAsia="zh-CN"/>
                    </w:rPr>
                    <w:t>，用于安装变压器、配电柜等供电设施</w:t>
                  </w:r>
                </w:p>
              </w:tc>
              <w:tc>
                <w:tcPr>
                  <w:tcW w:w="664" w:type="pct"/>
                  <w:noWrap w:val="0"/>
                  <w:vAlign w:val="center"/>
                </w:tcPr>
                <w:p w14:paraId="6DB61C9F">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依托</w:t>
                  </w:r>
                </w:p>
              </w:tc>
            </w:tr>
            <w:tr w14:paraId="65F5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restart"/>
                  <w:noWrap w:val="0"/>
                  <w:vAlign w:val="center"/>
                </w:tcPr>
                <w:p w14:paraId="5D4FB041">
                  <w:pPr>
                    <w:pStyle w:val="53"/>
                    <w:bidi w:val="0"/>
                    <w:rPr>
                      <w:color w:val="auto"/>
                      <w:highlight w:val="none"/>
                    </w:rPr>
                  </w:pPr>
                  <w:r>
                    <w:rPr>
                      <w:color w:val="auto"/>
                      <w:highlight w:val="none"/>
                    </w:rPr>
                    <w:t>公用工程</w:t>
                  </w:r>
                </w:p>
              </w:tc>
              <w:tc>
                <w:tcPr>
                  <w:tcW w:w="704" w:type="pct"/>
                  <w:noWrap w:val="0"/>
                  <w:vAlign w:val="center"/>
                </w:tcPr>
                <w:p w14:paraId="55DD7C19">
                  <w:pPr>
                    <w:pStyle w:val="53"/>
                    <w:bidi w:val="0"/>
                    <w:rPr>
                      <w:rFonts w:hint="eastAsia"/>
                      <w:color w:val="auto"/>
                      <w:highlight w:val="none"/>
                      <w:lang w:val="en-US" w:eastAsia="zh-CN"/>
                    </w:rPr>
                  </w:pPr>
                  <w:r>
                    <w:rPr>
                      <w:rFonts w:hint="eastAsia"/>
                      <w:color w:val="auto"/>
                      <w:highlight w:val="none"/>
                      <w:lang w:val="en-US" w:eastAsia="zh-CN"/>
                    </w:rPr>
                    <w:t>供电</w:t>
                  </w:r>
                </w:p>
              </w:tc>
              <w:tc>
                <w:tcPr>
                  <w:tcW w:w="3230" w:type="pct"/>
                  <w:gridSpan w:val="2"/>
                  <w:shd w:val="clear" w:color="auto" w:fill="auto"/>
                  <w:noWrap w:val="0"/>
                  <w:vAlign w:val="center"/>
                </w:tcPr>
                <w:p w14:paraId="5721CC0A">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color w:val="auto"/>
                      <w:highlight w:val="none"/>
                    </w:rPr>
                    <w:t>由</w:t>
                  </w:r>
                  <w:r>
                    <w:rPr>
                      <w:rFonts w:hint="eastAsia"/>
                      <w:color w:val="auto"/>
                      <w:highlight w:val="none"/>
                      <w:lang w:val="en-US" w:eastAsia="zh-CN"/>
                    </w:rPr>
                    <w:t>蔡家坡经开区园区电网供电，新建箱式变压器一台</w:t>
                  </w:r>
                </w:p>
              </w:tc>
              <w:tc>
                <w:tcPr>
                  <w:tcW w:w="664" w:type="pct"/>
                  <w:noWrap w:val="0"/>
                  <w:vAlign w:val="center"/>
                </w:tcPr>
                <w:p w14:paraId="5753FC23">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依托</w:t>
                  </w:r>
                </w:p>
              </w:tc>
            </w:tr>
            <w:tr w14:paraId="2136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3911FC85">
                  <w:pPr>
                    <w:pStyle w:val="53"/>
                    <w:bidi w:val="0"/>
                    <w:rPr>
                      <w:color w:val="auto"/>
                      <w:highlight w:val="none"/>
                    </w:rPr>
                  </w:pPr>
                </w:p>
              </w:tc>
              <w:tc>
                <w:tcPr>
                  <w:tcW w:w="704" w:type="pct"/>
                  <w:noWrap w:val="0"/>
                  <w:vAlign w:val="center"/>
                </w:tcPr>
                <w:p w14:paraId="1A107E2E">
                  <w:pPr>
                    <w:pStyle w:val="53"/>
                    <w:bidi w:val="0"/>
                    <w:rPr>
                      <w:rFonts w:hint="eastAsia"/>
                      <w:color w:val="auto"/>
                      <w:highlight w:val="none"/>
                      <w:lang w:val="en-US" w:eastAsia="zh-CN"/>
                    </w:rPr>
                  </w:pPr>
                  <w:r>
                    <w:rPr>
                      <w:rFonts w:hint="eastAsia"/>
                      <w:color w:val="auto"/>
                      <w:highlight w:val="none"/>
                      <w:lang w:val="en-US" w:eastAsia="zh-CN"/>
                    </w:rPr>
                    <w:t>供水</w:t>
                  </w:r>
                </w:p>
              </w:tc>
              <w:tc>
                <w:tcPr>
                  <w:tcW w:w="3230" w:type="pct"/>
                  <w:gridSpan w:val="2"/>
                  <w:shd w:val="clear" w:color="auto" w:fill="auto"/>
                  <w:noWrap w:val="0"/>
                  <w:vAlign w:val="center"/>
                </w:tcPr>
                <w:p w14:paraId="13980A5B">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color w:val="auto"/>
                      <w:highlight w:val="none"/>
                    </w:rPr>
                    <w:t>本项目供水依托蔡家坡百万平米厂房工业园区市政供水管网</w:t>
                  </w:r>
                </w:p>
              </w:tc>
              <w:tc>
                <w:tcPr>
                  <w:tcW w:w="664" w:type="pct"/>
                  <w:noWrap w:val="0"/>
                  <w:vAlign w:val="center"/>
                </w:tcPr>
                <w:p w14:paraId="788C8349">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依托</w:t>
                  </w:r>
                </w:p>
              </w:tc>
            </w:tr>
            <w:tr w14:paraId="163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34" w:hRule="atLeast"/>
                <w:jc w:val="center"/>
              </w:trPr>
              <w:tc>
                <w:tcPr>
                  <w:tcW w:w="401" w:type="pct"/>
                  <w:vMerge w:val="continue"/>
                  <w:noWrap w:val="0"/>
                  <w:vAlign w:val="center"/>
                </w:tcPr>
                <w:p w14:paraId="701C58EF">
                  <w:pPr>
                    <w:pStyle w:val="53"/>
                    <w:bidi w:val="0"/>
                    <w:rPr>
                      <w:color w:val="auto"/>
                      <w:highlight w:val="none"/>
                    </w:rPr>
                  </w:pPr>
                </w:p>
              </w:tc>
              <w:tc>
                <w:tcPr>
                  <w:tcW w:w="704" w:type="pct"/>
                  <w:noWrap w:val="0"/>
                  <w:vAlign w:val="center"/>
                </w:tcPr>
                <w:p w14:paraId="0E55A0AC">
                  <w:pPr>
                    <w:pStyle w:val="53"/>
                    <w:bidi w:val="0"/>
                    <w:rPr>
                      <w:rFonts w:hint="eastAsia"/>
                      <w:color w:val="auto"/>
                      <w:highlight w:val="none"/>
                      <w:lang w:val="en-US" w:eastAsia="zh-CN"/>
                    </w:rPr>
                  </w:pPr>
                  <w:r>
                    <w:rPr>
                      <w:rFonts w:hint="eastAsia"/>
                      <w:color w:val="auto"/>
                      <w:highlight w:val="none"/>
                      <w:lang w:val="en-US" w:eastAsia="zh-CN"/>
                    </w:rPr>
                    <w:t>供气</w:t>
                  </w:r>
                </w:p>
              </w:tc>
              <w:tc>
                <w:tcPr>
                  <w:tcW w:w="3230" w:type="pct"/>
                  <w:gridSpan w:val="2"/>
                  <w:shd w:val="clear" w:color="auto" w:fill="auto"/>
                  <w:noWrap w:val="0"/>
                  <w:vAlign w:val="top"/>
                </w:tcPr>
                <w:p w14:paraId="202301C3">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等温正火</w:t>
                  </w:r>
                  <w:r>
                    <w:rPr>
                      <w:rFonts w:hint="eastAsia"/>
                      <w:color w:val="auto"/>
                      <w:highlight w:val="none"/>
                    </w:rPr>
                    <w:t>炉采用天然气供热，天然气由高新区供气管网供给。</w:t>
                  </w:r>
                </w:p>
              </w:tc>
              <w:tc>
                <w:tcPr>
                  <w:tcW w:w="664" w:type="pct"/>
                  <w:noWrap w:val="0"/>
                  <w:vAlign w:val="center"/>
                </w:tcPr>
                <w:p w14:paraId="544AD4E6">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依托</w:t>
                  </w:r>
                </w:p>
              </w:tc>
            </w:tr>
            <w:tr w14:paraId="165E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6D095EB0">
                  <w:pPr>
                    <w:pStyle w:val="53"/>
                    <w:bidi w:val="0"/>
                    <w:rPr>
                      <w:color w:val="auto"/>
                      <w:highlight w:val="none"/>
                    </w:rPr>
                  </w:pPr>
                </w:p>
              </w:tc>
              <w:tc>
                <w:tcPr>
                  <w:tcW w:w="704" w:type="pct"/>
                  <w:noWrap w:val="0"/>
                  <w:vAlign w:val="center"/>
                </w:tcPr>
                <w:p w14:paraId="32BBA9B6">
                  <w:pPr>
                    <w:pStyle w:val="53"/>
                    <w:bidi w:val="0"/>
                    <w:rPr>
                      <w:rFonts w:hint="default"/>
                      <w:color w:val="auto"/>
                      <w:highlight w:val="none"/>
                      <w:lang w:val="en-US" w:eastAsia="zh-CN"/>
                    </w:rPr>
                  </w:pPr>
                  <w:r>
                    <w:rPr>
                      <w:rFonts w:hint="eastAsia"/>
                      <w:color w:val="auto"/>
                      <w:highlight w:val="none"/>
                      <w:lang w:val="en-US" w:eastAsia="zh-CN"/>
                    </w:rPr>
                    <w:t>采暖</w:t>
                  </w:r>
                </w:p>
              </w:tc>
              <w:tc>
                <w:tcPr>
                  <w:tcW w:w="3230" w:type="pct"/>
                  <w:gridSpan w:val="2"/>
                  <w:shd w:val="clear" w:color="auto" w:fill="auto"/>
                  <w:noWrap w:val="0"/>
                  <w:vAlign w:val="center"/>
                </w:tcPr>
                <w:p w14:paraId="061696E2">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生产区不供暖，办公区</w:t>
                  </w:r>
                  <w:r>
                    <w:rPr>
                      <w:color w:val="auto"/>
                      <w:highlight w:val="none"/>
                    </w:rPr>
                    <w:t>采用分体式外挂空调</w:t>
                  </w:r>
                </w:p>
              </w:tc>
              <w:tc>
                <w:tcPr>
                  <w:tcW w:w="664" w:type="pct"/>
                  <w:noWrap w:val="0"/>
                  <w:vAlign w:val="center"/>
                </w:tcPr>
                <w:p w14:paraId="667C944A">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新建</w:t>
                  </w:r>
                </w:p>
              </w:tc>
            </w:tr>
            <w:tr w14:paraId="78EF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36" w:hRule="atLeast"/>
                <w:jc w:val="center"/>
              </w:trPr>
              <w:tc>
                <w:tcPr>
                  <w:tcW w:w="401" w:type="pct"/>
                  <w:vMerge w:val="restart"/>
                  <w:noWrap w:val="0"/>
                  <w:vAlign w:val="center"/>
                </w:tcPr>
                <w:p w14:paraId="264AFA7E">
                  <w:pPr>
                    <w:pStyle w:val="53"/>
                    <w:bidi w:val="0"/>
                    <w:rPr>
                      <w:color w:val="auto"/>
                      <w:highlight w:val="none"/>
                    </w:rPr>
                  </w:pPr>
                  <w:r>
                    <w:rPr>
                      <w:color w:val="auto"/>
                      <w:highlight w:val="none"/>
                    </w:rPr>
                    <w:t>环保工程</w:t>
                  </w:r>
                </w:p>
              </w:tc>
              <w:tc>
                <w:tcPr>
                  <w:tcW w:w="704" w:type="pct"/>
                  <w:vMerge w:val="restart"/>
                  <w:noWrap w:val="0"/>
                  <w:vAlign w:val="center"/>
                </w:tcPr>
                <w:p w14:paraId="16C2E0BA">
                  <w:pPr>
                    <w:pStyle w:val="53"/>
                    <w:bidi w:val="0"/>
                    <w:rPr>
                      <w:rFonts w:hint="default"/>
                      <w:color w:val="auto"/>
                      <w:highlight w:val="none"/>
                      <w:lang w:val="en-US" w:eastAsia="zh-CN"/>
                    </w:rPr>
                  </w:pPr>
                  <w:r>
                    <w:rPr>
                      <w:rFonts w:hint="eastAsia"/>
                      <w:color w:val="auto"/>
                      <w:highlight w:val="none"/>
                      <w:lang w:val="en-US" w:eastAsia="zh-CN"/>
                    </w:rPr>
                    <w:t>废气</w:t>
                  </w:r>
                </w:p>
              </w:tc>
              <w:tc>
                <w:tcPr>
                  <w:tcW w:w="3230" w:type="pct"/>
                  <w:gridSpan w:val="2"/>
                  <w:noWrap w:val="0"/>
                  <w:vAlign w:val="center"/>
                </w:tcPr>
                <w:p w14:paraId="2AB1A9BE">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等温正火炉带有低氮燃烧装置，热处理废气经油雾净化装置处理后，再经15m高排气筒DA001排放。</w:t>
                  </w:r>
                </w:p>
              </w:tc>
              <w:tc>
                <w:tcPr>
                  <w:tcW w:w="1096" w:type="dxa"/>
                  <w:noWrap w:val="0"/>
                  <w:vAlign w:val="center"/>
                </w:tcPr>
                <w:p w14:paraId="6CD04BAF">
                  <w:pPr>
                    <w:pStyle w:val="53"/>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新建</w:t>
                  </w:r>
                </w:p>
              </w:tc>
            </w:tr>
            <w:tr w14:paraId="192B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36" w:hRule="atLeast"/>
                <w:jc w:val="center"/>
              </w:trPr>
              <w:tc>
                <w:tcPr>
                  <w:tcW w:w="401" w:type="pct"/>
                  <w:vMerge w:val="continue"/>
                  <w:noWrap w:val="0"/>
                  <w:vAlign w:val="center"/>
                </w:tcPr>
                <w:p w14:paraId="1C242929">
                  <w:pPr>
                    <w:pStyle w:val="53"/>
                    <w:bidi w:val="0"/>
                    <w:ind w:left="0" w:leftChars="0" w:firstLine="0" w:firstLineChars="0"/>
                    <w:rPr>
                      <w:color w:val="auto"/>
                      <w:highlight w:val="none"/>
                    </w:rPr>
                  </w:pPr>
                </w:p>
              </w:tc>
              <w:tc>
                <w:tcPr>
                  <w:tcW w:w="704" w:type="pct"/>
                  <w:vMerge w:val="continue"/>
                  <w:noWrap w:val="0"/>
                  <w:vAlign w:val="center"/>
                </w:tcPr>
                <w:p w14:paraId="35D486EA">
                  <w:pPr>
                    <w:pStyle w:val="53"/>
                    <w:bidi w:val="0"/>
                    <w:ind w:left="0" w:leftChars="0" w:firstLine="0" w:firstLineChars="0"/>
                    <w:rPr>
                      <w:color w:val="auto"/>
                      <w:highlight w:val="none"/>
                    </w:rPr>
                  </w:pPr>
                </w:p>
              </w:tc>
              <w:tc>
                <w:tcPr>
                  <w:tcW w:w="3230" w:type="pct"/>
                  <w:gridSpan w:val="2"/>
                  <w:noWrap w:val="0"/>
                  <w:vAlign w:val="center"/>
                </w:tcPr>
                <w:p w14:paraId="6D62E7C5">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抛丸机粉尘采用袋式除尘器处理后，</w:t>
                  </w:r>
                  <w:r>
                    <w:rPr>
                      <w:rFonts w:hint="eastAsia"/>
                      <w:color w:val="auto"/>
                      <w:lang w:val="en-US" w:eastAsia="zh-CN"/>
                    </w:rPr>
                    <w:t>经15m排气筒DA002排放。</w:t>
                  </w:r>
                </w:p>
              </w:tc>
              <w:tc>
                <w:tcPr>
                  <w:tcW w:w="1096" w:type="dxa"/>
                  <w:noWrap w:val="0"/>
                  <w:vAlign w:val="center"/>
                </w:tcPr>
                <w:p w14:paraId="3D30AF78">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新建</w:t>
                  </w:r>
                </w:p>
              </w:tc>
            </w:tr>
            <w:tr w14:paraId="03B9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1CBA72D9">
                  <w:pPr>
                    <w:pStyle w:val="53"/>
                    <w:bidi w:val="0"/>
                    <w:rPr>
                      <w:color w:val="auto"/>
                      <w:highlight w:val="none"/>
                    </w:rPr>
                  </w:pPr>
                </w:p>
              </w:tc>
              <w:tc>
                <w:tcPr>
                  <w:tcW w:w="704" w:type="pct"/>
                  <w:noWrap w:val="0"/>
                  <w:vAlign w:val="center"/>
                </w:tcPr>
                <w:p w14:paraId="35B55CF8">
                  <w:pPr>
                    <w:pStyle w:val="53"/>
                    <w:bidi w:val="0"/>
                    <w:rPr>
                      <w:rFonts w:hint="eastAsia"/>
                      <w:color w:val="auto"/>
                      <w:highlight w:val="none"/>
                      <w:lang w:val="en-US" w:eastAsia="zh-CN"/>
                    </w:rPr>
                  </w:pPr>
                  <w:r>
                    <w:rPr>
                      <w:rFonts w:hint="eastAsia"/>
                      <w:color w:val="auto"/>
                      <w:highlight w:val="none"/>
                      <w:lang w:val="en-US" w:eastAsia="zh-CN"/>
                    </w:rPr>
                    <w:t>废水</w:t>
                  </w:r>
                </w:p>
              </w:tc>
              <w:tc>
                <w:tcPr>
                  <w:tcW w:w="3230" w:type="pct"/>
                  <w:gridSpan w:val="2"/>
                  <w:noWrap w:val="0"/>
                  <w:vAlign w:val="center"/>
                </w:tcPr>
                <w:p w14:paraId="14555BC0">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生产所用冷却用水和脱模用水均循环使用，</w:t>
                  </w:r>
                  <w:r>
                    <w:rPr>
                      <w:color w:val="auto"/>
                      <w:highlight w:val="none"/>
                    </w:rPr>
                    <w:t>仅需定期补充损耗水量</w:t>
                  </w:r>
                  <w:r>
                    <w:rPr>
                      <w:rFonts w:hint="eastAsia"/>
                      <w:color w:val="auto"/>
                      <w:highlight w:val="none"/>
                      <w:lang w:eastAsia="zh-CN"/>
                    </w:rPr>
                    <w:t>；</w:t>
                  </w:r>
                  <w:r>
                    <w:rPr>
                      <w:rFonts w:hint="eastAsia"/>
                      <w:color w:val="auto"/>
                      <w:highlight w:val="none"/>
                      <w:lang w:val="en-US" w:eastAsia="zh-CN"/>
                    </w:rPr>
                    <w:t>生活污水经化粪池预处理后，经市政污水管网排入五丈原污水处理厂集中处理。</w:t>
                  </w:r>
                </w:p>
              </w:tc>
              <w:tc>
                <w:tcPr>
                  <w:tcW w:w="664" w:type="pct"/>
                  <w:noWrap w:val="0"/>
                  <w:vAlign w:val="center"/>
                </w:tcPr>
                <w:p w14:paraId="43AA349A">
                  <w:pPr>
                    <w:pStyle w:val="53"/>
                    <w:bidi w:val="0"/>
                    <w:rPr>
                      <w:rFonts w:hint="default"/>
                      <w:color w:val="auto"/>
                      <w:highlight w:val="none"/>
                      <w:lang w:val="en-US" w:eastAsia="zh-CN"/>
                    </w:rPr>
                  </w:pPr>
                  <w:r>
                    <w:rPr>
                      <w:rFonts w:hint="eastAsia"/>
                      <w:color w:val="auto"/>
                      <w:highlight w:val="none"/>
                      <w:lang w:val="en-US" w:eastAsia="zh-CN"/>
                    </w:rPr>
                    <w:t>依托</w:t>
                  </w:r>
                </w:p>
              </w:tc>
            </w:tr>
            <w:tr w14:paraId="2DD4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5BBC6326">
                  <w:pPr>
                    <w:pStyle w:val="53"/>
                    <w:bidi w:val="0"/>
                    <w:rPr>
                      <w:color w:val="auto"/>
                      <w:highlight w:val="none"/>
                    </w:rPr>
                  </w:pPr>
                </w:p>
              </w:tc>
              <w:tc>
                <w:tcPr>
                  <w:tcW w:w="704" w:type="pct"/>
                  <w:noWrap w:val="0"/>
                  <w:vAlign w:val="center"/>
                </w:tcPr>
                <w:p w14:paraId="7A58BB4D">
                  <w:pPr>
                    <w:pStyle w:val="53"/>
                    <w:bidi w:val="0"/>
                    <w:rPr>
                      <w:rFonts w:hint="eastAsia"/>
                      <w:color w:val="auto"/>
                      <w:highlight w:val="none"/>
                      <w:lang w:val="en-US" w:eastAsia="zh-CN"/>
                    </w:rPr>
                  </w:pPr>
                  <w:r>
                    <w:rPr>
                      <w:rFonts w:hint="eastAsia"/>
                      <w:color w:val="auto"/>
                      <w:highlight w:val="none"/>
                      <w:lang w:val="en-US" w:eastAsia="zh-CN"/>
                    </w:rPr>
                    <w:t>噪声</w:t>
                  </w:r>
                </w:p>
              </w:tc>
              <w:tc>
                <w:tcPr>
                  <w:tcW w:w="3230" w:type="pct"/>
                  <w:gridSpan w:val="2"/>
                  <w:noWrap w:val="0"/>
                  <w:vAlign w:val="center"/>
                </w:tcPr>
                <w:p w14:paraId="085E4ACE">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color w:val="auto"/>
                      <w:highlight w:val="none"/>
                    </w:rPr>
                    <w:t>各类</w:t>
                  </w:r>
                  <w:r>
                    <w:rPr>
                      <w:rFonts w:hint="eastAsia" w:ascii="Times New Roman" w:hAnsi="Times New Roman" w:eastAsia="宋体" w:cs="Times New Roman"/>
                      <w:color w:val="auto"/>
                      <w:sz w:val="21"/>
                      <w:szCs w:val="21"/>
                      <w:highlight w:val="none"/>
                      <w:lang w:val="en-US" w:eastAsia="zh-CN"/>
                    </w:rPr>
                    <w:t>设备采取减振、厂房隔声等消声措施</w:t>
                  </w:r>
                </w:p>
              </w:tc>
              <w:tc>
                <w:tcPr>
                  <w:tcW w:w="1096" w:type="dxa"/>
                  <w:noWrap w:val="0"/>
                  <w:vAlign w:val="center"/>
                </w:tcPr>
                <w:p w14:paraId="18DFD769">
                  <w:pPr>
                    <w:pStyle w:val="53"/>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新建</w:t>
                  </w:r>
                </w:p>
              </w:tc>
            </w:tr>
            <w:tr w14:paraId="5F65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67" w:hRule="atLeast"/>
                <w:jc w:val="center"/>
              </w:trPr>
              <w:tc>
                <w:tcPr>
                  <w:tcW w:w="401" w:type="pct"/>
                  <w:vMerge w:val="continue"/>
                  <w:noWrap w:val="0"/>
                  <w:vAlign w:val="center"/>
                </w:tcPr>
                <w:p w14:paraId="54E32C95">
                  <w:pPr>
                    <w:pStyle w:val="53"/>
                    <w:bidi w:val="0"/>
                    <w:rPr>
                      <w:color w:val="auto"/>
                      <w:highlight w:val="none"/>
                    </w:rPr>
                  </w:pPr>
                </w:p>
              </w:tc>
              <w:tc>
                <w:tcPr>
                  <w:tcW w:w="704" w:type="pct"/>
                  <w:vMerge w:val="restart"/>
                  <w:noWrap w:val="0"/>
                  <w:vAlign w:val="center"/>
                </w:tcPr>
                <w:p w14:paraId="646977D1">
                  <w:pPr>
                    <w:pStyle w:val="53"/>
                    <w:bidi w:val="0"/>
                    <w:rPr>
                      <w:rFonts w:hint="eastAsia"/>
                      <w:color w:val="auto"/>
                      <w:highlight w:val="none"/>
                      <w:lang w:val="en-US" w:eastAsia="zh-CN"/>
                    </w:rPr>
                  </w:pPr>
                  <w:r>
                    <w:rPr>
                      <w:rFonts w:hint="eastAsia"/>
                      <w:color w:val="auto"/>
                      <w:highlight w:val="none"/>
                      <w:lang w:val="en-US" w:eastAsia="zh-CN"/>
                    </w:rPr>
                    <w:t>固废</w:t>
                  </w:r>
                </w:p>
              </w:tc>
              <w:tc>
                <w:tcPr>
                  <w:tcW w:w="3230" w:type="pct"/>
                  <w:gridSpan w:val="2"/>
                  <w:noWrap w:val="0"/>
                  <w:vAlign w:val="center"/>
                </w:tcPr>
                <w:p w14:paraId="4D4C5D78">
                  <w:pPr>
                    <w:pStyle w:val="53"/>
                    <w:bidi w:val="0"/>
                    <w:rPr>
                      <w:rFonts w:hint="default"/>
                      <w:color w:val="auto"/>
                      <w:highlight w:val="none"/>
                      <w:lang w:val="en-US" w:eastAsia="zh-CN"/>
                    </w:rPr>
                  </w:pPr>
                  <w:r>
                    <w:rPr>
                      <w:rFonts w:hint="default"/>
                      <w:color w:val="auto"/>
                      <w:highlight w:val="none"/>
                      <w:lang w:val="en-US" w:eastAsia="zh-CN"/>
                    </w:rPr>
                    <w:t>切割下脚料、锻造废料及不合格品</w:t>
                  </w:r>
                  <w:r>
                    <w:rPr>
                      <w:rFonts w:hint="eastAsia"/>
                      <w:color w:val="auto"/>
                      <w:highlight w:val="none"/>
                      <w:lang w:val="en-US" w:eastAsia="zh-CN"/>
                    </w:rPr>
                    <w:t>，全部集中收集后外售废品回收站。</w:t>
                  </w:r>
                </w:p>
              </w:tc>
              <w:tc>
                <w:tcPr>
                  <w:tcW w:w="1096" w:type="dxa"/>
                  <w:shd w:val="clear" w:color="auto" w:fill="auto"/>
                  <w:noWrap w:val="0"/>
                  <w:vAlign w:val="center"/>
                </w:tcPr>
                <w:p w14:paraId="08FB1936">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新建</w:t>
                  </w:r>
                </w:p>
              </w:tc>
            </w:tr>
            <w:tr w14:paraId="13E5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67" w:hRule="atLeast"/>
                <w:jc w:val="center"/>
              </w:trPr>
              <w:tc>
                <w:tcPr>
                  <w:tcW w:w="401" w:type="pct"/>
                  <w:vMerge w:val="continue"/>
                  <w:noWrap w:val="0"/>
                  <w:vAlign w:val="center"/>
                </w:tcPr>
                <w:p w14:paraId="554CF0E0">
                  <w:pPr>
                    <w:pStyle w:val="53"/>
                    <w:bidi w:val="0"/>
                    <w:rPr>
                      <w:color w:val="auto"/>
                      <w:highlight w:val="none"/>
                    </w:rPr>
                  </w:pPr>
                </w:p>
              </w:tc>
              <w:tc>
                <w:tcPr>
                  <w:tcW w:w="704" w:type="pct"/>
                  <w:vMerge w:val="continue"/>
                  <w:noWrap w:val="0"/>
                  <w:vAlign w:val="center"/>
                </w:tcPr>
                <w:p w14:paraId="733328F9">
                  <w:pPr>
                    <w:pStyle w:val="53"/>
                    <w:bidi w:val="0"/>
                    <w:rPr>
                      <w:color w:val="auto"/>
                      <w:highlight w:val="none"/>
                    </w:rPr>
                  </w:pPr>
                </w:p>
              </w:tc>
              <w:tc>
                <w:tcPr>
                  <w:tcW w:w="3230" w:type="pct"/>
                  <w:gridSpan w:val="2"/>
                  <w:noWrap w:val="0"/>
                  <w:vAlign w:val="center"/>
                </w:tcPr>
                <w:p w14:paraId="201C0A5F">
                  <w:pPr>
                    <w:pStyle w:val="53"/>
                    <w:bidi w:val="0"/>
                    <w:rPr>
                      <w:rFonts w:hint="default"/>
                      <w:color w:val="auto"/>
                      <w:highlight w:val="none"/>
                      <w:lang w:val="en-US" w:eastAsia="zh-CN"/>
                    </w:rPr>
                  </w:pPr>
                  <w:r>
                    <w:rPr>
                      <w:rFonts w:hint="default"/>
                      <w:color w:val="auto"/>
                      <w:highlight w:val="none"/>
                      <w:lang w:val="en-US" w:eastAsia="zh-CN"/>
                    </w:rPr>
                    <w:t>抛丸机打磨所产生的粉尘，定期清理，集中收集后外售废品回收站。</w:t>
                  </w:r>
                </w:p>
              </w:tc>
              <w:tc>
                <w:tcPr>
                  <w:tcW w:w="1096" w:type="dxa"/>
                  <w:shd w:val="clear" w:color="auto" w:fill="auto"/>
                  <w:noWrap w:val="0"/>
                  <w:vAlign w:val="center"/>
                </w:tcPr>
                <w:p w14:paraId="21092EF7">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新建</w:t>
                  </w:r>
                </w:p>
              </w:tc>
            </w:tr>
            <w:tr w14:paraId="0C6E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07793A7F">
                  <w:pPr>
                    <w:pStyle w:val="53"/>
                    <w:bidi w:val="0"/>
                    <w:rPr>
                      <w:color w:val="auto"/>
                      <w:highlight w:val="none"/>
                    </w:rPr>
                  </w:pPr>
                </w:p>
              </w:tc>
              <w:tc>
                <w:tcPr>
                  <w:tcW w:w="704" w:type="pct"/>
                  <w:vMerge w:val="continue"/>
                  <w:noWrap w:val="0"/>
                  <w:vAlign w:val="center"/>
                </w:tcPr>
                <w:p w14:paraId="2284E14A">
                  <w:pPr>
                    <w:pStyle w:val="53"/>
                    <w:bidi w:val="0"/>
                    <w:rPr>
                      <w:color w:val="auto"/>
                      <w:highlight w:val="none"/>
                    </w:rPr>
                  </w:pPr>
                </w:p>
              </w:tc>
              <w:tc>
                <w:tcPr>
                  <w:tcW w:w="3230" w:type="pct"/>
                  <w:gridSpan w:val="2"/>
                  <w:noWrap w:val="0"/>
                  <w:vAlign w:val="center"/>
                </w:tcPr>
                <w:p w14:paraId="2D2151C7">
                  <w:pPr>
                    <w:pStyle w:val="53"/>
                    <w:bidi w:val="0"/>
                    <w:rPr>
                      <w:rFonts w:hint="default"/>
                      <w:color w:val="auto"/>
                      <w:highlight w:val="none"/>
                      <w:lang w:val="en-US" w:eastAsia="zh-CN"/>
                    </w:rPr>
                  </w:pPr>
                  <w:r>
                    <w:rPr>
                      <w:rFonts w:hint="eastAsia"/>
                      <w:color w:val="auto"/>
                      <w:highlight w:val="none"/>
                      <w:lang w:val="en-US" w:eastAsia="zh-CN"/>
                    </w:rPr>
                    <w:t>人员产生的生活垃圾，收集于</w:t>
                  </w:r>
                  <w:r>
                    <w:rPr>
                      <w:rFonts w:hint="eastAsia"/>
                      <w:color w:val="auto"/>
                      <w:highlight w:val="none"/>
                    </w:rPr>
                    <w:t>厂区垃圾</w:t>
                  </w:r>
                  <w:r>
                    <w:rPr>
                      <w:rFonts w:hint="eastAsia"/>
                      <w:color w:val="auto"/>
                      <w:highlight w:val="none"/>
                      <w:lang w:val="en-US" w:eastAsia="zh-CN"/>
                    </w:rPr>
                    <w:t>桶，</w:t>
                  </w:r>
                  <w:r>
                    <w:rPr>
                      <w:rFonts w:hint="default"/>
                      <w:color w:val="auto"/>
                      <w:highlight w:val="none"/>
                    </w:rPr>
                    <w:t>定期</w:t>
                  </w:r>
                  <w:r>
                    <w:rPr>
                      <w:rFonts w:hint="default"/>
                      <w:color w:val="auto"/>
                      <w:highlight w:val="none"/>
                      <w:lang w:eastAsia="zh-CN"/>
                    </w:rPr>
                    <w:t>由环卫部门进行定期清运处理。</w:t>
                  </w:r>
                </w:p>
              </w:tc>
              <w:tc>
                <w:tcPr>
                  <w:tcW w:w="1096" w:type="dxa"/>
                  <w:shd w:val="clear" w:color="auto" w:fill="auto"/>
                  <w:noWrap w:val="0"/>
                  <w:vAlign w:val="center"/>
                </w:tcPr>
                <w:p w14:paraId="5341F711">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新建</w:t>
                  </w:r>
                </w:p>
              </w:tc>
            </w:tr>
            <w:tr w14:paraId="22EF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3" w:hRule="atLeast"/>
                <w:jc w:val="center"/>
              </w:trPr>
              <w:tc>
                <w:tcPr>
                  <w:tcW w:w="401" w:type="pct"/>
                  <w:vMerge w:val="continue"/>
                  <w:noWrap w:val="0"/>
                  <w:vAlign w:val="center"/>
                </w:tcPr>
                <w:p w14:paraId="32DCB241">
                  <w:pPr>
                    <w:pStyle w:val="53"/>
                    <w:bidi w:val="0"/>
                    <w:rPr>
                      <w:color w:val="auto"/>
                      <w:highlight w:val="none"/>
                    </w:rPr>
                  </w:pPr>
                </w:p>
              </w:tc>
              <w:tc>
                <w:tcPr>
                  <w:tcW w:w="704" w:type="pct"/>
                  <w:vMerge w:val="continue"/>
                  <w:noWrap w:val="0"/>
                  <w:vAlign w:val="center"/>
                </w:tcPr>
                <w:p w14:paraId="00E98FF5">
                  <w:pPr>
                    <w:pStyle w:val="53"/>
                    <w:bidi w:val="0"/>
                    <w:rPr>
                      <w:color w:val="auto"/>
                      <w:highlight w:val="none"/>
                    </w:rPr>
                  </w:pPr>
                </w:p>
              </w:tc>
              <w:tc>
                <w:tcPr>
                  <w:tcW w:w="3230" w:type="pct"/>
                  <w:gridSpan w:val="2"/>
                  <w:noWrap w:val="0"/>
                  <w:vAlign w:val="center"/>
                </w:tcPr>
                <w:p w14:paraId="45FE1B9E">
                  <w:pPr>
                    <w:pStyle w:val="53"/>
                    <w:bidi w:val="0"/>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运营期产生的</w:t>
                  </w:r>
                  <w:r>
                    <w:rPr>
                      <w:rFonts w:hint="eastAsia" w:cs="Times New Roman"/>
                      <w:color w:val="auto"/>
                      <w:sz w:val="21"/>
                      <w:szCs w:val="21"/>
                      <w:highlight w:val="none"/>
                      <w:lang w:val="en-US" w:eastAsia="zh-CN"/>
                    </w:rPr>
                    <w:t>废润滑油、废液压油、废包装桶、废磁粉液、废含油抹布等</w:t>
                  </w:r>
                  <w:r>
                    <w:rPr>
                      <w:rFonts w:hint="eastAsia" w:ascii="Times New Roman" w:hAnsi="Times New Roman" w:eastAsia="宋体" w:cs="Times New Roman"/>
                      <w:color w:val="auto"/>
                      <w:sz w:val="21"/>
                      <w:szCs w:val="21"/>
                      <w:highlight w:val="none"/>
                      <w:lang w:val="en-US" w:eastAsia="zh-CN"/>
                    </w:rPr>
                    <w:t>危险废物，暂存于危废</w:t>
                  </w:r>
                  <w:r>
                    <w:rPr>
                      <w:rFonts w:hint="eastAsia" w:cs="Times New Roman"/>
                      <w:color w:val="auto"/>
                      <w:sz w:val="21"/>
                      <w:szCs w:val="21"/>
                      <w:highlight w:val="none"/>
                      <w:lang w:val="en-US" w:eastAsia="zh-CN"/>
                    </w:rPr>
                    <w:t>贮存点</w:t>
                  </w:r>
                  <w:r>
                    <w:rPr>
                      <w:rFonts w:hint="eastAsia" w:ascii="Times New Roman" w:hAnsi="Times New Roman" w:eastAsia="宋体" w:cs="Times New Roman"/>
                      <w:color w:val="auto"/>
                      <w:sz w:val="21"/>
                      <w:szCs w:val="21"/>
                      <w:highlight w:val="none"/>
                      <w:lang w:val="en-US" w:eastAsia="zh-CN"/>
                    </w:rPr>
                    <w:t>，并定期交由有资质的单位处置。</w:t>
                  </w:r>
                </w:p>
              </w:tc>
              <w:tc>
                <w:tcPr>
                  <w:tcW w:w="1096" w:type="dxa"/>
                  <w:shd w:val="clear" w:color="auto" w:fill="auto"/>
                  <w:noWrap w:val="0"/>
                  <w:vAlign w:val="center"/>
                </w:tcPr>
                <w:p w14:paraId="5B5255BB">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新建</w:t>
                  </w:r>
                </w:p>
              </w:tc>
            </w:tr>
          </w:tbl>
          <w:p w14:paraId="3936282A">
            <w:pPr>
              <w:bidi w:val="0"/>
              <w:rPr>
                <w:rFonts w:hint="default"/>
                <w:color w:val="auto"/>
                <w:highlight w:val="none"/>
                <w:lang w:val="en-US" w:eastAsia="zh-CN"/>
              </w:rPr>
            </w:pPr>
          </w:p>
          <w:p w14:paraId="5EEC89B8">
            <w:pPr>
              <w:bidi w:val="0"/>
              <w:ind w:left="0" w:leftChars="0" w:firstLine="0" w:firstLineChars="0"/>
              <w:rPr>
                <w:rFonts w:hint="default"/>
                <w:color w:val="auto"/>
                <w:highlight w:val="none"/>
                <w:lang w:val="en-US" w:eastAsia="zh-CN"/>
              </w:rPr>
            </w:pPr>
          </w:p>
          <w:p w14:paraId="7E447CAF">
            <w:pPr>
              <w:numPr>
                <w:ilvl w:val="0"/>
                <w:numId w:val="6"/>
              </w:numPr>
              <w:bidi w:val="0"/>
              <w:rPr>
                <w:rFonts w:hint="default"/>
                <w:b/>
                <w:bCs/>
                <w:color w:val="auto"/>
                <w:highlight w:val="none"/>
                <w:lang w:val="en-US" w:eastAsia="zh-CN"/>
              </w:rPr>
            </w:pPr>
            <w:r>
              <w:rPr>
                <w:rFonts w:hint="eastAsia"/>
                <w:b/>
                <w:bCs/>
                <w:color w:val="auto"/>
                <w:highlight w:val="none"/>
                <w:lang w:val="en-US" w:eastAsia="zh-CN"/>
              </w:rPr>
              <w:t>项目主要设备</w:t>
            </w:r>
          </w:p>
          <w:p w14:paraId="7B5ED63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color w:val="auto"/>
                <w:highlight w:val="none"/>
              </w:rPr>
            </w:pPr>
            <w:r>
              <w:rPr>
                <w:rFonts w:hint="default"/>
                <w:color w:val="auto"/>
                <w:highlight w:val="none"/>
              </w:rPr>
              <w:t>项目</w:t>
            </w:r>
            <w:r>
              <w:rPr>
                <w:rFonts w:hint="default"/>
                <w:color w:val="auto"/>
                <w:highlight w:val="none"/>
                <w:lang w:val="en-US" w:eastAsia="zh-CN"/>
              </w:rPr>
              <w:t>主要设备</w:t>
            </w:r>
            <w:r>
              <w:rPr>
                <w:rFonts w:hint="default"/>
                <w:color w:val="auto"/>
                <w:highlight w:val="none"/>
              </w:rPr>
              <w:t>见</w:t>
            </w:r>
            <w:r>
              <w:rPr>
                <w:rFonts w:hint="default"/>
                <w:color w:val="auto"/>
                <w:highlight w:val="none"/>
                <w:lang w:eastAsia="zh-CN"/>
              </w:rPr>
              <w:t>表</w:t>
            </w:r>
            <w:r>
              <w:rPr>
                <w:rFonts w:hint="default"/>
                <w:color w:val="auto"/>
                <w:highlight w:val="none"/>
                <w:lang w:val="en-US" w:eastAsia="zh-CN"/>
              </w:rPr>
              <w:t>2-</w:t>
            </w:r>
            <w:r>
              <w:rPr>
                <w:rFonts w:hint="eastAsia"/>
                <w:color w:val="auto"/>
                <w:highlight w:val="none"/>
                <w:lang w:val="en-US" w:eastAsia="zh-CN"/>
              </w:rPr>
              <w:t>2</w:t>
            </w:r>
            <w:r>
              <w:rPr>
                <w:rFonts w:hint="default"/>
                <w:color w:val="auto"/>
                <w:highlight w:val="none"/>
              </w:rPr>
              <w:t>。</w:t>
            </w:r>
          </w:p>
          <w:p w14:paraId="10A95157">
            <w:pPr>
              <w:pStyle w:val="58"/>
              <w:bidi w:val="0"/>
              <w:rPr>
                <w:rFonts w:hint="default"/>
                <w:color w:val="auto"/>
                <w:highlight w:val="none"/>
                <w:lang w:val="zh-CN"/>
              </w:rPr>
            </w:pPr>
            <w:r>
              <w:rPr>
                <w:rFonts w:hint="default"/>
                <w:color w:val="auto"/>
                <w:highlight w:val="none"/>
                <w:lang w:val="zh-CN"/>
              </w:rPr>
              <w:t>表2-</w:t>
            </w:r>
            <w:r>
              <w:rPr>
                <w:rFonts w:hint="eastAsia"/>
                <w:color w:val="auto"/>
                <w:highlight w:val="none"/>
                <w:lang w:val="en-US" w:eastAsia="zh-CN"/>
              </w:rPr>
              <w:t>2</w:t>
            </w:r>
            <w:r>
              <w:rPr>
                <w:rFonts w:hint="default"/>
                <w:color w:val="auto"/>
                <w:highlight w:val="none"/>
                <w:lang w:val="en-US" w:eastAsia="zh-CN"/>
              </w:rPr>
              <w:t xml:space="preserve">  </w:t>
            </w:r>
            <w:r>
              <w:rPr>
                <w:rFonts w:hint="default"/>
                <w:color w:val="auto"/>
                <w:highlight w:val="none"/>
                <w:lang w:val="zh-CN"/>
              </w:rPr>
              <w:t>项目主要设备清单一览表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860"/>
              <w:gridCol w:w="2389"/>
              <w:gridCol w:w="914"/>
              <w:gridCol w:w="1447"/>
            </w:tblGrid>
            <w:tr w14:paraId="1AB0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noWrap w:val="0"/>
                  <w:vAlign w:val="center"/>
                </w:tcPr>
                <w:p w14:paraId="67C2CC35">
                  <w:pPr>
                    <w:pStyle w:val="53"/>
                    <w:bidi w:val="0"/>
                    <w:rPr>
                      <w:rFonts w:hint="default"/>
                      <w:b/>
                      <w:bCs/>
                      <w:color w:val="auto"/>
                      <w:highlight w:val="none"/>
                    </w:rPr>
                  </w:pPr>
                  <w:r>
                    <w:rPr>
                      <w:rFonts w:hint="default"/>
                      <w:b/>
                      <w:bCs/>
                      <w:color w:val="auto"/>
                      <w:highlight w:val="none"/>
                    </w:rPr>
                    <w:t>序号</w:t>
                  </w:r>
                </w:p>
              </w:tc>
              <w:tc>
                <w:tcPr>
                  <w:tcW w:w="1706" w:type="pct"/>
                  <w:noWrap w:val="0"/>
                  <w:vAlign w:val="center"/>
                </w:tcPr>
                <w:p w14:paraId="587CE5E1">
                  <w:pPr>
                    <w:pStyle w:val="53"/>
                    <w:bidi w:val="0"/>
                    <w:rPr>
                      <w:rFonts w:hint="default"/>
                      <w:b/>
                      <w:bCs/>
                      <w:color w:val="auto"/>
                      <w:highlight w:val="none"/>
                    </w:rPr>
                  </w:pPr>
                  <w:r>
                    <w:rPr>
                      <w:rFonts w:hint="default"/>
                      <w:b/>
                      <w:bCs/>
                      <w:color w:val="auto"/>
                      <w:highlight w:val="none"/>
                    </w:rPr>
                    <w:t>设备名称</w:t>
                  </w:r>
                </w:p>
              </w:tc>
              <w:tc>
                <w:tcPr>
                  <w:tcW w:w="1425" w:type="pct"/>
                  <w:noWrap w:val="0"/>
                  <w:vAlign w:val="center"/>
                </w:tcPr>
                <w:p w14:paraId="01A92B47">
                  <w:pPr>
                    <w:pStyle w:val="53"/>
                    <w:bidi w:val="0"/>
                    <w:rPr>
                      <w:rFonts w:hint="default"/>
                      <w:b/>
                      <w:bCs/>
                      <w:color w:val="auto"/>
                      <w:highlight w:val="none"/>
                    </w:rPr>
                  </w:pPr>
                  <w:r>
                    <w:rPr>
                      <w:rFonts w:hint="default"/>
                      <w:b/>
                      <w:bCs/>
                      <w:color w:val="auto"/>
                      <w:highlight w:val="none"/>
                    </w:rPr>
                    <w:t>规格型号</w:t>
                  </w:r>
                </w:p>
              </w:tc>
              <w:tc>
                <w:tcPr>
                  <w:tcW w:w="545" w:type="pct"/>
                  <w:noWrap w:val="0"/>
                  <w:vAlign w:val="center"/>
                </w:tcPr>
                <w:p w14:paraId="1C055862">
                  <w:pPr>
                    <w:pStyle w:val="53"/>
                    <w:bidi w:val="0"/>
                    <w:rPr>
                      <w:rFonts w:hint="default"/>
                      <w:b/>
                      <w:bCs/>
                      <w:color w:val="auto"/>
                      <w:highlight w:val="none"/>
                      <w:lang w:eastAsia="zh-CN"/>
                    </w:rPr>
                  </w:pPr>
                  <w:r>
                    <w:rPr>
                      <w:rFonts w:hint="default"/>
                      <w:b/>
                      <w:bCs/>
                      <w:color w:val="auto"/>
                      <w:highlight w:val="none"/>
                      <w:lang w:eastAsia="zh-CN"/>
                    </w:rPr>
                    <w:t>数量</w:t>
                  </w:r>
                </w:p>
              </w:tc>
              <w:tc>
                <w:tcPr>
                  <w:tcW w:w="863" w:type="pct"/>
                  <w:noWrap w:val="0"/>
                  <w:vAlign w:val="center"/>
                </w:tcPr>
                <w:p w14:paraId="77FF8A22">
                  <w:pPr>
                    <w:pStyle w:val="53"/>
                    <w:bidi w:val="0"/>
                    <w:rPr>
                      <w:rFonts w:hint="default"/>
                      <w:b/>
                      <w:bCs/>
                      <w:color w:val="auto"/>
                      <w:highlight w:val="none"/>
                      <w:lang w:val="en-US" w:eastAsia="zh-CN"/>
                    </w:rPr>
                  </w:pPr>
                  <w:r>
                    <w:rPr>
                      <w:rFonts w:hint="eastAsia"/>
                      <w:b/>
                      <w:bCs/>
                      <w:color w:val="auto"/>
                      <w:highlight w:val="none"/>
                      <w:lang w:val="en-US" w:eastAsia="zh-CN"/>
                    </w:rPr>
                    <w:t>单位</w:t>
                  </w:r>
                </w:p>
              </w:tc>
            </w:tr>
            <w:tr w14:paraId="21BD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45529D43">
                  <w:pPr>
                    <w:pStyle w:val="53"/>
                    <w:bidi w:val="0"/>
                    <w:rPr>
                      <w:rFonts w:hint="default"/>
                      <w:color w:val="auto"/>
                      <w:highlight w:val="none"/>
                    </w:rPr>
                  </w:pPr>
                  <w:r>
                    <w:rPr>
                      <w:rFonts w:hint="default"/>
                      <w:color w:val="auto"/>
                      <w:highlight w:val="none"/>
                    </w:rPr>
                    <w:t>1</w:t>
                  </w:r>
                </w:p>
              </w:tc>
              <w:tc>
                <w:tcPr>
                  <w:tcW w:w="1706" w:type="pct"/>
                  <w:noWrap w:val="0"/>
                  <w:vAlign w:val="center"/>
                </w:tcPr>
                <w:p w14:paraId="78776C8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高速金属圆锯机</w:t>
                  </w:r>
                </w:p>
              </w:tc>
              <w:tc>
                <w:tcPr>
                  <w:tcW w:w="1425" w:type="pct"/>
                  <w:noWrap w:val="0"/>
                  <w:vAlign w:val="center"/>
                </w:tcPr>
                <w:p w14:paraId="2DBFB415">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GKZ6207</w:t>
                  </w:r>
                </w:p>
              </w:tc>
              <w:tc>
                <w:tcPr>
                  <w:tcW w:w="545" w:type="pct"/>
                  <w:noWrap w:val="0"/>
                  <w:vAlign w:val="center"/>
                </w:tcPr>
                <w:p w14:paraId="3A7A0B01">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863" w:type="pct"/>
                  <w:noWrap w:val="0"/>
                  <w:vAlign w:val="center"/>
                </w:tcPr>
                <w:p w14:paraId="710406E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6117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26F1CD25">
                  <w:pPr>
                    <w:pStyle w:val="53"/>
                    <w:bidi w:val="0"/>
                    <w:rPr>
                      <w:rFonts w:hint="eastAsia"/>
                      <w:color w:val="auto"/>
                      <w:highlight w:val="none"/>
                      <w:lang w:val="en-US" w:eastAsia="zh-CN"/>
                    </w:rPr>
                  </w:pPr>
                  <w:r>
                    <w:rPr>
                      <w:rFonts w:hint="default"/>
                      <w:color w:val="auto"/>
                      <w:highlight w:val="none"/>
                    </w:rPr>
                    <w:t>2</w:t>
                  </w:r>
                </w:p>
              </w:tc>
              <w:tc>
                <w:tcPr>
                  <w:tcW w:w="1706" w:type="pct"/>
                  <w:noWrap w:val="0"/>
                  <w:vAlign w:val="center"/>
                </w:tcPr>
                <w:p w14:paraId="2BD7A5EF">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中频感应加热炉</w:t>
                  </w:r>
                </w:p>
              </w:tc>
              <w:tc>
                <w:tcPr>
                  <w:tcW w:w="1425" w:type="pct"/>
                  <w:noWrap w:val="0"/>
                  <w:vAlign w:val="center"/>
                </w:tcPr>
                <w:p w14:paraId="2C08EAE8">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KGPS800KW</w:t>
                  </w:r>
                </w:p>
              </w:tc>
              <w:tc>
                <w:tcPr>
                  <w:tcW w:w="545" w:type="pct"/>
                  <w:noWrap w:val="0"/>
                  <w:vAlign w:val="center"/>
                </w:tcPr>
                <w:p w14:paraId="6D036127">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66EC1F0A">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3B9C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noWrap w:val="0"/>
                  <w:vAlign w:val="center"/>
                </w:tcPr>
                <w:p w14:paraId="6905BECD">
                  <w:pPr>
                    <w:pStyle w:val="53"/>
                    <w:bidi w:val="0"/>
                    <w:rPr>
                      <w:rFonts w:hint="default"/>
                      <w:color w:val="auto"/>
                      <w:highlight w:val="none"/>
                      <w:lang w:val="en-US" w:eastAsia="zh-CN"/>
                    </w:rPr>
                  </w:pPr>
                  <w:r>
                    <w:rPr>
                      <w:rFonts w:hint="default"/>
                      <w:color w:val="auto"/>
                      <w:highlight w:val="none"/>
                    </w:rPr>
                    <w:t>3</w:t>
                  </w:r>
                </w:p>
              </w:tc>
              <w:tc>
                <w:tcPr>
                  <w:tcW w:w="1706" w:type="pct"/>
                  <w:noWrap w:val="0"/>
                  <w:vAlign w:val="center"/>
                </w:tcPr>
                <w:p w14:paraId="03557066">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电动螺旋压力机</w:t>
                  </w:r>
                </w:p>
              </w:tc>
              <w:tc>
                <w:tcPr>
                  <w:tcW w:w="1425" w:type="pct"/>
                  <w:noWrap w:val="0"/>
                  <w:vAlign w:val="center"/>
                </w:tcPr>
                <w:p w14:paraId="5B57277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400T</w:t>
                  </w:r>
                </w:p>
              </w:tc>
              <w:tc>
                <w:tcPr>
                  <w:tcW w:w="545" w:type="pct"/>
                  <w:noWrap w:val="0"/>
                  <w:vAlign w:val="center"/>
                </w:tcPr>
                <w:p w14:paraId="55801068">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0B65E9A9">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套</w:t>
                  </w:r>
                </w:p>
              </w:tc>
            </w:tr>
            <w:tr w14:paraId="238C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2D0CECDB">
                  <w:pPr>
                    <w:pStyle w:val="53"/>
                    <w:bidi w:val="0"/>
                    <w:rPr>
                      <w:rFonts w:hint="default"/>
                      <w:color w:val="auto"/>
                      <w:highlight w:val="none"/>
                      <w:lang w:val="en-US" w:eastAsia="zh-CN"/>
                    </w:rPr>
                  </w:pPr>
                  <w:r>
                    <w:rPr>
                      <w:rFonts w:hint="default"/>
                      <w:color w:val="auto"/>
                      <w:highlight w:val="none"/>
                    </w:rPr>
                    <w:t>4</w:t>
                  </w:r>
                </w:p>
              </w:tc>
              <w:tc>
                <w:tcPr>
                  <w:tcW w:w="1706" w:type="pct"/>
                  <w:noWrap w:val="0"/>
                  <w:vAlign w:val="center"/>
                </w:tcPr>
                <w:p w14:paraId="19A4DB97">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热模锻压力机</w:t>
                  </w:r>
                </w:p>
              </w:tc>
              <w:tc>
                <w:tcPr>
                  <w:tcW w:w="1425" w:type="pct"/>
                  <w:noWrap w:val="0"/>
                  <w:vAlign w:val="center"/>
                </w:tcPr>
                <w:p w14:paraId="0697D579">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JFP2500</w:t>
                  </w:r>
                </w:p>
              </w:tc>
              <w:tc>
                <w:tcPr>
                  <w:tcW w:w="545" w:type="pct"/>
                  <w:noWrap w:val="0"/>
                  <w:vAlign w:val="center"/>
                </w:tcPr>
                <w:p w14:paraId="264F011A">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521C0A63">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2418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3649ADB2">
                  <w:pPr>
                    <w:pStyle w:val="53"/>
                    <w:bidi w:val="0"/>
                    <w:rPr>
                      <w:rFonts w:hint="default"/>
                      <w:color w:val="auto"/>
                      <w:highlight w:val="none"/>
                      <w:lang w:val="en-US" w:eastAsia="zh-CN"/>
                    </w:rPr>
                  </w:pPr>
                  <w:r>
                    <w:rPr>
                      <w:rFonts w:hint="default"/>
                      <w:color w:val="auto"/>
                      <w:highlight w:val="none"/>
                    </w:rPr>
                    <w:t>5</w:t>
                  </w:r>
                </w:p>
              </w:tc>
              <w:tc>
                <w:tcPr>
                  <w:tcW w:w="1706" w:type="pct"/>
                  <w:noWrap w:val="0"/>
                  <w:vAlign w:val="center"/>
                </w:tcPr>
                <w:p w14:paraId="064186ED">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闭式冲床</w:t>
                  </w:r>
                </w:p>
              </w:tc>
              <w:tc>
                <w:tcPr>
                  <w:tcW w:w="1425" w:type="pct"/>
                  <w:noWrap w:val="0"/>
                  <w:vAlign w:val="center"/>
                </w:tcPr>
                <w:p w14:paraId="10DCB2E9">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250T</w:t>
                  </w:r>
                </w:p>
              </w:tc>
              <w:tc>
                <w:tcPr>
                  <w:tcW w:w="545" w:type="pct"/>
                  <w:noWrap w:val="0"/>
                  <w:vAlign w:val="center"/>
                </w:tcPr>
                <w:p w14:paraId="4791C7BE">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0CA4338E">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6673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670E8764">
                  <w:pPr>
                    <w:pStyle w:val="53"/>
                    <w:bidi w:val="0"/>
                    <w:rPr>
                      <w:rFonts w:hint="default"/>
                      <w:color w:val="auto"/>
                      <w:highlight w:val="none"/>
                      <w:lang w:val="en-US" w:eastAsia="zh-CN"/>
                    </w:rPr>
                  </w:pPr>
                  <w:r>
                    <w:rPr>
                      <w:rFonts w:hint="default"/>
                      <w:color w:val="auto"/>
                      <w:highlight w:val="none"/>
                    </w:rPr>
                    <w:t>6</w:t>
                  </w:r>
                </w:p>
              </w:tc>
              <w:tc>
                <w:tcPr>
                  <w:tcW w:w="1706" w:type="pct"/>
                  <w:noWrap w:val="0"/>
                  <w:vAlign w:val="center"/>
                </w:tcPr>
                <w:p w14:paraId="0CB860FF">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网带式等温正火炉</w:t>
                  </w:r>
                </w:p>
              </w:tc>
              <w:tc>
                <w:tcPr>
                  <w:tcW w:w="1425" w:type="pct"/>
                  <w:noWrap w:val="0"/>
                  <w:vAlign w:val="center"/>
                </w:tcPr>
                <w:p w14:paraId="5CEBDD04">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XDZ800</w:t>
                  </w:r>
                </w:p>
              </w:tc>
              <w:tc>
                <w:tcPr>
                  <w:tcW w:w="545" w:type="pct"/>
                  <w:noWrap w:val="0"/>
                  <w:vAlign w:val="center"/>
                </w:tcPr>
                <w:p w14:paraId="64277F81">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74295C0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6DA8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3C98D5FE">
                  <w:pPr>
                    <w:pStyle w:val="53"/>
                    <w:bidi w:val="0"/>
                    <w:rPr>
                      <w:rFonts w:hint="default"/>
                      <w:color w:val="auto"/>
                      <w:highlight w:val="none"/>
                      <w:lang w:val="en-US" w:eastAsia="zh-CN"/>
                    </w:rPr>
                  </w:pPr>
                  <w:r>
                    <w:rPr>
                      <w:rFonts w:hint="default"/>
                      <w:color w:val="auto"/>
                      <w:highlight w:val="none"/>
                    </w:rPr>
                    <w:t>7</w:t>
                  </w:r>
                </w:p>
              </w:tc>
              <w:tc>
                <w:tcPr>
                  <w:tcW w:w="1706" w:type="pct"/>
                  <w:noWrap w:val="0"/>
                  <w:vAlign w:val="center"/>
                </w:tcPr>
                <w:p w14:paraId="6D4C435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金属履带式抛丸机</w:t>
                  </w:r>
                </w:p>
              </w:tc>
              <w:tc>
                <w:tcPr>
                  <w:tcW w:w="1425" w:type="pct"/>
                  <w:noWrap w:val="0"/>
                  <w:vAlign w:val="center"/>
                </w:tcPr>
                <w:p w14:paraId="3EFD96BD">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15GN-8M</w:t>
                  </w:r>
                </w:p>
              </w:tc>
              <w:tc>
                <w:tcPr>
                  <w:tcW w:w="545" w:type="pct"/>
                  <w:noWrap w:val="0"/>
                  <w:vAlign w:val="center"/>
                </w:tcPr>
                <w:p w14:paraId="0BCBCD9C">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7336DB46">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459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4DD7C7B6">
                  <w:pPr>
                    <w:pStyle w:val="53"/>
                    <w:bidi w:val="0"/>
                    <w:rPr>
                      <w:rFonts w:hint="eastAsia"/>
                      <w:color w:val="auto"/>
                      <w:highlight w:val="none"/>
                      <w:lang w:val="en-US" w:eastAsia="zh-CN"/>
                    </w:rPr>
                  </w:pPr>
                  <w:r>
                    <w:rPr>
                      <w:rFonts w:hint="eastAsia"/>
                      <w:color w:val="auto"/>
                      <w:highlight w:val="none"/>
                      <w:lang w:val="en-US" w:eastAsia="zh-CN"/>
                    </w:rPr>
                    <w:t>8</w:t>
                  </w:r>
                </w:p>
              </w:tc>
              <w:tc>
                <w:tcPr>
                  <w:tcW w:w="1706" w:type="pct"/>
                  <w:noWrap w:val="0"/>
                  <w:vAlign w:val="center"/>
                </w:tcPr>
                <w:p w14:paraId="76CF8B36">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数控</w:t>
                  </w:r>
                  <w:r>
                    <w:rPr>
                      <w:rFonts w:hint="eastAsia" w:cs="Times New Roman"/>
                      <w:color w:val="auto"/>
                      <w:highlight w:val="none"/>
                      <w:lang w:val="en-US" w:eastAsia="zh-CN"/>
                    </w:rPr>
                    <w:t>机</w:t>
                  </w:r>
                  <w:r>
                    <w:rPr>
                      <w:rFonts w:hint="eastAsia" w:ascii="Times New Roman" w:hAnsi="Times New Roman" w:eastAsia="宋体" w:cs="Times New Roman"/>
                      <w:color w:val="auto"/>
                      <w:highlight w:val="none"/>
                      <w:lang w:val="en-US" w:eastAsia="zh-CN"/>
                    </w:rPr>
                    <w:t>床</w:t>
                  </w:r>
                </w:p>
              </w:tc>
              <w:tc>
                <w:tcPr>
                  <w:tcW w:w="1425" w:type="pct"/>
                  <w:noWrap w:val="0"/>
                  <w:vAlign w:val="center"/>
                </w:tcPr>
                <w:p w14:paraId="6CB3624F">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BC3751</w:t>
                  </w:r>
                </w:p>
              </w:tc>
              <w:tc>
                <w:tcPr>
                  <w:tcW w:w="545" w:type="pct"/>
                  <w:noWrap w:val="0"/>
                  <w:vAlign w:val="center"/>
                </w:tcPr>
                <w:p w14:paraId="0E07B130">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863" w:type="pct"/>
                  <w:noWrap w:val="0"/>
                  <w:vAlign w:val="center"/>
                </w:tcPr>
                <w:p w14:paraId="54800AF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4127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7FC26E3F">
                  <w:pPr>
                    <w:pStyle w:val="53"/>
                    <w:bidi w:val="0"/>
                    <w:rPr>
                      <w:rFonts w:hint="eastAsia"/>
                      <w:color w:val="auto"/>
                      <w:highlight w:val="none"/>
                      <w:lang w:val="en-US" w:eastAsia="zh-CN"/>
                    </w:rPr>
                  </w:pPr>
                  <w:r>
                    <w:rPr>
                      <w:rFonts w:hint="eastAsia"/>
                      <w:color w:val="auto"/>
                      <w:highlight w:val="none"/>
                      <w:lang w:val="en-US" w:eastAsia="zh-CN"/>
                    </w:rPr>
                    <w:t>9</w:t>
                  </w:r>
                </w:p>
              </w:tc>
              <w:tc>
                <w:tcPr>
                  <w:tcW w:w="1706" w:type="pct"/>
                  <w:noWrap w:val="0"/>
                  <w:vAlign w:val="center"/>
                </w:tcPr>
                <w:p w14:paraId="41E9351A">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箱式变压器</w:t>
                  </w:r>
                </w:p>
              </w:tc>
              <w:tc>
                <w:tcPr>
                  <w:tcW w:w="1425" w:type="pct"/>
                  <w:noWrap w:val="0"/>
                  <w:vAlign w:val="center"/>
                </w:tcPr>
                <w:p w14:paraId="701E9F4F">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ZBW-2X1250KVA</w:t>
                  </w:r>
                </w:p>
              </w:tc>
              <w:tc>
                <w:tcPr>
                  <w:tcW w:w="545" w:type="pct"/>
                  <w:noWrap w:val="0"/>
                  <w:vAlign w:val="center"/>
                </w:tcPr>
                <w:p w14:paraId="608169E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0B32082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64D9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6AC1D34A">
                  <w:pPr>
                    <w:pStyle w:val="53"/>
                    <w:bidi w:val="0"/>
                    <w:rPr>
                      <w:rFonts w:hint="default"/>
                      <w:color w:val="auto"/>
                      <w:highlight w:val="none"/>
                      <w:lang w:val="en-US" w:eastAsia="zh-CN"/>
                    </w:rPr>
                  </w:pPr>
                  <w:r>
                    <w:rPr>
                      <w:rFonts w:hint="eastAsia"/>
                      <w:color w:val="auto"/>
                      <w:highlight w:val="none"/>
                      <w:lang w:val="en-US" w:eastAsia="zh-CN"/>
                    </w:rPr>
                    <w:t>10</w:t>
                  </w:r>
                </w:p>
              </w:tc>
              <w:tc>
                <w:tcPr>
                  <w:tcW w:w="1706" w:type="pct"/>
                  <w:noWrap w:val="0"/>
                  <w:vAlign w:val="center"/>
                </w:tcPr>
                <w:p w14:paraId="37DE00FE">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空压机</w:t>
                  </w:r>
                </w:p>
              </w:tc>
              <w:tc>
                <w:tcPr>
                  <w:tcW w:w="1425" w:type="pct"/>
                  <w:noWrap w:val="0"/>
                  <w:vAlign w:val="center"/>
                </w:tcPr>
                <w:p w14:paraId="4ADCD138">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T-30PM</w:t>
                  </w:r>
                </w:p>
              </w:tc>
              <w:tc>
                <w:tcPr>
                  <w:tcW w:w="545" w:type="pct"/>
                  <w:noWrap w:val="0"/>
                  <w:vAlign w:val="center"/>
                </w:tcPr>
                <w:p w14:paraId="18BE362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593852C8">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51C9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01F43048">
                  <w:pPr>
                    <w:pStyle w:val="53"/>
                    <w:bidi w:val="0"/>
                    <w:rPr>
                      <w:rFonts w:hint="default"/>
                      <w:color w:val="auto"/>
                      <w:highlight w:val="none"/>
                      <w:lang w:val="en-US" w:eastAsia="zh-CN"/>
                    </w:rPr>
                  </w:pPr>
                  <w:r>
                    <w:rPr>
                      <w:rFonts w:hint="eastAsia"/>
                      <w:color w:val="auto"/>
                      <w:highlight w:val="none"/>
                      <w:lang w:val="en-US" w:eastAsia="zh-CN"/>
                    </w:rPr>
                    <w:t>11</w:t>
                  </w:r>
                </w:p>
              </w:tc>
              <w:tc>
                <w:tcPr>
                  <w:tcW w:w="1706" w:type="pct"/>
                  <w:noWrap w:val="0"/>
                  <w:vAlign w:val="center"/>
                </w:tcPr>
                <w:p w14:paraId="1FB75D53">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冷却塔</w:t>
                  </w:r>
                </w:p>
              </w:tc>
              <w:tc>
                <w:tcPr>
                  <w:tcW w:w="1425" w:type="pct"/>
                  <w:noWrap w:val="0"/>
                  <w:vAlign w:val="center"/>
                </w:tcPr>
                <w:p w14:paraId="7AB09F2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60T</w:t>
                  </w:r>
                </w:p>
              </w:tc>
              <w:tc>
                <w:tcPr>
                  <w:tcW w:w="545" w:type="pct"/>
                  <w:noWrap w:val="0"/>
                  <w:vAlign w:val="center"/>
                </w:tcPr>
                <w:p w14:paraId="7C3DEA49">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11DD01C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460C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4EF83B2C">
                  <w:pPr>
                    <w:pStyle w:val="53"/>
                    <w:bidi w:val="0"/>
                    <w:rPr>
                      <w:rFonts w:hint="default"/>
                      <w:color w:val="auto"/>
                      <w:highlight w:val="none"/>
                      <w:lang w:val="en-US" w:eastAsia="zh-CN"/>
                    </w:rPr>
                  </w:pPr>
                  <w:r>
                    <w:rPr>
                      <w:rFonts w:hint="eastAsia"/>
                      <w:color w:val="auto"/>
                      <w:highlight w:val="none"/>
                      <w:lang w:val="en-US" w:eastAsia="zh-CN"/>
                    </w:rPr>
                    <w:t>12</w:t>
                  </w:r>
                </w:p>
              </w:tc>
              <w:tc>
                <w:tcPr>
                  <w:tcW w:w="1706" w:type="pct"/>
                  <w:noWrap w:val="0"/>
                  <w:vAlign w:val="center"/>
                </w:tcPr>
                <w:p w14:paraId="3C973264">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软水机</w:t>
                  </w:r>
                </w:p>
              </w:tc>
              <w:tc>
                <w:tcPr>
                  <w:tcW w:w="1425" w:type="pct"/>
                  <w:noWrap w:val="0"/>
                  <w:vAlign w:val="center"/>
                </w:tcPr>
                <w:p w14:paraId="6D1DEA8C">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FZKJ-004</w:t>
                  </w:r>
                </w:p>
              </w:tc>
              <w:tc>
                <w:tcPr>
                  <w:tcW w:w="545" w:type="pct"/>
                  <w:noWrap w:val="0"/>
                  <w:vAlign w:val="center"/>
                </w:tcPr>
                <w:p w14:paraId="0A14DBC5">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721534F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1412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58038117">
                  <w:pPr>
                    <w:pStyle w:val="53"/>
                    <w:bidi w:val="0"/>
                    <w:rPr>
                      <w:rFonts w:hint="default"/>
                      <w:color w:val="auto"/>
                      <w:highlight w:val="none"/>
                      <w:lang w:val="en-US" w:eastAsia="zh-CN"/>
                    </w:rPr>
                  </w:pPr>
                  <w:r>
                    <w:rPr>
                      <w:rFonts w:hint="eastAsia"/>
                      <w:color w:val="auto"/>
                      <w:highlight w:val="none"/>
                      <w:lang w:val="en-US" w:eastAsia="zh-CN"/>
                    </w:rPr>
                    <w:t>13</w:t>
                  </w:r>
                </w:p>
              </w:tc>
              <w:tc>
                <w:tcPr>
                  <w:tcW w:w="1706" w:type="pct"/>
                  <w:noWrap w:val="0"/>
                  <w:vAlign w:val="center"/>
                </w:tcPr>
                <w:p w14:paraId="69E26404">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四柱液压机</w:t>
                  </w:r>
                </w:p>
              </w:tc>
              <w:tc>
                <w:tcPr>
                  <w:tcW w:w="1425" w:type="pct"/>
                  <w:noWrap w:val="0"/>
                  <w:vAlign w:val="center"/>
                </w:tcPr>
                <w:p w14:paraId="009B9893">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400T</w:t>
                  </w:r>
                </w:p>
              </w:tc>
              <w:tc>
                <w:tcPr>
                  <w:tcW w:w="545" w:type="pct"/>
                  <w:noWrap w:val="0"/>
                  <w:vAlign w:val="center"/>
                </w:tcPr>
                <w:p w14:paraId="07C43554">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03A48C8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2B3B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558105A2">
                  <w:pPr>
                    <w:pStyle w:val="53"/>
                    <w:bidi w:val="0"/>
                    <w:rPr>
                      <w:rFonts w:hint="default"/>
                      <w:color w:val="auto"/>
                      <w:highlight w:val="none"/>
                      <w:lang w:val="en-US" w:eastAsia="zh-CN"/>
                    </w:rPr>
                  </w:pPr>
                  <w:r>
                    <w:rPr>
                      <w:rFonts w:hint="eastAsia"/>
                      <w:color w:val="auto"/>
                      <w:highlight w:val="none"/>
                      <w:lang w:val="en-US" w:eastAsia="zh-CN"/>
                    </w:rPr>
                    <w:t>14</w:t>
                  </w:r>
                </w:p>
              </w:tc>
              <w:tc>
                <w:tcPr>
                  <w:tcW w:w="1706" w:type="pct"/>
                  <w:noWrap w:val="0"/>
                  <w:vAlign w:val="center"/>
                </w:tcPr>
                <w:p w14:paraId="7641F07A">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叉车</w:t>
                  </w:r>
                </w:p>
              </w:tc>
              <w:tc>
                <w:tcPr>
                  <w:tcW w:w="1425" w:type="pct"/>
                  <w:noWrap w:val="0"/>
                  <w:vAlign w:val="center"/>
                </w:tcPr>
                <w:p w14:paraId="6BE19459">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3T</w:t>
                  </w:r>
                </w:p>
              </w:tc>
              <w:tc>
                <w:tcPr>
                  <w:tcW w:w="545" w:type="pct"/>
                  <w:noWrap w:val="0"/>
                  <w:vAlign w:val="center"/>
                </w:tcPr>
                <w:p w14:paraId="05F3B12E">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34963C9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r>
            <w:tr w14:paraId="6FFC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2DB04FA2">
                  <w:pPr>
                    <w:pStyle w:val="53"/>
                    <w:bidi w:val="0"/>
                    <w:rPr>
                      <w:rFonts w:hint="default"/>
                      <w:color w:val="auto"/>
                      <w:highlight w:val="none"/>
                      <w:lang w:val="en-US" w:eastAsia="zh-CN"/>
                    </w:rPr>
                  </w:pPr>
                  <w:r>
                    <w:rPr>
                      <w:rFonts w:hint="eastAsia"/>
                      <w:color w:val="auto"/>
                      <w:highlight w:val="none"/>
                      <w:lang w:val="en-US" w:eastAsia="zh-CN"/>
                    </w:rPr>
                    <w:t>15</w:t>
                  </w:r>
                </w:p>
              </w:tc>
              <w:tc>
                <w:tcPr>
                  <w:tcW w:w="1706" w:type="pct"/>
                  <w:noWrap w:val="0"/>
                  <w:vAlign w:val="center"/>
                </w:tcPr>
                <w:p w14:paraId="44DF97E8">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车床工装夹具及检具</w:t>
                  </w:r>
                </w:p>
              </w:tc>
              <w:tc>
                <w:tcPr>
                  <w:tcW w:w="1425" w:type="pct"/>
                  <w:noWrap w:val="0"/>
                  <w:vAlign w:val="center"/>
                </w:tcPr>
                <w:p w14:paraId="01C56114">
                  <w:pPr>
                    <w:pStyle w:val="53"/>
                    <w:bidi w:val="0"/>
                    <w:rPr>
                      <w:rFonts w:hint="eastAsia" w:ascii="Times New Roman" w:hAnsi="Times New Roman" w:eastAsia="宋体" w:cs="Times New Roman"/>
                      <w:color w:val="auto"/>
                      <w:highlight w:val="none"/>
                      <w:lang w:val="en-US" w:eastAsia="zh-CN"/>
                    </w:rPr>
                  </w:pPr>
                </w:p>
              </w:tc>
              <w:tc>
                <w:tcPr>
                  <w:tcW w:w="545" w:type="pct"/>
                  <w:noWrap w:val="0"/>
                  <w:vAlign w:val="center"/>
                </w:tcPr>
                <w:p w14:paraId="0C801332">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70F0963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套</w:t>
                  </w:r>
                </w:p>
              </w:tc>
            </w:tr>
            <w:tr w14:paraId="45A4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22ABBA33">
                  <w:pPr>
                    <w:pStyle w:val="53"/>
                    <w:bidi w:val="0"/>
                    <w:rPr>
                      <w:rFonts w:hint="default"/>
                      <w:color w:val="auto"/>
                      <w:highlight w:val="none"/>
                      <w:lang w:val="en-US" w:eastAsia="zh-CN"/>
                    </w:rPr>
                  </w:pPr>
                  <w:r>
                    <w:rPr>
                      <w:rFonts w:hint="eastAsia"/>
                      <w:color w:val="auto"/>
                      <w:highlight w:val="none"/>
                      <w:lang w:val="en-US" w:eastAsia="zh-CN"/>
                    </w:rPr>
                    <w:t>16</w:t>
                  </w:r>
                </w:p>
              </w:tc>
              <w:tc>
                <w:tcPr>
                  <w:tcW w:w="1706" w:type="pct"/>
                  <w:noWrap w:val="0"/>
                  <w:vAlign w:val="center"/>
                </w:tcPr>
                <w:p w14:paraId="5BA2B409">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实验室检验检测仪器</w:t>
                  </w:r>
                </w:p>
              </w:tc>
              <w:tc>
                <w:tcPr>
                  <w:tcW w:w="1425" w:type="pct"/>
                  <w:noWrap w:val="0"/>
                  <w:vAlign w:val="center"/>
                </w:tcPr>
                <w:p w14:paraId="5AD413A0">
                  <w:pPr>
                    <w:pStyle w:val="53"/>
                    <w:bidi w:val="0"/>
                    <w:rPr>
                      <w:rFonts w:hint="eastAsia" w:ascii="Times New Roman" w:hAnsi="Times New Roman" w:eastAsia="宋体" w:cs="Times New Roman"/>
                      <w:color w:val="auto"/>
                      <w:highlight w:val="none"/>
                      <w:lang w:val="en-US" w:eastAsia="zh-CN"/>
                    </w:rPr>
                  </w:pPr>
                </w:p>
              </w:tc>
              <w:tc>
                <w:tcPr>
                  <w:tcW w:w="545" w:type="pct"/>
                  <w:noWrap w:val="0"/>
                  <w:vAlign w:val="center"/>
                </w:tcPr>
                <w:p w14:paraId="7581D046">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00EFCD1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套</w:t>
                  </w:r>
                </w:p>
              </w:tc>
            </w:tr>
            <w:tr w14:paraId="5CE2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392038EB">
                  <w:pPr>
                    <w:pStyle w:val="53"/>
                    <w:bidi w:val="0"/>
                    <w:rPr>
                      <w:rFonts w:hint="default"/>
                      <w:color w:val="auto"/>
                      <w:highlight w:val="none"/>
                      <w:lang w:val="en-US" w:eastAsia="zh-CN"/>
                    </w:rPr>
                  </w:pPr>
                  <w:r>
                    <w:rPr>
                      <w:rFonts w:hint="eastAsia"/>
                      <w:color w:val="auto"/>
                      <w:highlight w:val="none"/>
                      <w:lang w:val="en-US" w:eastAsia="zh-CN"/>
                    </w:rPr>
                    <w:t>17</w:t>
                  </w:r>
                </w:p>
              </w:tc>
              <w:tc>
                <w:tcPr>
                  <w:tcW w:w="1706" w:type="pct"/>
                  <w:noWrap w:val="0"/>
                  <w:vAlign w:val="center"/>
                </w:tcPr>
                <w:p w14:paraId="2387A9DE">
                  <w:pPr>
                    <w:pStyle w:val="53"/>
                    <w:bidi w:val="0"/>
                    <w:rPr>
                      <w:rFonts w:hint="eastAsia" w:ascii="Times New Roman" w:hAnsi="Times New Roman" w:eastAsia="宋体" w:cs="Times New Roman"/>
                      <w:color w:val="auto"/>
                      <w:highlight w:val="none"/>
                      <w:lang w:val="en-US" w:eastAsia="zh-CN"/>
                    </w:rPr>
                  </w:pPr>
                  <w:r>
                    <w:rPr>
                      <w:color w:val="auto"/>
                      <w:highlight w:val="none"/>
                    </w:rPr>
                    <w:t>荧光磁粉探伤清洗涂油检测线</w:t>
                  </w:r>
                </w:p>
              </w:tc>
              <w:tc>
                <w:tcPr>
                  <w:tcW w:w="1425" w:type="pct"/>
                  <w:noWrap w:val="0"/>
                  <w:vAlign w:val="center"/>
                </w:tcPr>
                <w:p w14:paraId="4490173C">
                  <w:pPr>
                    <w:pStyle w:val="53"/>
                    <w:bidi w:val="0"/>
                    <w:rPr>
                      <w:rFonts w:hint="eastAsia" w:ascii="Times New Roman" w:hAnsi="Times New Roman" w:eastAsia="宋体" w:cs="Times New Roman"/>
                      <w:color w:val="auto"/>
                      <w:highlight w:val="none"/>
                      <w:lang w:val="en-US" w:eastAsia="zh-CN"/>
                    </w:rPr>
                  </w:pPr>
                </w:p>
              </w:tc>
              <w:tc>
                <w:tcPr>
                  <w:tcW w:w="545" w:type="pct"/>
                  <w:noWrap w:val="0"/>
                  <w:vAlign w:val="center"/>
                </w:tcPr>
                <w:p w14:paraId="123B4C74">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863" w:type="pct"/>
                  <w:noWrap w:val="0"/>
                  <w:vAlign w:val="center"/>
                </w:tcPr>
                <w:p w14:paraId="32187D75">
                  <w:pPr>
                    <w:pStyle w:val="5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台</w:t>
                  </w:r>
                </w:p>
              </w:tc>
            </w:tr>
            <w:tr w14:paraId="6251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noWrap w:val="0"/>
                  <w:vAlign w:val="center"/>
                </w:tcPr>
                <w:p w14:paraId="69F15B5A">
                  <w:pPr>
                    <w:pStyle w:val="53"/>
                    <w:bidi w:val="0"/>
                    <w:rPr>
                      <w:rFonts w:hint="default"/>
                      <w:color w:val="auto"/>
                      <w:highlight w:val="none"/>
                      <w:lang w:val="en-US" w:eastAsia="zh-CN"/>
                    </w:rPr>
                  </w:pPr>
                  <w:r>
                    <w:rPr>
                      <w:rFonts w:hint="eastAsia"/>
                      <w:color w:val="auto"/>
                      <w:highlight w:val="none"/>
                      <w:lang w:val="en-US" w:eastAsia="zh-CN"/>
                    </w:rPr>
                    <w:t>合计</w:t>
                  </w:r>
                </w:p>
              </w:tc>
              <w:tc>
                <w:tcPr>
                  <w:tcW w:w="1706" w:type="pct"/>
                  <w:noWrap w:val="0"/>
                  <w:vAlign w:val="center"/>
                </w:tcPr>
                <w:p w14:paraId="6F40E9A7">
                  <w:pPr>
                    <w:pStyle w:val="53"/>
                    <w:bidi w:val="0"/>
                    <w:rPr>
                      <w:rFonts w:hint="eastAsia" w:ascii="Times New Roman" w:hAnsi="Times New Roman" w:eastAsia="宋体" w:cs="Times New Roman"/>
                      <w:color w:val="auto"/>
                      <w:highlight w:val="none"/>
                      <w:lang w:val="en-US" w:eastAsia="zh-CN"/>
                    </w:rPr>
                  </w:pPr>
                </w:p>
              </w:tc>
              <w:tc>
                <w:tcPr>
                  <w:tcW w:w="1425" w:type="pct"/>
                  <w:noWrap w:val="0"/>
                  <w:vAlign w:val="center"/>
                </w:tcPr>
                <w:p w14:paraId="4B464FDB">
                  <w:pPr>
                    <w:pStyle w:val="53"/>
                    <w:bidi w:val="0"/>
                    <w:rPr>
                      <w:rFonts w:hint="eastAsia" w:ascii="Times New Roman" w:hAnsi="Times New Roman" w:eastAsia="宋体" w:cs="Times New Roman"/>
                      <w:color w:val="auto"/>
                      <w:highlight w:val="none"/>
                      <w:lang w:val="en-US" w:eastAsia="zh-CN"/>
                    </w:rPr>
                  </w:pPr>
                </w:p>
              </w:tc>
              <w:tc>
                <w:tcPr>
                  <w:tcW w:w="545" w:type="pct"/>
                  <w:noWrap w:val="0"/>
                  <w:vAlign w:val="center"/>
                </w:tcPr>
                <w:p w14:paraId="382377E9">
                  <w:pPr>
                    <w:pStyle w:val="5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47</w:t>
                  </w:r>
                </w:p>
              </w:tc>
              <w:tc>
                <w:tcPr>
                  <w:tcW w:w="863" w:type="pct"/>
                  <w:noWrap w:val="0"/>
                  <w:vAlign w:val="center"/>
                </w:tcPr>
                <w:p w14:paraId="149B52A0">
                  <w:pPr>
                    <w:pStyle w:val="53"/>
                    <w:bidi w:val="0"/>
                    <w:rPr>
                      <w:rFonts w:hint="eastAsia" w:ascii="Times New Roman" w:hAnsi="Times New Roman" w:eastAsia="宋体" w:cs="Times New Roman"/>
                      <w:color w:val="auto"/>
                      <w:highlight w:val="none"/>
                      <w:lang w:val="en-US" w:eastAsia="zh-CN"/>
                    </w:rPr>
                  </w:pPr>
                </w:p>
              </w:tc>
            </w:tr>
          </w:tbl>
          <w:p w14:paraId="770D121E">
            <w:pPr>
              <w:numPr>
                <w:ilvl w:val="0"/>
                <w:numId w:val="6"/>
              </w:numPr>
              <w:bidi w:val="0"/>
              <w:rPr>
                <w:rFonts w:hint="default"/>
                <w:b/>
                <w:bCs/>
                <w:color w:val="auto"/>
                <w:highlight w:val="none"/>
                <w:lang w:val="en-US" w:eastAsia="zh-CN"/>
              </w:rPr>
            </w:pPr>
            <w:r>
              <w:rPr>
                <w:rFonts w:hint="eastAsia"/>
                <w:b/>
                <w:bCs/>
                <w:color w:val="auto"/>
                <w:highlight w:val="none"/>
                <w:lang w:val="en-US" w:eastAsia="zh-CN"/>
              </w:rPr>
              <w:t>项目产品方案</w:t>
            </w:r>
          </w:p>
          <w:p w14:paraId="5DFE80E2">
            <w:pPr>
              <w:bidi w:val="0"/>
              <w:rPr>
                <w:rFonts w:hint="eastAsia"/>
                <w:color w:val="auto"/>
                <w:highlight w:val="none"/>
                <w:lang w:val="en-US" w:eastAsia="zh-CN"/>
              </w:rPr>
            </w:pPr>
            <w:r>
              <w:rPr>
                <w:rFonts w:hint="eastAsia"/>
                <w:color w:val="auto"/>
                <w:highlight w:val="none"/>
                <w:lang w:val="en-US" w:eastAsia="zh-CN"/>
              </w:rPr>
              <w:t>项目产品方案见下表2-3。</w:t>
            </w:r>
          </w:p>
          <w:p w14:paraId="070AADDC">
            <w:pPr>
              <w:pStyle w:val="58"/>
              <w:bidi w:val="0"/>
              <w:rPr>
                <w:rFonts w:hint="eastAsia"/>
                <w:color w:val="auto"/>
                <w:highlight w:val="none"/>
                <w:lang w:val="en-US" w:eastAsia="zh-CN"/>
              </w:rPr>
            </w:pPr>
            <w:r>
              <w:rPr>
                <w:rFonts w:hint="eastAsia"/>
                <w:color w:val="auto"/>
                <w:highlight w:val="none"/>
                <w:lang w:val="en-US" w:eastAsia="zh-CN"/>
              </w:rPr>
              <w:t>表2-3    项目产品方案</w:t>
            </w:r>
          </w:p>
          <w:tbl>
            <w:tblPr>
              <w:tblStyle w:val="31"/>
              <w:tblW w:w="8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3095"/>
              <w:gridCol w:w="798"/>
              <w:gridCol w:w="1665"/>
              <w:gridCol w:w="1345"/>
            </w:tblGrid>
            <w:tr w14:paraId="6729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5C9E2CBA">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产品名称</w:t>
                  </w:r>
                </w:p>
              </w:tc>
              <w:tc>
                <w:tcPr>
                  <w:tcW w:w="3095" w:type="dxa"/>
                  <w:vAlign w:val="center"/>
                </w:tcPr>
                <w:p w14:paraId="065C0ABC">
                  <w:pPr>
                    <w:pStyle w:val="53"/>
                    <w:bidi w:val="0"/>
                    <w:jc w:val="center"/>
                    <w:rPr>
                      <w:rFonts w:hint="default"/>
                      <w:b/>
                      <w:bCs/>
                      <w:color w:val="auto"/>
                      <w:highlight w:val="none"/>
                      <w:lang w:val="en-US" w:eastAsia="zh-CN"/>
                    </w:rPr>
                  </w:pPr>
                  <w:r>
                    <w:rPr>
                      <w:rFonts w:hint="eastAsia"/>
                      <w:b/>
                      <w:bCs/>
                      <w:color w:val="auto"/>
                      <w:highlight w:val="none"/>
                      <w:lang w:val="en-US" w:eastAsia="zh-CN"/>
                    </w:rPr>
                    <w:t>规格型号</w:t>
                  </w:r>
                </w:p>
              </w:tc>
              <w:tc>
                <w:tcPr>
                  <w:tcW w:w="798" w:type="dxa"/>
                  <w:vAlign w:val="center"/>
                </w:tcPr>
                <w:p w14:paraId="5B601A56">
                  <w:pPr>
                    <w:pStyle w:val="53"/>
                    <w:bidi w:val="0"/>
                    <w:jc w:val="center"/>
                    <w:rPr>
                      <w:rFonts w:hint="default"/>
                      <w:b/>
                      <w:bCs/>
                      <w:color w:val="auto"/>
                      <w:highlight w:val="none"/>
                      <w:lang w:val="en-US" w:eastAsia="zh-CN"/>
                    </w:rPr>
                  </w:pPr>
                  <w:r>
                    <w:rPr>
                      <w:rFonts w:hint="eastAsia"/>
                      <w:b/>
                      <w:bCs/>
                      <w:color w:val="auto"/>
                      <w:highlight w:val="none"/>
                      <w:lang w:val="en-US" w:eastAsia="zh-CN"/>
                    </w:rPr>
                    <w:t>单位</w:t>
                  </w:r>
                </w:p>
              </w:tc>
              <w:tc>
                <w:tcPr>
                  <w:tcW w:w="1665" w:type="dxa"/>
                  <w:shd w:val="clear" w:color="auto" w:fill="auto"/>
                  <w:vAlign w:val="center"/>
                </w:tcPr>
                <w:p w14:paraId="6106427A">
                  <w:pPr>
                    <w:pStyle w:val="53"/>
                    <w:bidi w:val="0"/>
                    <w:jc w:val="center"/>
                    <w:rPr>
                      <w:rFonts w:hint="default"/>
                      <w:b/>
                      <w:bCs/>
                      <w:color w:val="auto"/>
                      <w:highlight w:val="none"/>
                      <w:lang w:val="en-US" w:eastAsia="zh-CN"/>
                    </w:rPr>
                  </w:pPr>
                  <w:r>
                    <w:rPr>
                      <w:rFonts w:hint="eastAsia"/>
                      <w:b/>
                      <w:bCs/>
                      <w:color w:val="auto"/>
                      <w:highlight w:val="none"/>
                      <w:lang w:val="en-US" w:eastAsia="zh-CN"/>
                    </w:rPr>
                    <w:t>年产量(万件/a)</w:t>
                  </w:r>
                </w:p>
              </w:tc>
              <w:tc>
                <w:tcPr>
                  <w:tcW w:w="1345" w:type="dxa"/>
                  <w:shd w:val="clear" w:color="auto" w:fill="auto"/>
                  <w:vAlign w:val="center"/>
                </w:tcPr>
                <w:p w14:paraId="0AD180AE">
                  <w:pPr>
                    <w:pStyle w:val="53"/>
                    <w:bidi w:val="0"/>
                    <w:jc w:val="center"/>
                    <w:rPr>
                      <w:rFonts w:hint="eastAsia"/>
                      <w:b/>
                      <w:bCs/>
                      <w:color w:val="auto"/>
                      <w:highlight w:val="none"/>
                      <w:lang w:val="en-US" w:eastAsia="zh-CN"/>
                    </w:rPr>
                  </w:pPr>
                  <w:r>
                    <w:rPr>
                      <w:rFonts w:hint="eastAsia"/>
                      <w:b/>
                      <w:bCs/>
                      <w:color w:val="auto"/>
                      <w:highlight w:val="none"/>
                      <w:lang w:val="en-US" w:eastAsia="zh-CN"/>
                    </w:rPr>
                    <w:t>质量</w:t>
                  </w:r>
                </w:p>
                <w:p w14:paraId="1721B2F7">
                  <w:pPr>
                    <w:pStyle w:val="53"/>
                    <w:bidi w:val="0"/>
                    <w:jc w:val="center"/>
                    <w:rPr>
                      <w:rFonts w:hint="eastAsia"/>
                      <w:b/>
                      <w:bCs/>
                      <w:color w:val="auto"/>
                      <w:highlight w:val="none"/>
                      <w:lang w:val="en-US" w:eastAsia="zh-CN"/>
                    </w:rPr>
                  </w:pPr>
                  <w:r>
                    <w:rPr>
                      <w:rFonts w:hint="eastAsia"/>
                      <w:b/>
                      <w:bCs/>
                      <w:color w:val="auto"/>
                      <w:highlight w:val="none"/>
                      <w:lang w:val="en-US" w:eastAsia="zh-CN"/>
                    </w:rPr>
                    <w:t>（t/a）</w:t>
                  </w:r>
                </w:p>
              </w:tc>
            </w:tr>
            <w:tr w14:paraId="6B9D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7D59F9D6">
                  <w:pPr>
                    <w:pStyle w:val="53"/>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中间轴二档齿轮</w:t>
                  </w:r>
                </w:p>
              </w:tc>
              <w:tc>
                <w:tcPr>
                  <w:tcW w:w="3095" w:type="dxa"/>
                  <w:vAlign w:val="center"/>
                </w:tcPr>
                <w:p w14:paraId="465D0073">
                  <w:pPr>
                    <w:pStyle w:val="53"/>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10JSD160TB-170105 </w:t>
                  </w:r>
                  <w:r>
                    <w:rPr>
                      <w:rFonts w:hint="eastAsia" w:ascii="Times New Roman" w:hAnsi="Times New Roman" w:eastAsia="宋体" w:cs="Times New Roman"/>
                      <w:color w:val="auto"/>
                      <w:highlight w:val="none"/>
                      <w:lang w:val="en-US" w:eastAsia="zh-CN"/>
                    </w:rPr>
                    <w:t xml:space="preserve">   Φ65</w:t>
                  </w:r>
                </w:p>
              </w:tc>
              <w:tc>
                <w:tcPr>
                  <w:tcW w:w="798" w:type="dxa"/>
                  <w:vAlign w:val="center"/>
                </w:tcPr>
                <w:p w14:paraId="50339B6C">
                  <w:pPr>
                    <w:pStyle w:val="53"/>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shd w:val="clear" w:color="auto" w:fill="auto"/>
                  <w:vAlign w:val="center"/>
                </w:tcPr>
                <w:p w14:paraId="06092477">
                  <w:pPr>
                    <w:pStyle w:val="53"/>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1345" w:type="dxa"/>
                  <w:shd w:val="clear" w:color="auto" w:fill="auto"/>
                  <w:vAlign w:val="center"/>
                </w:tcPr>
                <w:p w14:paraId="7067A5CE">
                  <w:pPr>
                    <w:pStyle w:val="5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600</w:t>
                  </w:r>
                </w:p>
              </w:tc>
            </w:tr>
            <w:tr w14:paraId="06EB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14:paraId="18D61EFD">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同步器齿毂</w:t>
                  </w:r>
                </w:p>
                <w:p w14:paraId="6B8E701F">
                  <w:pPr>
                    <w:pStyle w:val="53"/>
                    <w:bidi w:val="0"/>
                    <w:jc w:val="center"/>
                    <w:rPr>
                      <w:rFonts w:hint="eastAsia" w:ascii="Times New Roman" w:hAnsi="Times New Roman" w:eastAsia="宋体" w:cs="Times New Roman"/>
                      <w:color w:val="auto"/>
                      <w:highlight w:val="none"/>
                      <w:lang w:val="en-US" w:eastAsia="zh-CN"/>
                    </w:rPr>
                  </w:pPr>
                </w:p>
              </w:tc>
              <w:tc>
                <w:tcPr>
                  <w:tcW w:w="3095" w:type="dxa"/>
                  <w:vAlign w:val="center"/>
                </w:tcPr>
                <w:p w14:paraId="730DAC64">
                  <w:pPr>
                    <w:pStyle w:val="53"/>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JS125T-1707141-1 </w:t>
                  </w:r>
                  <w:r>
                    <w:rPr>
                      <w:rFonts w:hint="eastAsia" w:ascii="Times New Roman" w:hAnsi="Times New Roman" w:eastAsia="宋体" w:cs="Times New Roman"/>
                      <w:color w:val="auto"/>
                      <w:highlight w:val="none"/>
                      <w:lang w:val="en-US" w:eastAsia="zh-CN"/>
                    </w:rPr>
                    <w:t xml:space="preserve">     Φ65</w:t>
                  </w:r>
                </w:p>
              </w:tc>
              <w:tc>
                <w:tcPr>
                  <w:tcW w:w="798" w:type="dxa"/>
                  <w:vAlign w:val="center"/>
                </w:tcPr>
                <w:p w14:paraId="73B236C5">
                  <w:pPr>
                    <w:pStyle w:val="53"/>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shd w:val="clear" w:color="auto" w:fill="auto"/>
                  <w:vAlign w:val="center"/>
                </w:tcPr>
                <w:p w14:paraId="7710B28C">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w:t>
                  </w:r>
                </w:p>
              </w:tc>
              <w:tc>
                <w:tcPr>
                  <w:tcW w:w="1345" w:type="dxa"/>
                  <w:shd w:val="clear" w:color="auto" w:fill="auto"/>
                  <w:vAlign w:val="center"/>
                </w:tcPr>
                <w:p w14:paraId="72B9CF13">
                  <w:pPr>
                    <w:pStyle w:val="5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320</w:t>
                  </w:r>
                </w:p>
              </w:tc>
            </w:tr>
            <w:tr w14:paraId="14D9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3C1D96D2">
                  <w:pPr>
                    <w:pStyle w:val="53"/>
                    <w:bidi w:val="0"/>
                    <w:jc w:val="center"/>
                    <w:rPr>
                      <w:rFonts w:hint="eastAsia" w:ascii="Times New Roman" w:hAnsi="Times New Roman" w:eastAsia="宋体" w:cs="Times New Roman"/>
                      <w:color w:val="auto"/>
                      <w:highlight w:val="none"/>
                      <w:lang w:val="en-US" w:eastAsia="zh-CN"/>
                    </w:rPr>
                  </w:pPr>
                </w:p>
              </w:tc>
              <w:tc>
                <w:tcPr>
                  <w:tcW w:w="3095" w:type="dxa"/>
                  <w:vAlign w:val="center"/>
                </w:tcPr>
                <w:p w14:paraId="485B8E2B">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JS85T-1707141-1 </w:t>
                  </w:r>
                  <w:r>
                    <w:rPr>
                      <w:rFonts w:hint="eastAsia" w:ascii="Times New Roman" w:hAnsi="Times New Roman" w:eastAsia="宋体" w:cs="Times New Roman"/>
                      <w:color w:val="auto"/>
                      <w:highlight w:val="none"/>
                      <w:lang w:val="en-US" w:eastAsia="zh-CN"/>
                    </w:rPr>
                    <w:t xml:space="preserve">      Φ60</w:t>
                  </w:r>
                </w:p>
              </w:tc>
              <w:tc>
                <w:tcPr>
                  <w:tcW w:w="798" w:type="dxa"/>
                  <w:vAlign w:val="center"/>
                </w:tcPr>
                <w:p w14:paraId="2320960B">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09EDF3CB">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1345" w:type="dxa"/>
                  <w:shd w:val="clear" w:color="auto" w:fill="auto"/>
                  <w:vAlign w:val="center"/>
                </w:tcPr>
                <w:p w14:paraId="54D3B4BD">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240</w:t>
                  </w:r>
                </w:p>
              </w:tc>
            </w:tr>
            <w:tr w14:paraId="24C9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4752040E">
                  <w:pPr>
                    <w:pStyle w:val="53"/>
                    <w:bidi w:val="0"/>
                    <w:jc w:val="center"/>
                    <w:rPr>
                      <w:rFonts w:hint="eastAsia" w:cs="Times New Roman"/>
                      <w:color w:val="auto"/>
                      <w:kern w:val="0"/>
                      <w:sz w:val="21"/>
                      <w:szCs w:val="20"/>
                      <w:highlight w:val="none"/>
                      <w:lang w:val="en-US" w:eastAsia="zh-CN" w:bidi="ar"/>
                    </w:rPr>
                  </w:pPr>
                </w:p>
              </w:tc>
              <w:tc>
                <w:tcPr>
                  <w:tcW w:w="3095" w:type="dxa"/>
                  <w:vAlign w:val="center"/>
                </w:tcPr>
                <w:p w14:paraId="3DD95F1A">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JS75T-1707141-2 </w:t>
                  </w:r>
                  <w:r>
                    <w:rPr>
                      <w:rFonts w:hint="eastAsia" w:ascii="Times New Roman" w:hAnsi="Times New Roman" w:eastAsia="宋体" w:cs="Times New Roman"/>
                      <w:color w:val="auto"/>
                      <w:highlight w:val="none"/>
                      <w:lang w:val="en-US" w:eastAsia="zh-CN"/>
                    </w:rPr>
                    <w:t xml:space="preserve">      Φ60</w:t>
                  </w:r>
                </w:p>
              </w:tc>
              <w:tc>
                <w:tcPr>
                  <w:tcW w:w="798" w:type="dxa"/>
                  <w:vAlign w:val="center"/>
                </w:tcPr>
                <w:p w14:paraId="367F8EA0">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19144725">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1345" w:type="dxa"/>
                  <w:shd w:val="clear" w:color="auto" w:fill="auto"/>
                  <w:vAlign w:val="center"/>
                </w:tcPr>
                <w:p w14:paraId="4CD6814D">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240</w:t>
                  </w:r>
                </w:p>
              </w:tc>
            </w:tr>
            <w:tr w14:paraId="63ED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14:paraId="17612BD6">
                  <w:pPr>
                    <w:pStyle w:val="53"/>
                    <w:bidi w:val="0"/>
                    <w:jc w:val="center"/>
                    <w:rPr>
                      <w:rFonts w:hint="eastAsia" w:cs="Times New Roman"/>
                      <w:color w:val="auto"/>
                      <w:kern w:val="0"/>
                      <w:sz w:val="21"/>
                      <w:szCs w:val="20"/>
                      <w:highlight w:val="none"/>
                      <w:lang w:val="en-US" w:eastAsia="zh-CN" w:bidi="ar"/>
                    </w:rPr>
                  </w:pPr>
                  <w:r>
                    <w:rPr>
                      <w:rFonts w:hint="eastAsia" w:ascii="Times New Roman" w:hAnsi="Times New Roman" w:eastAsia="宋体" w:cs="Times New Roman"/>
                      <w:color w:val="auto"/>
                      <w:highlight w:val="none"/>
                      <w:lang w:val="en-US" w:eastAsia="zh-CN"/>
                    </w:rPr>
                    <w:t>同步器结合齿圈</w:t>
                  </w:r>
                </w:p>
              </w:tc>
              <w:tc>
                <w:tcPr>
                  <w:tcW w:w="3095" w:type="dxa"/>
                  <w:vAlign w:val="center"/>
                </w:tcPr>
                <w:p w14:paraId="04E98FB7">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12JS160T-1701173S </w:t>
                  </w:r>
                  <w:r>
                    <w:rPr>
                      <w:rFonts w:hint="eastAsia" w:ascii="Times New Roman" w:hAnsi="Times New Roman" w:eastAsia="宋体" w:cs="Times New Roman"/>
                      <w:color w:val="auto"/>
                      <w:highlight w:val="none"/>
                      <w:lang w:val="en-US" w:eastAsia="zh-CN"/>
                    </w:rPr>
                    <w:t xml:space="preserve">    Φ60</w:t>
                  </w:r>
                </w:p>
              </w:tc>
              <w:tc>
                <w:tcPr>
                  <w:tcW w:w="798" w:type="dxa"/>
                  <w:vAlign w:val="center"/>
                </w:tcPr>
                <w:p w14:paraId="2DAF67CC">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0F740685">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1345" w:type="dxa"/>
                  <w:shd w:val="clear" w:color="auto" w:fill="auto"/>
                  <w:vAlign w:val="center"/>
                </w:tcPr>
                <w:p w14:paraId="5880827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w:t>
                  </w:r>
                </w:p>
              </w:tc>
            </w:tr>
            <w:tr w14:paraId="6DCF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351" w:type="dxa"/>
                  <w:vMerge w:val="continue"/>
                  <w:vAlign w:val="center"/>
                </w:tcPr>
                <w:p w14:paraId="710CD8E2">
                  <w:pPr>
                    <w:pStyle w:val="53"/>
                    <w:bidi w:val="0"/>
                    <w:jc w:val="center"/>
                    <w:rPr>
                      <w:rFonts w:hint="eastAsia" w:cs="Times New Roman"/>
                      <w:color w:val="auto"/>
                      <w:kern w:val="0"/>
                      <w:sz w:val="21"/>
                      <w:szCs w:val="20"/>
                      <w:highlight w:val="none"/>
                      <w:lang w:val="en-US" w:eastAsia="zh-CN" w:bidi="ar"/>
                    </w:rPr>
                  </w:pPr>
                </w:p>
              </w:tc>
              <w:tc>
                <w:tcPr>
                  <w:tcW w:w="3095" w:type="dxa"/>
                  <w:vAlign w:val="center"/>
                </w:tcPr>
                <w:p w14:paraId="71206129">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11841173           </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Φ55</w:t>
                  </w:r>
                </w:p>
              </w:tc>
              <w:tc>
                <w:tcPr>
                  <w:tcW w:w="798" w:type="dxa"/>
                  <w:vAlign w:val="center"/>
                </w:tcPr>
                <w:p w14:paraId="7917C3CD">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558974B4">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345" w:type="dxa"/>
                  <w:shd w:val="clear" w:color="auto" w:fill="auto"/>
                  <w:vAlign w:val="center"/>
                </w:tcPr>
                <w:p w14:paraId="6FDC2320">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40</w:t>
                  </w:r>
                </w:p>
              </w:tc>
            </w:tr>
            <w:tr w14:paraId="7040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70494571">
                  <w:pPr>
                    <w:pStyle w:val="53"/>
                    <w:bidi w:val="0"/>
                    <w:jc w:val="center"/>
                    <w:rPr>
                      <w:rFonts w:hint="eastAsia" w:cs="Times New Roman"/>
                      <w:color w:val="auto"/>
                      <w:kern w:val="0"/>
                      <w:sz w:val="21"/>
                      <w:szCs w:val="20"/>
                      <w:highlight w:val="none"/>
                      <w:lang w:val="en-US" w:eastAsia="zh-CN" w:bidi="ar"/>
                    </w:rPr>
                  </w:pPr>
                </w:p>
              </w:tc>
              <w:tc>
                <w:tcPr>
                  <w:tcW w:w="3095" w:type="dxa"/>
                  <w:vAlign w:val="center"/>
                </w:tcPr>
                <w:p w14:paraId="3ADE7DF9">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JS130T-1701183S </w:t>
                  </w:r>
                  <w:r>
                    <w:rPr>
                      <w:rFonts w:hint="eastAsia" w:ascii="Times New Roman" w:hAnsi="Times New Roman" w:eastAsia="宋体" w:cs="Times New Roman"/>
                      <w:color w:val="auto"/>
                      <w:highlight w:val="none"/>
                      <w:lang w:val="en-US" w:eastAsia="zh-CN"/>
                    </w:rPr>
                    <w:t xml:space="preserve">      Φ55</w:t>
                  </w:r>
                </w:p>
              </w:tc>
              <w:tc>
                <w:tcPr>
                  <w:tcW w:w="798" w:type="dxa"/>
                  <w:vAlign w:val="center"/>
                </w:tcPr>
                <w:p w14:paraId="05506811">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42ECFBE0">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345" w:type="dxa"/>
                  <w:shd w:val="clear" w:color="auto" w:fill="auto"/>
                  <w:vAlign w:val="center"/>
                </w:tcPr>
                <w:p w14:paraId="35B0B9D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40</w:t>
                  </w:r>
                </w:p>
              </w:tc>
            </w:tr>
            <w:tr w14:paraId="127E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41A90473">
                  <w:pPr>
                    <w:pStyle w:val="53"/>
                    <w:bidi w:val="0"/>
                    <w:jc w:val="center"/>
                    <w:rPr>
                      <w:rFonts w:hint="eastAsia" w:cs="Times New Roman"/>
                      <w:color w:val="auto"/>
                      <w:kern w:val="0"/>
                      <w:sz w:val="21"/>
                      <w:szCs w:val="20"/>
                      <w:highlight w:val="none"/>
                      <w:lang w:val="en-US" w:eastAsia="zh-CN" w:bidi="ar"/>
                    </w:rPr>
                  </w:pPr>
                </w:p>
              </w:tc>
              <w:tc>
                <w:tcPr>
                  <w:tcW w:w="3095" w:type="dxa"/>
                  <w:vAlign w:val="center"/>
                </w:tcPr>
                <w:p w14:paraId="6AABEDD0">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5DS120T-1701183 </w:t>
                  </w:r>
                  <w:r>
                    <w:rPr>
                      <w:rFonts w:hint="eastAsia" w:ascii="Times New Roman" w:hAnsi="Times New Roman" w:eastAsia="宋体" w:cs="Times New Roman"/>
                      <w:color w:val="auto"/>
                      <w:highlight w:val="none"/>
                      <w:lang w:val="en-US" w:eastAsia="zh-CN"/>
                    </w:rPr>
                    <w:t xml:space="preserve">     Φ55</w:t>
                  </w:r>
                </w:p>
              </w:tc>
              <w:tc>
                <w:tcPr>
                  <w:tcW w:w="798" w:type="dxa"/>
                  <w:vAlign w:val="center"/>
                </w:tcPr>
                <w:p w14:paraId="3C3DD483">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1D6D2DF4">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345" w:type="dxa"/>
                  <w:shd w:val="clear" w:color="auto" w:fill="auto"/>
                  <w:vAlign w:val="center"/>
                </w:tcPr>
                <w:p w14:paraId="5746BAE7">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40</w:t>
                  </w:r>
                </w:p>
              </w:tc>
            </w:tr>
            <w:tr w14:paraId="0DAE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6606B616">
                  <w:pPr>
                    <w:pStyle w:val="53"/>
                    <w:bidi w:val="0"/>
                    <w:jc w:val="center"/>
                    <w:rPr>
                      <w:rFonts w:hint="eastAsia" w:cs="Times New Roman"/>
                      <w:color w:val="auto"/>
                      <w:kern w:val="0"/>
                      <w:sz w:val="21"/>
                      <w:szCs w:val="20"/>
                      <w:highlight w:val="none"/>
                      <w:lang w:val="en-US" w:eastAsia="zh-CN" w:bidi="ar"/>
                    </w:rPr>
                  </w:pPr>
                </w:p>
              </w:tc>
              <w:tc>
                <w:tcPr>
                  <w:tcW w:w="3095" w:type="dxa"/>
                  <w:vAlign w:val="center"/>
                </w:tcPr>
                <w:p w14:paraId="257D2A9C">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12JSDX240T-1701193-3F</w:t>
                  </w:r>
                  <w:r>
                    <w:rPr>
                      <w:rFonts w:hint="eastAsia" w:ascii="Times New Roman" w:hAnsi="Times New Roman" w:eastAsia="宋体" w:cs="Times New Roman"/>
                      <w:color w:val="auto"/>
                      <w:highlight w:val="none"/>
                      <w:lang w:val="en-US" w:eastAsia="zh-CN"/>
                    </w:rPr>
                    <w:t>Φ60</w:t>
                  </w:r>
                </w:p>
              </w:tc>
              <w:tc>
                <w:tcPr>
                  <w:tcW w:w="798" w:type="dxa"/>
                  <w:vAlign w:val="center"/>
                </w:tcPr>
                <w:p w14:paraId="54D05842">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6313156E">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345" w:type="dxa"/>
                  <w:shd w:val="clear" w:color="auto" w:fill="auto"/>
                  <w:vAlign w:val="center"/>
                </w:tcPr>
                <w:p w14:paraId="36EA8BEF">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40</w:t>
                  </w:r>
                </w:p>
              </w:tc>
            </w:tr>
            <w:tr w14:paraId="7183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40FECD69">
                  <w:pPr>
                    <w:pStyle w:val="53"/>
                    <w:bidi w:val="0"/>
                    <w:jc w:val="center"/>
                    <w:rPr>
                      <w:rFonts w:hint="eastAsia" w:cs="Times New Roman"/>
                      <w:color w:val="auto"/>
                      <w:kern w:val="0"/>
                      <w:sz w:val="21"/>
                      <w:szCs w:val="20"/>
                      <w:highlight w:val="none"/>
                      <w:lang w:val="en-US" w:eastAsia="zh-CN" w:bidi="ar"/>
                    </w:rPr>
                  </w:pPr>
                </w:p>
              </w:tc>
              <w:tc>
                <w:tcPr>
                  <w:tcW w:w="3095" w:type="dxa"/>
                  <w:vAlign w:val="center"/>
                </w:tcPr>
                <w:p w14:paraId="194B630F">
                  <w:pPr>
                    <w:pStyle w:val="53"/>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JS85T-1707143-1 </w:t>
                  </w:r>
                  <w:r>
                    <w:rPr>
                      <w:rFonts w:hint="eastAsia" w:ascii="Times New Roman" w:hAnsi="Times New Roman" w:eastAsia="宋体" w:cs="Times New Roman"/>
                      <w:color w:val="auto"/>
                      <w:highlight w:val="none"/>
                      <w:lang w:val="en-US" w:eastAsia="zh-CN"/>
                    </w:rPr>
                    <w:t xml:space="preserve">      Φ55</w:t>
                  </w:r>
                </w:p>
              </w:tc>
              <w:tc>
                <w:tcPr>
                  <w:tcW w:w="798" w:type="dxa"/>
                  <w:vAlign w:val="center"/>
                </w:tcPr>
                <w:p w14:paraId="18AA6978">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万件</w:t>
                  </w:r>
                </w:p>
              </w:tc>
              <w:tc>
                <w:tcPr>
                  <w:tcW w:w="1665" w:type="dxa"/>
                  <w:vAlign w:val="center"/>
                </w:tcPr>
                <w:p w14:paraId="2B9277D6">
                  <w:pPr>
                    <w:pStyle w:val="5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345" w:type="dxa"/>
                  <w:shd w:val="clear" w:color="auto" w:fill="auto"/>
                  <w:vAlign w:val="center"/>
                </w:tcPr>
                <w:p w14:paraId="3BB50214">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40</w:t>
                  </w:r>
                </w:p>
              </w:tc>
            </w:tr>
            <w:tr w14:paraId="40CF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0DD3F8F9">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合计</w:t>
                  </w:r>
                </w:p>
              </w:tc>
              <w:tc>
                <w:tcPr>
                  <w:tcW w:w="3095" w:type="dxa"/>
                  <w:vAlign w:val="center"/>
                </w:tcPr>
                <w:p w14:paraId="452F3688">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p>
              </w:tc>
              <w:tc>
                <w:tcPr>
                  <w:tcW w:w="798" w:type="dxa"/>
                  <w:vAlign w:val="center"/>
                </w:tcPr>
                <w:p w14:paraId="129FD243">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p>
              </w:tc>
              <w:tc>
                <w:tcPr>
                  <w:tcW w:w="1665" w:type="dxa"/>
                  <w:vAlign w:val="center"/>
                </w:tcPr>
                <w:p w14:paraId="45A15E61">
                  <w:pPr>
                    <w:pStyle w:val="53"/>
                    <w:bidi w:val="0"/>
                    <w:jc w:val="center"/>
                    <w:rPr>
                      <w:rFonts w:hint="default" w:eastAsia="宋体"/>
                      <w:color w:val="auto"/>
                      <w:highlight w:val="none"/>
                      <w:lang w:val="en-US" w:eastAsia="zh-CN"/>
                    </w:rPr>
                  </w:pPr>
                  <w:r>
                    <w:rPr>
                      <w:rFonts w:hint="eastAsia" w:eastAsia="宋体"/>
                      <w:color w:val="auto"/>
                      <w:highlight w:val="none"/>
                      <w:lang w:val="en-US" w:eastAsia="zh-CN"/>
                    </w:rPr>
                    <w:t>300</w:t>
                  </w:r>
                </w:p>
              </w:tc>
              <w:tc>
                <w:tcPr>
                  <w:tcW w:w="1345" w:type="dxa"/>
                  <w:shd w:val="clear" w:color="auto" w:fill="auto"/>
                  <w:vAlign w:val="center"/>
                </w:tcPr>
                <w:p w14:paraId="0368E7F4">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eastAsia="宋体"/>
                      <w:color w:val="auto"/>
                      <w:highlight w:val="none"/>
                      <w:lang w:val="en-US" w:eastAsia="zh-CN"/>
                    </w:rPr>
                    <w:t>300</w:t>
                  </w:r>
                  <w:r>
                    <w:rPr>
                      <w:rFonts w:hint="eastAsia"/>
                      <w:color w:val="auto"/>
                      <w:highlight w:val="none"/>
                      <w:lang w:val="en-US" w:eastAsia="zh-CN"/>
                    </w:rPr>
                    <w:t>0</w:t>
                  </w:r>
                </w:p>
              </w:tc>
            </w:tr>
          </w:tbl>
          <w:p w14:paraId="2563B860">
            <w:pPr>
              <w:numPr>
                <w:ilvl w:val="0"/>
                <w:numId w:val="6"/>
              </w:numPr>
              <w:bidi w:val="0"/>
              <w:rPr>
                <w:rFonts w:hint="default"/>
                <w:b/>
                <w:bCs/>
                <w:color w:val="auto"/>
                <w:highlight w:val="none"/>
                <w:lang w:val="en-US" w:eastAsia="zh-CN"/>
              </w:rPr>
            </w:pPr>
            <w:r>
              <w:rPr>
                <w:rFonts w:hint="eastAsia"/>
                <w:b/>
                <w:bCs/>
                <w:color w:val="auto"/>
                <w:highlight w:val="none"/>
                <w:lang w:val="en-US" w:eastAsia="zh-CN"/>
              </w:rPr>
              <w:t>项目原辅材料</w:t>
            </w:r>
          </w:p>
          <w:p w14:paraId="2AD4C902">
            <w:pPr>
              <w:bidi w:val="0"/>
              <w:rPr>
                <w:rFonts w:hint="default"/>
                <w:color w:val="auto"/>
                <w:highlight w:val="none"/>
              </w:rPr>
            </w:pPr>
            <w:r>
              <w:rPr>
                <w:rFonts w:hint="default"/>
                <w:color w:val="auto"/>
                <w:highlight w:val="none"/>
              </w:rPr>
              <w:t>项目原辅材料及能源消耗见</w:t>
            </w:r>
            <w:r>
              <w:rPr>
                <w:rFonts w:hint="default"/>
                <w:color w:val="auto"/>
                <w:highlight w:val="none"/>
                <w:lang w:eastAsia="zh-CN"/>
              </w:rPr>
              <w:t>表2</w:t>
            </w:r>
            <w:r>
              <w:rPr>
                <w:rFonts w:hint="default"/>
                <w:color w:val="auto"/>
                <w:highlight w:val="none"/>
              </w:rPr>
              <w:t>-</w:t>
            </w:r>
            <w:r>
              <w:rPr>
                <w:rFonts w:hint="eastAsia"/>
                <w:color w:val="auto"/>
                <w:highlight w:val="none"/>
                <w:lang w:val="en-US" w:eastAsia="zh-CN"/>
              </w:rPr>
              <w:t>4</w:t>
            </w:r>
            <w:r>
              <w:rPr>
                <w:rFonts w:hint="default"/>
                <w:color w:val="auto"/>
                <w:highlight w:val="none"/>
                <w:lang w:val="en-US" w:eastAsia="zh-CN"/>
              </w:rPr>
              <w:t>。</w:t>
            </w:r>
          </w:p>
          <w:p w14:paraId="3E4FE59F">
            <w:pPr>
              <w:pStyle w:val="58"/>
              <w:bidi w:val="0"/>
              <w:rPr>
                <w:rFonts w:hint="default"/>
                <w:color w:val="auto"/>
                <w:highlight w:val="none"/>
                <w:lang w:val="zh-CN"/>
              </w:rPr>
            </w:pPr>
            <w:r>
              <w:rPr>
                <w:rFonts w:hint="default"/>
                <w:color w:val="auto"/>
                <w:highlight w:val="none"/>
                <w:lang w:val="zh-CN"/>
              </w:rPr>
              <w:t>表2-</w:t>
            </w:r>
            <w:r>
              <w:rPr>
                <w:rFonts w:hint="eastAsia"/>
                <w:color w:val="auto"/>
                <w:highlight w:val="none"/>
                <w:lang w:val="en-US" w:eastAsia="zh-CN"/>
              </w:rPr>
              <w:t>4</w:t>
            </w:r>
            <w:r>
              <w:rPr>
                <w:rFonts w:hint="default"/>
                <w:color w:val="auto"/>
                <w:highlight w:val="none"/>
                <w:lang w:val="zh-CN"/>
              </w:rPr>
              <w:t xml:space="preserve">  项目原辅材料及能源消耗表</w:t>
            </w:r>
          </w:p>
          <w:tbl>
            <w:tblPr>
              <w:tblStyle w:val="30"/>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6"/>
              <w:gridCol w:w="2024"/>
              <w:gridCol w:w="1255"/>
              <w:gridCol w:w="1592"/>
              <w:gridCol w:w="1887"/>
            </w:tblGrid>
            <w:tr w14:paraId="45F6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911" w:type="pct"/>
                  <w:tcBorders>
                    <w:tl2br w:val="nil"/>
                    <w:tr2bl w:val="nil"/>
                  </w:tcBorders>
                  <w:noWrap w:val="0"/>
                  <w:vAlign w:val="center"/>
                </w:tcPr>
                <w:p w14:paraId="2F95F10F">
                  <w:pPr>
                    <w:pStyle w:val="6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b/>
                      <w:bCs/>
                      <w:color w:val="auto"/>
                      <w:highlight w:val="none"/>
                    </w:rPr>
                  </w:pPr>
                  <w:r>
                    <w:rPr>
                      <w:rFonts w:hint="default"/>
                      <w:b/>
                      <w:bCs/>
                      <w:color w:val="auto"/>
                      <w:highlight w:val="none"/>
                    </w:rPr>
                    <w:t>类别</w:t>
                  </w:r>
                </w:p>
              </w:tc>
              <w:tc>
                <w:tcPr>
                  <w:tcW w:w="1224" w:type="pct"/>
                  <w:tcBorders>
                    <w:tl2br w:val="nil"/>
                    <w:tr2bl w:val="nil"/>
                  </w:tcBorders>
                  <w:noWrap w:val="0"/>
                  <w:vAlign w:val="center"/>
                </w:tcPr>
                <w:p w14:paraId="53290B92">
                  <w:pPr>
                    <w:pStyle w:val="6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b/>
                      <w:bCs/>
                      <w:color w:val="auto"/>
                      <w:highlight w:val="none"/>
                    </w:rPr>
                  </w:pPr>
                  <w:r>
                    <w:rPr>
                      <w:rFonts w:hint="default"/>
                      <w:b/>
                      <w:bCs/>
                      <w:color w:val="auto"/>
                      <w:highlight w:val="none"/>
                    </w:rPr>
                    <w:t>名称</w:t>
                  </w:r>
                </w:p>
              </w:tc>
              <w:tc>
                <w:tcPr>
                  <w:tcW w:w="759" w:type="pct"/>
                  <w:tcBorders>
                    <w:tl2br w:val="nil"/>
                    <w:tr2bl w:val="nil"/>
                  </w:tcBorders>
                  <w:noWrap w:val="0"/>
                  <w:vAlign w:val="center"/>
                </w:tcPr>
                <w:p w14:paraId="08A46E34">
                  <w:pPr>
                    <w:pStyle w:val="6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eastAsia="宋体"/>
                      <w:b/>
                      <w:bCs/>
                      <w:color w:val="auto"/>
                      <w:highlight w:val="none"/>
                      <w:lang w:val="en-US" w:eastAsia="zh-CN"/>
                    </w:rPr>
                  </w:pPr>
                  <w:r>
                    <w:rPr>
                      <w:rFonts w:hint="eastAsia"/>
                      <w:b/>
                      <w:bCs/>
                      <w:color w:val="auto"/>
                      <w:highlight w:val="none"/>
                      <w:lang w:val="en-US" w:eastAsia="zh-CN"/>
                    </w:rPr>
                    <w:t>规格</w:t>
                  </w:r>
                </w:p>
              </w:tc>
              <w:tc>
                <w:tcPr>
                  <w:tcW w:w="963" w:type="pct"/>
                  <w:tcBorders>
                    <w:tl2br w:val="nil"/>
                    <w:tr2bl w:val="nil"/>
                  </w:tcBorders>
                  <w:noWrap w:val="0"/>
                  <w:vAlign w:val="center"/>
                </w:tcPr>
                <w:p w14:paraId="579FF205">
                  <w:pPr>
                    <w:pStyle w:val="6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b/>
                      <w:bCs/>
                      <w:color w:val="auto"/>
                      <w:highlight w:val="none"/>
                    </w:rPr>
                  </w:pPr>
                  <w:r>
                    <w:rPr>
                      <w:rFonts w:hint="default"/>
                      <w:b/>
                      <w:bCs/>
                      <w:color w:val="auto"/>
                      <w:highlight w:val="none"/>
                    </w:rPr>
                    <w:t>年耗量</w:t>
                  </w:r>
                </w:p>
              </w:tc>
              <w:tc>
                <w:tcPr>
                  <w:tcW w:w="1141" w:type="pct"/>
                  <w:tcBorders>
                    <w:tl2br w:val="nil"/>
                    <w:tr2bl w:val="nil"/>
                  </w:tcBorders>
                  <w:noWrap w:val="0"/>
                  <w:vAlign w:val="center"/>
                </w:tcPr>
                <w:p w14:paraId="6C5ED360">
                  <w:pPr>
                    <w:pStyle w:val="6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b/>
                      <w:bCs/>
                      <w:color w:val="auto"/>
                      <w:highlight w:val="none"/>
                    </w:rPr>
                  </w:pPr>
                  <w:r>
                    <w:rPr>
                      <w:rFonts w:hint="default"/>
                      <w:b/>
                      <w:bCs/>
                      <w:color w:val="auto"/>
                      <w:highlight w:val="none"/>
                    </w:rPr>
                    <w:t>备注</w:t>
                  </w:r>
                </w:p>
              </w:tc>
            </w:tr>
            <w:tr w14:paraId="4A6A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restart"/>
                  <w:tcBorders>
                    <w:tl2br w:val="nil"/>
                    <w:tr2bl w:val="nil"/>
                  </w:tcBorders>
                  <w:noWrap w:val="0"/>
                  <w:vAlign w:val="center"/>
                </w:tcPr>
                <w:p w14:paraId="1D4DA150">
                  <w:pPr>
                    <w:pStyle w:val="53"/>
                    <w:bidi w:val="0"/>
                    <w:rPr>
                      <w:rFonts w:hint="default" w:eastAsia="宋体"/>
                      <w:color w:val="auto"/>
                      <w:highlight w:val="none"/>
                      <w:lang w:val="en-US" w:eastAsia="zh-CN"/>
                    </w:rPr>
                  </w:pPr>
                  <w:r>
                    <w:rPr>
                      <w:rFonts w:hint="default"/>
                      <w:color w:val="auto"/>
                      <w:highlight w:val="none"/>
                    </w:rPr>
                    <w:t>主要原辅材料</w:t>
                  </w:r>
                </w:p>
              </w:tc>
              <w:tc>
                <w:tcPr>
                  <w:tcW w:w="1994" w:type="dxa"/>
                  <w:tcBorders>
                    <w:tl2br w:val="nil"/>
                    <w:tr2bl w:val="nil"/>
                  </w:tcBorders>
                  <w:noWrap w:val="0"/>
                  <w:vAlign w:val="center"/>
                </w:tcPr>
                <w:p w14:paraId="2D5C4A60">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渗碳合金钢 </w:t>
                  </w:r>
                  <w:r>
                    <w:rPr>
                      <w:rFonts w:hint="default" w:ascii="Times New Roman" w:hAnsi="Times New Roman" w:eastAsia="宋体" w:cs="Times New Roman"/>
                      <w:color w:val="auto"/>
                      <w:highlight w:val="none"/>
                      <w:lang w:val="en-US" w:eastAsia="zh-CN"/>
                    </w:rPr>
                    <w:t xml:space="preserve"> </w:t>
                  </w:r>
                </w:p>
              </w:tc>
              <w:tc>
                <w:tcPr>
                  <w:tcW w:w="759" w:type="pct"/>
                  <w:tcBorders>
                    <w:tl2br w:val="nil"/>
                    <w:tr2bl w:val="nil"/>
                  </w:tcBorders>
                  <w:noWrap w:val="0"/>
                  <w:vAlign w:val="center"/>
                </w:tcPr>
                <w:p w14:paraId="196E9A93">
                  <w:pPr>
                    <w:pStyle w:val="5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20CrMnTiH3</w:t>
                  </w:r>
                </w:p>
              </w:tc>
              <w:tc>
                <w:tcPr>
                  <w:tcW w:w="1569" w:type="dxa"/>
                  <w:tcBorders>
                    <w:tl2br w:val="nil"/>
                    <w:tr2bl w:val="nil"/>
                  </w:tcBorders>
                  <w:noWrap w:val="0"/>
                  <w:vAlign w:val="center"/>
                </w:tcPr>
                <w:p w14:paraId="19EDE323">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1400t</w:t>
                  </w:r>
                </w:p>
              </w:tc>
              <w:tc>
                <w:tcPr>
                  <w:tcW w:w="1141" w:type="pct"/>
                  <w:tcBorders>
                    <w:tl2br w:val="nil"/>
                    <w:tr2bl w:val="nil"/>
                  </w:tcBorders>
                  <w:noWrap w:val="0"/>
                  <w:vAlign w:val="center"/>
                </w:tcPr>
                <w:p w14:paraId="19A4A60D">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2889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1A73F7BA">
                  <w:pPr>
                    <w:pStyle w:val="53"/>
                    <w:bidi w:val="0"/>
                    <w:rPr>
                      <w:rFonts w:hint="default"/>
                      <w:color w:val="auto"/>
                      <w:highlight w:val="none"/>
                    </w:rPr>
                  </w:pPr>
                </w:p>
              </w:tc>
              <w:tc>
                <w:tcPr>
                  <w:tcW w:w="1994" w:type="dxa"/>
                  <w:tcBorders>
                    <w:tl2br w:val="nil"/>
                    <w:tr2bl w:val="nil"/>
                  </w:tcBorders>
                  <w:noWrap w:val="0"/>
                  <w:vAlign w:val="center"/>
                </w:tcPr>
                <w:p w14:paraId="6F783A91">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渗碳合金钢 </w:t>
                  </w:r>
                  <w:r>
                    <w:rPr>
                      <w:rFonts w:hint="default" w:ascii="Times New Roman" w:hAnsi="Times New Roman" w:eastAsia="宋体" w:cs="Times New Roman"/>
                      <w:color w:val="auto"/>
                      <w:highlight w:val="none"/>
                      <w:lang w:val="en-US" w:eastAsia="zh-CN"/>
                    </w:rPr>
                    <w:t xml:space="preserve">  </w:t>
                  </w:r>
                </w:p>
              </w:tc>
              <w:tc>
                <w:tcPr>
                  <w:tcW w:w="759" w:type="pct"/>
                  <w:tcBorders>
                    <w:tl2br w:val="nil"/>
                    <w:tr2bl w:val="nil"/>
                  </w:tcBorders>
                  <w:noWrap w:val="0"/>
                  <w:vAlign w:val="center"/>
                </w:tcPr>
                <w:p w14:paraId="3F19FCCB">
                  <w:pPr>
                    <w:pStyle w:val="5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20CrMnTiH</w:t>
                  </w:r>
                </w:p>
              </w:tc>
              <w:tc>
                <w:tcPr>
                  <w:tcW w:w="1569" w:type="dxa"/>
                  <w:tcBorders>
                    <w:tl2br w:val="nil"/>
                    <w:tr2bl w:val="nil"/>
                  </w:tcBorders>
                  <w:noWrap w:val="0"/>
                  <w:vAlign w:val="center"/>
                </w:tcPr>
                <w:p w14:paraId="2B68BD0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1200t</w:t>
                  </w:r>
                </w:p>
              </w:tc>
              <w:tc>
                <w:tcPr>
                  <w:tcW w:w="1141" w:type="pct"/>
                  <w:tcBorders>
                    <w:tl2br w:val="nil"/>
                    <w:tr2bl w:val="nil"/>
                  </w:tcBorders>
                  <w:noWrap w:val="0"/>
                  <w:vAlign w:val="center"/>
                </w:tcPr>
                <w:p w14:paraId="7DFC7B04">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746B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359F70AF">
                  <w:pPr>
                    <w:pStyle w:val="53"/>
                    <w:bidi w:val="0"/>
                    <w:rPr>
                      <w:rFonts w:hint="default"/>
                      <w:color w:val="auto"/>
                      <w:highlight w:val="none"/>
                    </w:rPr>
                  </w:pPr>
                </w:p>
              </w:tc>
              <w:tc>
                <w:tcPr>
                  <w:tcW w:w="1994" w:type="dxa"/>
                  <w:tcBorders>
                    <w:tl2br w:val="nil"/>
                    <w:tr2bl w:val="nil"/>
                  </w:tcBorders>
                  <w:noWrap w:val="0"/>
                  <w:vAlign w:val="center"/>
                </w:tcPr>
                <w:p w14:paraId="3B754B67">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渗碳合金钢   </w:t>
                  </w:r>
                </w:p>
              </w:tc>
              <w:tc>
                <w:tcPr>
                  <w:tcW w:w="759" w:type="pct"/>
                  <w:tcBorders>
                    <w:tl2br w:val="nil"/>
                    <w:tr2bl w:val="nil"/>
                  </w:tcBorders>
                  <w:noWrap w:val="0"/>
                  <w:vAlign w:val="center"/>
                </w:tcPr>
                <w:p w14:paraId="3AAA4ADC">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8620RH</w:t>
                  </w:r>
                </w:p>
              </w:tc>
              <w:tc>
                <w:tcPr>
                  <w:tcW w:w="1569" w:type="dxa"/>
                  <w:tcBorders>
                    <w:tl2br w:val="nil"/>
                    <w:tr2bl w:val="nil"/>
                  </w:tcBorders>
                  <w:noWrap w:val="0"/>
                  <w:vAlign w:val="center"/>
                </w:tcPr>
                <w:p w14:paraId="7D9527F5">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500t</w:t>
                  </w:r>
                </w:p>
              </w:tc>
              <w:tc>
                <w:tcPr>
                  <w:tcW w:w="1141" w:type="pct"/>
                  <w:tcBorders>
                    <w:tl2br w:val="nil"/>
                    <w:tr2bl w:val="nil"/>
                  </w:tcBorders>
                  <w:noWrap w:val="0"/>
                  <w:vAlign w:val="center"/>
                </w:tcPr>
                <w:p w14:paraId="013B5096">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1DC6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669A1A9C">
                  <w:pPr>
                    <w:pStyle w:val="53"/>
                    <w:bidi w:val="0"/>
                    <w:rPr>
                      <w:rFonts w:hint="default"/>
                      <w:color w:val="auto"/>
                      <w:highlight w:val="none"/>
                    </w:rPr>
                  </w:pPr>
                </w:p>
              </w:tc>
              <w:tc>
                <w:tcPr>
                  <w:tcW w:w="1224" w:type="pct"/>
                  <w:tcBorders>
                    <w:tl2br w:val="nil"/>
                    <w:tr2bl w:val="nil"/>
                  </w:tcBorders>
                  <w:noWrap w:val="0"/>
                  <w:vAlign w:val="center"/>
                </w:tcPr>
                <w:p w14:paraId="5775077C">
                  <w:pPr>
                    <w:pStyle w:val="53"/>
                    <w:bidi w:val="0"/>
                    <w:rPr>
                      <w:rFonts w:hint="eastAsia" w:eastAsia="宋体"/>
                      <w:color w:val="auto"/>
                      <w:highlight w:val="none"/>
                      <w:lang w:val="en-US" w:eastAsia="zh-CN"/>
                    </w:rPr>
                  </w:pPr>
                  <w:r>
                    <w:rPr>
                      <w:rFonts w:hint="eastAsia"/>
                      <w:color w:val="auto"/>
                      <w:highlight w:val="none"/>
                      <w:lang w:val="en-US" w:eastAsia="zh-CN"/>
                    </w:rPr>
                    <w:t>模具</w:t>
                  </w:r>
                </w:p>
              </w:tc>
              <w:tc>
                <w:tcPr>
                  <w:tcW w:w="759" w:type="pct"/>
                  <w:tcBorders>
                    <w:tl2br w:val="nil"/>
                    <w:tr2bl w:val="nil"/>
                  </w:tcBorders>
                  <w:noWrap w:val="0"/>
                  <w:vAlign w:val="center"/>
                </w:tcPr>
                <w:p w14:paraId="67D8ED0C">
                  <w:pPr>
                    <w:pStyle w:val="53"/>
                    <w:bidi w:val="0"/>
                    <w:rPr>
                      <w:rFonts w:hint="default"/>
                      <w:color w:val="auto"/>
                      <w:highlight w:val="none"/>
                      <w:lang w:val="en-US" w:eastAsia="zh-CN"/>
                    </w:rPr>
                  </w:pPr>
                </w:p>
              </w:tc>
              <w:tc>
                <w:tcPr>
                  <w:tcW w:w="1569" w:type="dxa"/>
                  <w:tcBorders>
                    <w:tl2br w:val="nil"/>
                    <w:tr2bl w:val="nil"/>
                  </w:tcBorders>
                  <w:noWrap w:val="0"/>
                  <w:vAlign w:val="center"/>
                </w:tcPr>
                <w:p w14:paraId="5F28D3AE">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300套</w:t>
                  </w:r>
                </w:p>
              </w:tc>
              <w:tc>
                <w:tcPr>
                  <w:tcW w:w="1141" w:type="pct"/>
                  <w:tcBorders>
                    <w:tl2br w:val="nil"/>
                    <w:tr2bl w:val="nil"/>
                  </w:tcBorders>
                  <w:noWrap w:val="0"/>
                  <w:vAlign w:val="center"/>
                </w:tcPr>
                <w:p w14:paraId="35208391">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1A0D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3957A473">
                  <w:pPr>
                    <w:pStyle w:val="53"/>
                    <w:bidi w:val="0"/>
                    <w:rPr>
                      <w:rFonts w:hint="default" w:eastAsia="宋体"/>
                      <w:color w:val="auto"/>
                      <w:highlight w:val="none"/>
                      <w:lang w:val="en-US" w:eastAsia="zh-CN"/>
                    </w:rPr>
                  </w:pPr>
                </w:p>
              </w:tc>
              <w:tc>
                <w:tcPr>
                  <w:tcW w:w="1224" w:type="pct"/>
                  <w:tcBorders>
                    <w:tl2br w:val="nil"/>
                    <w:tr2bl w:val="nil"/>
                  </w:tcBorders>
                  <w:noWrap w:val="0"/>
                  <w:vAlign w:val="center"/>
                </w:tcPr>
                <w:p w14:paraId="4FA4264F">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真空淬火油</w:t>
                  </w:r>
                </w:p>
              </w:tc>
              <w:tc>
                <w:tcPr>
                  <w:tcW w:w="759" w:type="pct"/>
                  <w:tcBorders>
                    <w:tl2br w:val="nil"/>
                    <w:tr2bl w:val="nil"/>
                  </w:tcBorders>
                  <w:noWrap w:val="0"/>
                  <w:vAlign w:val="center"/>
                </w:tcPr>
                <w:p w14:paraId="101ED4FC">
                  <w:pPr>
                    <w:pStyle w:val="53"/>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KR328</w:t>
                  </w:r>
                </w:p>
              </w:tc>
              <w:tc>
                <w:tcPr>
                  <w:tcW w:w="963" w:type="pct"/>
                  <w:tcBorders>
                    <w:tl2br w:val="nil"/>
                    <w:tr2bl w:val="nil"/>
                  </w:tcBorders>
                  <w:noWrap w:val="0"/>
                  <w:vAlign w:val="center"/>
                </w:tcPr>
                <w:p w14:paraId="465142B6">
                  <w:pPr>
                    <w:pStyle w:val="5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1t</w:t>
                  </w:r>
                </w:p>
              </w:tc>
              <w:tc>
                <w:tcPr>
                  <w:tcW w:w="1141" w:type="pct"/>
                  <w:tcBorders>
                    <w:tl2br w:val="nil"/>
                    <w:tr2bl w:val="nil"/>
                  </w:tcBorders>
                  <w:noWrap w:val="0"/>
                  <w:vAlign w:val="center"/>
                </w:tcPr>
                <w:p w14:paraId="59CC5ADD">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54D5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5F1BF15A">
                  <w:pPr>
                    <w:pStyle w:val="53"/>
                    <w:bidi w:val="0"/>
                    <w:rPr>
                      <w:rFonts w:hint="default" w:eastAsia="宋体"/>
                      <w:color w:val="auto"/>
                      <w:highlight w:val="none"/>
                      <w:lang w:val="en-US" w:eastAsia="zh-CN"/>
                    </w:rPr>
                  </w:pPr>
                </w:p>
              </w:tc>
              <w:tc>
                <w:tcPr>
                  <w:tcW w:w="1224" w:type="pct"/>
                  <w:tcBorders>
                    <w:tl2br w:val="nil"/>
                    <w:tr2bl w:val="nil"/>
                  </w:tcBorders>
                  <w:noWrap w:val="0"/>
                  <w:vAlign w:val="center"/>
                </w:tcPr>
                <w:p w14:paraId="1F5BC5D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水基防锈剂</w:t>
                  </w:r>
                </w:p>
              </w:tc>
              <w:tc>
                <w:tcPr>
                  <w:tcW w:w="759" w:type="pct"/>
                  <w:tcBorders>
                    <w:tl2br w:val="nil"/>
                    <w:tr2bl w:val="nil"/>
                  </w:tcBorders>
                  <w:noWrap w:val="0"/>
                  <w:vAlign w:val="center"/>
                </w:tcPr>
                <w:p w14:paraId="7D38EB6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FPC-040A</w:t>
                  </w:r>
                </w:p>
              </w:tc>
              <w:tc>
                <w:tcPr>
                  <w:tcW w:w="963" w:type="pct"/>
                  <w:tcBorders>
                    <w:tl2br w:val="nil"/>
                    <w:tr2bl w:val="nil"/>
                  </w:tcBorders>
                  <w:noWrap w:val="0"/>
                  <w:vAlign w:val="center"/>
                </w:tcPr>
                <w:p w14:paraId="0E461795">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10桶</w:t>
                  </w:r>
                </w:p>
              </w:tc>
              <w:tc>
                <w:tcPr>
                  <w:tcW w:w="1141" w:type="pct"/>
                  <w:tcBorders>
                    <w:tl2br w:val="nil"/>
                    <w:tr2bl w:val="nil"/>
                  </w:tcBorders>
                  <w:noWrap w:val="0"/>
                  <w:vAlign w:val="center"/>
                </w:tcPr>
                <w:p w14:paraId="23D26803">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200kg/桶</w:t>
                  </w:r>
                </w:p>
              </w:tc>
            </w:tr>
            <w:tr w14:paraId="0C52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4CB4F153">
                  <w:pPr>
                    <w:pStyle w:val="53"/>
                    <w:bidi w:val="0"/>
                    <w:rPr>
                      <w:rFonts w:hint="default" w:eastAsia="宋体"/>
                      <w:color w:val="auto"/>
                      <w:highlight w:val="none"/>
                      <w:lang w:val="en-US" w:eastAsia="zh-CN"/>
                    </w:rPr>
                  </w:pPr>
                </w:p>
              </w:tc>
              <w:tc>
                <w:tcPr>
                  <w:tcW w:w="1224" w:type="pct"/>
                  <w:tcBorders>
                    <w:tl2br w:val="nil"/>
                    <w:tr2bl w:val="nil"/>
                  </w:tcBorders>
                  <w:noWrap w:val="0"/>
                  <w:vAlign w:val="center"/>
                </w:tcPr>
                <w:p w14:paraId="39E84624">
                  <w:pPr>
                    <w:pStyle w:val="5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水基脱模剂</w:t>
                  </w:r>
                </w:p>
              </w:tc>
              <w:tc>
                <w:tcPr>
                  <w:tcW w:w="759" w:type="pct"/>
                  <w:tcBorders>
                    <w:tl2br w:val="nil"/>
                    <w:tr2bl w:val="nil"/>
                  </w:tcBorders>
                  <w:noWrap w:val="0"/>
                  <w:vAlign w:val="center"/>
                </w:tcPr>
                <w:p w14:paraId="6DA1E5FA">
                  <w:pPr>
                    <w:pStyle w:val="5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963" w:type="pct"/>
                  <w:tcBorders>
                    <w:tl2br w:val="nil"/>
                    <w:tr2bl w:val="nil"/>
                  </w:tcBorders>
                  <w:noWrap w:val="0"/>
                  <w:vAlign w:val="center"/>
                </w:tcPr>
                <w:p w14:paraId="5C4CBADE">
                  <w:pPr>
                    <w:pStyle w:val="53"/>
                    <w:bidi w:val="0"/>
                    <w:rPr>
                      <w:rFonts w:hint="default"/>
                      <w:color w:val="auto"/>
                      <w:lang w:val="en-US" w:eastAsia="zh-CN"/>
                    </w:rPr>
                  </w:pPr>
                  <w:r>
                    <w:rPr>
                      <w:rFonts w:hint="eastAsia" w:cs="Times New Roman"/>
                      <w:color w:val="auto"/>
                      <w:highlight w:val="none"/>
                      <w:lang w:val="en-US" w:eastAsia="zh-CN"/>
                    </w:rPr>
                    <w:t>2t</w:t>
                  </w:r>
                </w:p>
              </w:tc>
              <w:tc>
                <w:tcPr>
                  <w:tcW w:w="1141" w:type="pct"/>
                  <w:tcBorders>
                    <w:tl2br w:val="nil"/>
                    <w:tr2bl w:val="nil"/>
                  </w:tcBorders>
                  <w:noWrap w:val="0"/>
                  <w:vAlign w:val="center"/>
                </w:tcPr>
                <w:p w14:paraId="04116265">
                  <w:pPr>
                    <w:pStyle w:val="5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14:paraId="4066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911" w:type="pct"/>
                  <w:vMerge w:val="continue"/>
                  <w:tcBorders>
                    <w:tl2br w:val="nil"/>
                    <w:tr2bl w:val="nil"/>
                  </w:tcBorders>
                  <w:noWrap w:val="0"/>
                  <w:vAlign w:val="center"/>
                </w:tcPr>
                <w:p w14:paraId="5D614093">
                  <w:pPr>
                    <w:pStyle w:val="53"/>
                    <w:bidi w:val="0"/>
                    <w:rPr>
                      <w:rFonts w:hint="default" w:eastAsia="宋体"/>
                      <w:color w:val="auto"/>
                      <w:highlight w:val="none"/>
                      <w:lang w:val="en-US" w:eastAsia="zh-CN"/>
                    </w:rPr>
                  </w:pPr>
                </w:p>
              </w:tc>
              <w:tc>
                <w:tcPr>
                  <w:tcW w:w="1224" w:type="pct"/>
                  <w:tcBorders>
                    <w:tl2br w:val="nil"/>
                    <w:tr2bl w:val="nil"/>
                  </w:tcBorders>
                  <w:noWrap w:val="0"/>
                  <w:vAlign w:val="center"/>
                </w:tcPr>
                <w:p w14:paraId="3B73C1B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乙醇（无水乙醇）</w:t>
                  </w:r>
                </w:p>
              </w:tc>
              <w:tc>
                <w:tcPr>
                  <w:tcW w:w="759" w:type="pct"/>
                  <w:tcBorders>
                    <w:tl2br w:val="nil"/>
                    <w:tr2bl w:val="nil"/>
                  </w:tcBorders>
                  <w:noWrap w:val="0"/>
                  <w:vAlign w:val="center"/>
                </w:tcPr>
                <w:p w14:paraId="0F42CED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分析纯</w:t>
                  </w:r>
                </w:p>
              </w:tc>
              <w:tc>
                <w:tcPr>
                  <w:tcW w:w="963" w:type="pct"/>
                  <w:tcBorders>
                    <w:tl2br w:val="nil"/>
                    <w:tr2bl w:val="nil"/>
                  </w:tcBorders>
                  <w:noWrap w:val="0"/>
                  <w:vAlign w:val="center"/>
                </w:tcPr>
                <w:p w14:paraId="540CE6EA">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2瓶</w:t>
                  </w:r>
                </w:p>
              </w:tc>
              <w:tc>
                <w:tcPr>
                  <w:tcW w:w="1141" w:type="pct"/>
                  <w:tcBorders>
                    <w:tl2br w:val="nil"/>
                    <w:tr2bl w:val="nil"/>
                  </w:tcBorders>
                  <w:noWrap w:val="0"/>
                  <w:vAlign w:val="center"/>
                </w:tcPr>
                <w:p w14:paraId="427D57E8">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500ml/瓶</w:t>
                  </w:r>
                </w:p>
              </w:tc>
            </w:tr>
            <w:tr w14:paraId="6261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911" w:type="pct"/>
                  <w:vMerge w:val="continue"/>
                  <w:tcBorders>
                    <w:tl2br w:val="nil"/>
                    <w:tr2bl w:val="nil"/>
                  </w:tcBorders>
                  <w:noWrap w:val="0"/>
                  <w:vAlign w:val="center"/>
                </w:tcPr>
                <w:p w14:paraId="383EDB3B">
                  <w:pPr>
                    <w:pStyle w:val="53"/>
                    <w:bidi w:val="0"/>
                    <w:rPr>
                      <w:rFonts w:hint="eastAsia"/>
                      <w:color w:val="auto"/>
                      <w:highlight w:val="none"/>
                      <w:lang w:val="en-US" w:eastAsia="zh-CN"/>
                    </w:rPr>
                  </w:pPr>
                </w:p>
              </w:tc>
              <w:tc>
                <w:tcPr>
                  <w:tcW w:w="1224" w:type="pct"/>
                  <w:tcBorders>
                    <w:tl2br w:val="nil"/>
                    <w:tr2bl w:val="nil"/>
                  </w:tcBorders>
                  <w:noWrap w:val="0"/>
                  <w:vAlign w:val="center"/>
                </w:tcPr>
                <w:p w14:paraId="609A024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润滑脂</w:t>
                  </w:r>
                </w:p>
              </w:tc>
              <w:tc>
                <w:tcPr>
                  <w:tcW w:w="759" w:type="pct"/>
                  <w:tcBorders>
                    <w:tl2br w:val="nil"/>
                    <w:tr2bl w:val="nil"/>
                  </w:tcBorders>
                  <w:noWrap w:val="0"/>
                  <w:vAlign w:val="center"/>
                </w:tcPr>
                <w:p w14:paraId="6B1386D8">
                  <w:pPr>
                    <w:pStyle w:val="53"/>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Mobilux 2</w:t>
                  </w:r>
                </w:p>
              </w:tc>
              <w:tc>
                <w:tcPr>
                  <w:tcW w:w="963" w:type="pct"/>
                  <w:tcBorders>
                    <w:tl2br w:val="nil"/>
                    <w:tr2bl w:val="nil"/>
                  </w:tcBorders>
                  <w:noWrap w:val="0"/>
                  <w:vAlign w:val="center"/>
                </w:tcPr>
                <w:p w14:paraId="72205582">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2桶</w:t>
                  </w:r>
                </w:p>
              </w:tc>
              <w:tc>
                <w:tcPr>
                  <w:tcW w:w="1141" w:type="pct"/>
                  <w:tcBorders>
                    <w:tl2br w:val="nil"/>
                    <w:tr2bl w:val="nil"/>
                  </w:tcBorders>
                  <w:noWrap w:val="0"/>
                  <w:vAlign w:val="center"/>
                </w:tcPr>
                <w:p w14:paraId="2B2F97F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16kg/桶</w:t>
                  </w:r>
                </w:p>
              </w:tc>
            </w:tr>
            <w:tr w14:paraId="76E0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911" w:type="pct"/>
                  <w:vMerge w:val="continue"/>
                  <w:tcBorders>
                    <w:tl2br w:val="nil"/>
                    <w:tr2bl w:val="nil"/>
                  </w:tcBorders>
                  <w:noWrap w:val="0"/>
                  <w:vAlign w:val="center"/>
                </w:tcPr>
                <w:p w14:paraId="202943E9">
                  <w:pPr>
                    <w:pStyle w:val="53"/>
                    <w:bidi w:val="0"/>
                    <w:rPr>
                      <w:rFonts w:hint="eastAsia"/>
                      <w:color w:val="auto"/>
                      <w:highlight w:val="none"/>
                      <w:lang w:val="en-US" w:eastAsia="zh-CN"/>
                    </w:rPr>
                  </w:pPr>
                </w:p>
              </w:tc>
              <w:tc>
                <w:tcPr>
                  <w:tcW w:w="1224" w:type="pct"/>
                  <w:tcBorders>
                    <w:tl2br w:val="nil"/>
                    <w:tr2bl w:val="nil"/>
                  </w:tcBorders>
                  <w:noWrap w:val="0"/>
                  <w:vAlign w:val="center"/>
                </w:tcPr>
                <w:p w14:paraId="7304FB2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液压油</w:t>
                  </w:r>
                </w:p>
              </w:tc>
              <w:tc>
                <w:tcPr>
                  <w:tcW w:w="759" w:type="pct"/>
                  <w:tcBorders>
                    <w:tl2br w:val="nil"/>
                    <w:tr2bl w:val="nil"/>
                  </w:tcBorders>
                  <w:noWrap w:val="0"/>
                  <w:vAlign w:val="center"/>
                </w:tcPr>
                <w:p w14:paraId="5039B54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63" w:type="pct"/>
                  <w:tcBorders>
                    <w:tl2br w:val="nil"/>
                    <w:tr2bl w:val="nil"/>
                  </w:tcBorders>
                  <w:noWrap w:val="0"/>
                  <w:vAlign w:val="center"/>
                </w:tcPr>
                <w:p w14:paraId="12B4C0F0">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2桶</w:t>
                  </w:r>
                </w:p>
              </w:tc>
              <w:tc>
                <w:tcPr>
                  <w:tcW w:w="1141" w:type="pct"/>
                  <w:tcBorders>
                    <w:tl2br w:val="nil"/>
                    <w:tr2bl w:val="nil"/>
                  </w:tcBorders>
                  <w:noWrap w:val="0"/>
                  <w:vAlign w:val="center"/>
                </w:tcPr>
                <w:p w14:paraId="33F77627">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200kg/桶</w:t>
                  </w:r>
                </w:p>
              </w:tc>
            </w:tr>
            <w:tr w14:paraId="4366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65356749">
                  <w:pPr>
                    <w:pStyle w:val="53"/>
                    <w:bidi w:val="0"/>
                    <w:rPr>
                      <w:rFonts w:hint="default"/>
                      <w:color w:val="auto"/>
                      <w:highlight w:val="none"/>
                    </w:rPr>
                  </w:pPr>
                </w:p>
              </w:tc>
              <w:tc>
                <w:tcPr>
                  <w:tcW w:w="1224" w:type="pct"/>
                  <w:tcBorders>
                    <w:tl2br w:val="nil"/>
                    <w:tr2bl w:val="nil"/>
                  </w:tcBorders>
                  <w:noWrap w:val="0"/>
                  <w:vAlign w:val="center"/>
                </w:tcPr>
                <w:p w14:paraId="47BF3564">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分散剂</w:t>
                  </w:r>
                </w:p>
              </w:tc>
              <w:tc>
                <w:tcPr>
                  <w:tcW w:w="759" w:type="pct"/>
                  <w:tcBorders>
                    <w:tl2br w:val="nil"/>
                    <w:tr2bl w:val="nil"/>
                  </w:tcBorders>
                  <w:noWrap w:val="0"/>
                  <w:vAlign w:val="center"/>
                </w:tcPr>
                <w:p w14:paraId="33E9B0F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YF-1</w:t>
                  </w:r>
                </w:p>
              </w:tc>
              <w:tc>
                <w:tcPr>
                  <w:tcW w:w="963" w:type="pct"/>
                  <w:tcBorders>
                    <w:tl2br w:val="nil"/>
                    <w:tr2bl w:val="nil"/>
                  </w:tcBorders>
                  <w:noWrap w:val="0"/>
                  <w:vAlign w:val="center"/>
                </w:tcPr>
                <w:p w14:paraId="4568DB58">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8瓶</w:t>
                  </w:r>
                </w:p>
              </w:tc>
              <w:tc>
                <w:tcPr>
                  <w:tcW w:w="1141" w:type="pct"/>
                  <w:tcBorders>
                    <w:tl2br w:val="nil"/>
                    <w:tr2bl w:val="nil"/>
                  </w:tcBorders>
                  <w:noWrap w:val="0"/>
                  <w:vAlign w:val="center"/>
                </w:tcPr>
                <w:p w14:paraId="587C01A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1L/瓶</w:t>
                  </w:r>
                </w:p>
              </w:tc>
            </w:tr>
            <w:tr w14:paraId="1D03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72F30F9C">
                  <w:pPr>
                    <w:pStyle w:val="53"/>
                    <w:bidi w:val="0"/>
                    <w:rPr>
                      <w:rFonts w:hint="default"/>
                      <w:color w:val="auto"/>
                      <w:highlight w:val="none"/>
                    </w:rPr>
                  </w:pPr>
                </w:p>
              </w:tc>
              <w:tc>
                <w:tcPr>
                  <w:tcW w:w="1224" w:type="pct"/>
                  <w:tcBorders>
                    <w:tl2br w:val="nil"/>
                    <w:tr2bl w:val="nil"/>
                  </w:tcBorders>
                  <w:noWrap w:val="0"/>
                  <w:vAlign w:val="center"/>
                </w:tcPr>
                <w:p w14:paraId="2053FC4A">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荧光磁粉</w:t>
                  </w:r>
                </w:p>
              </w:tc>
              <w:tc>
                <w:tcPr>
                  <w:tcW w:w="759" w:type="pct"/>
                  <w:tcBorders>
                    <w:tl2br w:val="nil"/>
                    <w:tr2bl w:val="nil"/>
                  </w:tcBorders>
                  <w:noWrap w:val="0"/>
                  <w:vAlign w:val="center"/>
                </w:tcPr>
                <w:p w14:paraId="6B5726C9">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400目</w:t>
                  </w:r>
                </w:p>
              </w:tc>
              <w:tc>
                <w:tcPr>
                  <w:tcW w:w="963" w:type="pct"/>
                  <w:tcBorders>
                    <w:tl2br w:val="nil"/>
                    <w:tr2bl w:val="nil"/>
                  </w:tcBorders>
                  <w:noWrap w:val="0"/>
                  <w:vAlign w:val="center"/>
                </w:tcPr>
                <w:p w14:paraId="5BCD0BB5">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8瓶</w:t>
                  </w:r>
                </w:p>
              </w:tc>
              <w:tc>
                <w:tcPr>
                  <w:tcW w:w="1141" w:type="pct"/>
                  <w:tcBorders>
                    <w:tl2br w:val="nil"/>
                    <w:tr2bl w:val="nil"/>
                  </w:tcBorders>
                  <w:noWrap w:val="0"/>
                  <w:vAlign w:val="center"/>
                </w:tcPr>
                <w:p w14:paraId="470D557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1000g/瓶</w:t>
                  </w:r>
                </w:p>
              </w:tc>
            </w:tr>
            <w:tr w14:paraId="697A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73FF5E27">
                  <w:pPr>
                    <w:pStyle w:val="53"/>
                    <w:bidi w:val="0"/>
                    <w:rPr>
                      <w:rFonts w:hint="default"/>
                      <w:color w:val="auto"/>
                      <w:highlight w:val="none"/>
                    </w:rPr>
                  </w:pPr>
                </w:p>
              </w:tc>
              <w:tc>
                <w:tcPr>
                  <w:tcW w:w="1224" w:type="pct"/>
                  <w:tcBorders>
                    <w:tl2br w:val="nil"/>
                    <w:tr2bl w:val="nil"/>
                  </w:tcBorders>
                  <w:noWrap w:val="0"/>
                  <w:vAlign w:val="center"/>
                </w:tcPr>
                <w:p w14:paraId="42EF423E">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吨袋</w:t>
                  </w:r>
                </w:p>
              </w:tc>
              <w:tc>
                <w:tcPr>
                  <w:tcW w:w="759" w:type="pct"/>
                  <w:tcBorders>
                    <w:tl2br w:val="nil"/>
                    <w:tr2bl w:val="nil"/>
                  </w:tcBorders>
                  <w:noWrap w:val="0"/>
                  <w:vAlign w:val="center"/>
                </w:tcPr>
                <w:p w14:paraId="1003E2ED">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63" w:type="pct"/>
                  <w:tcBorders>
                    <w:tl2br w:val="nil"/>
                    <w:tr2bl w:val="nil"/>
                  </w:tcBorders>
                  <w:noWrap w:val="0"/>
                  <w:vAlign w:val="center"/>
                </w:tcPr>
                <w:p w14:paraId="3119A722">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1000个</w:t>
                  </w:r>
                </w:p>
              </w:tc>
              <w:tc>
                <w:tcPr>
                  <w:tcW w:w="1141" w:type="pct"/>
                  <w:tcBorders>
                    <w:tl2br w:val="nil"/>
                    <w:tr2bl w:val="nil"/>
                  </w:tcBorders>
                  <w:noWrap w:val="0"/>
                  <w:vAlign w:val="center"/>
                </w:tcPr>
                <w:p w14:paraId="2D27CE9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322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restart"/>
                  <w:tcBorders>
                    <w:tl2br w:val="nil"/>
                    <w:tr2bl w:val="nil"/>
                  </w:tcBorders>
                  <w:noWrap w:val="0"/>
                  <w:vAlign w:val="center"/>
                </w:tcPr>
                <w:p w14:paraId="04C743C8">
                  <w:pPr>
                    <w:pStyle w:val="53"/>
                    <w:bidi w:val="0"/>
                    <w:rPr>
                      <w:rFonts w:hint="default"/>
                      <w:color w:val="auto"/>
                      <w:highlight w:val="none"/>
                    </w:rPr>
                  </w:pPr>
                  <w:r>
                    <w:rPr>
                      <w:rFonts w:hint="default"/>
                      <w:color w:val="auto"/>
                      <w:highlight w:val="none"/>
                    </w:rPr>
                    <w:t>能源</w:t>
                  </w:r>
                </w:p>
              </w:tc>
              <w:tc>
                <w:tcPr>
                  <w:tcW w:w="1224" w:type="pct"/>
                  <w:tcBorders>
                    <w:tl2br w:val="nil"/>
                    <w:tr2bl w:val="nil"/>
                  </w:tcBorders>
                  <w:noWrap w:val="0"/>
                  <w:vAlign w:val="center"/>
                </w:tcPr>
                <w:p w14:paraId="1FE588F2">
                  <w:pPr>
                    <w:pStyle w:val="5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电</w:t>
                  </w:r>
                </w:p>
              </w:tc>
              <w:tc>
                <w:tcPr>
                  <w:tcW w:w="759" w:type="pct"/>
                  <w:tcBorders>
                    <w:tl2br w:val="nil"/>
                    <w:tr2bl w:val="nil"/>
                  </w:tcBorders>
                  <w:noWrap w:val="0"/>
                  <w:vAlign w:val="center"/>
                </w:tcPr>
                <w:p w14:paraId="18A66DA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63" w:type="pct"/>
                  <w:tcBorders>
                    <w:tl2br w:val="nil"/>
                    <w:tr2bl w:val="nil"/>
                  </w:tcBorders>
                  <w:noWrap w:val="0"/>
                  <w:vAlign w:val="center"/>
                </w:tcPr>
                <w:p w14:paraId="6D7A487A">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180.5万kW</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h</w:t>
                  </w:r>
                </w:p>
              </w:tc>
              <w:tc>
                <w:tcPr>
                  <w:tcW w:w="1141" w:type="pct"/>
                  <w:tcBorders>
                    <w:tl2br w:val="nil"/>
                    <w:tr2bl w:val="nil"/>
                  </w:tcBorders>
                  <w:noWrap w:val="0"/>
                  <w:vAlign w:val="center"/>
                </w:tcPr>
                <w:p w14:paraId="14694C5C">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市政电网</w:t>
                  </w:r>
                </w:p>
              </w:tc>
            </w:tr>
            <w:tr w14:paraId="60D2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38C1F504">
                  <w:pPr>
                    <w:pStyle w:val="53"/>
                    <w:bidi w:val="0"/>
                    <w:rPr>
                      <w:rFonts w:hint="default"/>
                      <w:color w:val="auto"/>
                      <w:highlight w:val="none"/>
                    </w:rPr>
                  </w:pPr>
                </w:p>
              </w:tc>
              <w:tc>
                <w:tcPr>
                  <w:tcW w:w="1224" w:type="pct"/>
                  <w:tcBorders>
                    <w:tl2br w:val="nil"/>
                    <w:tr2bl w:val="nil"/>
                  </w:tcBorders>
                  <w:noWrap w:val="0"/>
                  <w:vAlign w:val="center"/>
                </w:tcPr>
                <w:p w14:paraId="2377E39A">
                  <w:pPr>
                    <w:pStyle w:val="5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w:t>
                  </w:r>
                </w:p>
              </w:tc>
              <w:tc>
                <w:tcPr>
                  <w:tcW w:w="759" w:type="pct"/>
                  <w:tcBorders>
                    <w:tl2br w:val="nil"/>
                    <w:tr2bl w:val="nil"/>
                  </w:tcBorders>
                  <w:noWrap w:val="0"/>
                  <w:vAlign w:val="center"/>
                </w:tcPr>
                <w:p w14:paraId="139E1BF2">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63" w:type="pct"/>
                  <w:tcBorders>
                    <w:tl2br w:val="nil"/>
                    <w:tr2bl w:val="nil"/>
                  </w:tcBorders>
                  <w:noWrap w:val="0"/>
                  <w:vAlign w:val="center"/>
                </w:tcPr>
                <w:p w14:paraId="3EADF3E7">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30m</w:t>
                  </w:r>
                  <w:r>
                    <w:rPr>
                      <w:rFonts w:hint="eastAsia" w:ascii="Times New Roman" w:hAnsi="Times New Roman" w:eastAsia="宋体" w:cs="Times New Roman"/>
                      <w:color w:val="auto"/>
                      <w:highlight w:val="none"/>
                      <w:vertAlign w:val="superscript"/>
                      <w:lang w:val="en-US" w:eastAsia="zh-CN"/>
                    </w:rPr>
                    <w:t>3</w:t>
                  </w:r>
                </w:p>
              </w:tc>
              <w:tc>
                <w:tcPr>
                  <w:tcW w:w="1141" w:type="pct"/>
                  <w:tcBorders>
                    <w:tl2br w:val="nil"/>
                    <w:tr2bl w:val="nil"/>
                  </w:tcBorders>
                  <w:noWrap w:val="0"/>
                  <w:vAlign w:val="center"/>
                </w:tcPr>
                <w:p w14:paraId="328BC7CC">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市政</w:t>
                  </w:r>
                  <w:r>
                    <w:rPr>
                      <w:rFonts w:hint="default" w:ascii="Times New Roman" w:hAnsi="Times New Roman" w:eastAsia="宋体" w:cs="Times New Roman"/>
                      <w:color w:val="auto"/>
                      <w:highlight w:val="none"/>
                      <w:lang w:val="en-US" w:eastAsia="zh-CN"/>
                    </w:rPr>
                    <w:t>供水管网</w:t>
                  </w:r>
                </w:p>
              </w:tc>
            </w:tr>
            <w:tr w14:paraId="29B1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1" w:type="pct"/>
                  <w:vMerge w:val="continue"/>
                  <w:tcBorders>
                    <w:tl2br w:val="nil"/>
                    <w:tr2bl w:val="nil"/>
                  </w:tcBorders>
                  <w:noWrap w:val="0"/>
                  <w:vAlign w:val="center"/>
                </w:tcPr>
                <w:p w14:paraId="110F3A04">
                  <w:pPr>
                    <w:pStyle w:val="53"/>
                    <w:bidi w:val="0"/>
                    <w:rPr>
                      <w:rFonts w:hint="default"/>
                      <w:color w:val="auto"/>
                      <w:highlight w:val="none"/>
                    </w:rPr>
                  </w:pPr>
                </w:p>
              </w:tc>
              <w:tc>
                <w:tcPr>
                  <w:tcW w:w="1224" w:type="pct"/>
                  <w:tcBorders>
                    <w:tl2br w:val="nil"/>
                    <w:tr2bl w:val="nil"/>
                  </w:tcBorders>
                  <w:noWrap w:val="0"/>
                  <w:vAlign w:val="center"/>
                </w:tcPr>
                <w:p w14:paraId="7D80764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天然气</w:t>
                  </w:r>
                </w:p>
              </w:tc>
              <w:tc>
                <w:tcPr>
                  <w:tcW w:w="759" w:type="pct"/>
                  <w:tcBorders>
                    <w:tl2br w:val="nil"/>
                    <w:tr2bl w:val="nil"/>
                  </w:tcBorders>
                  <w:noWrap w:val="0"/>
                  <w:vAlign w:val="center"/>
                </w:tcPr>
                <w:p w14:paraId="0BEE865A">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63" w:type="pct"/>
                  <w:tcBorders>
                    <w:tl2br w:val="nil"/>
                    <w:tr2bl w:val="nil"/>
                  </w:tcBorders>
                  <w:noWrap w:val="0"/>
                  <w:vAlign w:val="center"/>
                </w:tcPr>
                <w:p w14:paraId="6A1FA1C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15万m</w:t>
                  </w:r>
                  <w:r>
                    <w:rPr>
                      <w:rFonts w:hint="eastAsia" w:ascii="Times New Roman" w:hAnsi="Times New Roman" w:eastAsia="宋体" w:cs="Times New Roman"/>
                      <w:color w:val="auto"/>
                      <w:highlight w:val="none"/>
                      <w:vertAlign w:val="superscript"/>
                      <w:lang w:val="en-US" w:eastAsia="zh-CN"/>
                    </w:rPr>
                    <w:t>3</w:t>
                  </w:r>
                </w:p>
              </w:tc>
              <w:tc>
                <w:tcPr>
                  <w:tcW w:w="1141" w:type="pct"/>
                  <w:tcBorders>
                    <w:tl2br w:val="nil"/>
                    <w:tr2bl w:val="nil"/>
                  </w:tcBorders>
                  <w:noWrap w:val="0"/>
                  <w:vAlign w:val="center"/>
                </w:tcPr>
                <w:p w14:paraId="3D9C54F5">
                  <w:pPr>
                    <w:pStyle w:val="53"/>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供气管网供给</w:t>
                  </w:r>
                </w:p>
              </w:tc>
            </w:tr>
          </w:tbl>
          <w:p w14:paraId="7E49DC67">
            <w:pPr>
              <w:pStyle w:val="58"/>
              <w:bidi w:val="0"/>
              <w:rPr>
                <w:rFonts w:hint="eastAsia"/>
                <w:color w:val="auto"/>
                <w:highlight w:val="none"/>
                <w:lang w:val="en-US" w:eastAsia="zh-CN"/>
              </w:rPr>
            </w:pPr>
            <w:r>
              <w:rPr>
                <w:rFonts w:hint="eastAsia"/>
                <w:color w:val="auto"/>
                <w:highlight w:val="none"/>
                <w:lang w:val="en-US" w:eastAsia="zh-CN"/>
              </w:rPr>
              <w:t>表2-5     主要原辅材料理化性质</w:t>
            </w:r>
          </w:p>
          <w:tbl>
            <w:tblPr>
              <w:tblStyle w:val="31"/>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635"/>
              <w:gridCol w:w="5535"/>
            </w:tblGrid>
            <w:tr w14:paraId="0C51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527A280B">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序号</w:t>
                  </w:r>
                </w:p>
              </w:tc>
              <w:tc>
                <w:tcPr>
                  <w:tcW w:w="1635" w:type="dxa"/>
                  <w:vAlign w:val="center"/>
                </w:tcPr>
                <w:p w14:paraId="642A7E56">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名称</w:t>
                  </w:r>
                </w:p>
              </w:tc>
              <w:tc>
                <w:tcPr>
                  <w:tcW w:w="5535" w:type="dxa"/>
                  <w:vAlign w:val="center"/>
                </w:tcPr>
                <w:p w14:paraId="74785BB1">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主要理化性质</w:t>
                  </w:r>
                </w:p>
              </w:tc>
            </w:tr>
            <w:tr w14:paraId="5ACD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4F22A0B0">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635" w:type="dxa"/>
                  <w:vAlign w:val="center"/>
                </w:tcPr>
                <w:p w14:paraId="32730F39">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水基防锈剂</w:t>
                  </w:r>
                </w:p>
              </w:tc>
              <w:tc>
                <w:tcPr>
                  <w:tcW w:w="5535" w:type="dxa"/>
                  <w:vAlign w:val="center"/>
                </w:tcPr>
                <w:p w14:paraId="66E2C141">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FPC-040A</w:t>
                  </w:r>
                  <w:r>
                    <w:rPr>
                      <w:rFonts w:hint="eastAsia" w:cs="Times New Roman"/>
                      <w:i w:val="0"/>
                      <w:iCs w:val="0"/>
                      <w:color w:val="auto"/>
                      <w:kern w:val="0"/>
                      <w:sz w:val="21"/>
                      <w:szCs w:val="21"/>
                      <w:highlight w:val="none"/>
                      <w:u w:val="none"/>
                      <w:lang w:val="en-US" w:eastAsia="zh-CN" w:bidi="ar"/>
                    </w:rPr>
                    <w:t>，</w:t>
                  </w:r>
                  <w:r>
                    <w:rPr>
                      <w:rFonts w:hint="eastAsia"/>
                      <w:color w:val="auto"/>
                      <w:highlight w:val="none"/>
                      <w:vertAlign w:val="baseline"/>
                      <w:lang w:val="en-US" w:eastAsia="zh-CN"/>
                    </w:rPr>
                    <w:t>无色至淡黄色透明液体，</w:t>
                  </w:r>
                  <w:r>
                    <w:rPr>
                      <w:rFonts w:hint="default"/>
                      <w:color w:val="auto"/>
                      <w:highlight w:val="none"/>
                      <w:vertAlign w:val="baseline"/>
                      <w:lang w:val="en-US" w:eastAsia="zh-CN"/>
                    </w:rPr>
                    <w:t>是一种环保型水基防锈剂，专用于金属加工件（如汽车零部件、精密锻件等）的工序间防锈或短期储存防护。其以水为溶剂，不含亚硝酸盐、铬酸盐等有害物质，符合RoHS及环保法规要求。</w:t>
                  </w:r>
                </w:p>
              </w:tc>
            </w:tr>
            <w:tr w14:paraId="22FF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5657A491">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1635" w:type="dxa"/>
                  <w:vAlign w:val="center"/>
                </w:tcPr>
                <w:p w14:paraId="57D0121E">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淬火油</w:t>
                  </w:r>
                </w:p>
              </w:tc>
              <w:tc>
                <w:tcPr>
                  <w:tcW w:w="5535" w:type="dxa"/>
                  <w:vAlign w:val="center"/>
                </w:tcPr>
                <w:p w14:paraId="3677EA0B">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color w:val="auto"/>
                      <w:highlight w:val="none"/>
                      <w:vertAlign w:val="baseline"/>
                      <w:lang w:val="en-US" w:eastAsia="zh-CN"/>
                    </w:rPr>
                    <w:t>淡黄色粘性、有特殊气味的液体，密度0.8615g/cm</w:t>
                  </w:r>
                  <w:r>
                    <w:rPr>
                      <w:rFonts w:hint="default"/>
                      <w:color w:val="auto"/>
                      <w:highlight w:val="none"/>
                      <w:vertAlign w:val="superscript"/>
                      <w:lang w:val="en-US" w:eastAsia="zh-CN"/>
                    </w:rPr>
                    <w:t>3</w:t>
                  </w:r>
                  <w:r>
                    <w:rPr>
                      <w:rFonts w:hint="default"/>
                      <w:color w:val="auto"/>
                      <w:highlight w:val="none"/>
                      <w:vertAlign w:val="baseline"/>
                      <w:lang w:val="en-US" w:eastAsia="zh-CN"/>
                    </w:rPr>
                    <w:t>，不溶于水，沸点＞300℃，闪火点196℃，爆炸上限7%、爆炸下限1%。正常温度及压力下安定，远离火花、高热、引火源，热分解产物为碳氧化合物，燃</w:t>
                  </w:r>
                  <w:r>
                    <w:rPr>
                      <w:rFonts w:hint="default"/>
                      <w:color w:val="auto"/>
                      <w:highlight w:val="none"/>
                      <w:lang w:val="en-US" w:eastAsia="zh-CN"/>
                    </w:rPr>
                    <w:t>烧不完全会产生碳、一氧化物。LD50：＞5000mg/kg（大鼠、吞食）。</w:t>
                  </w:r>
                </w:p>
              </w:tc>
            </w:tr>
            <w:tr w14:paraId="1EB2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55237C4A">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635" w:type="dxa"/>
                  <w:vAlign w:val="center"/>
                </w:tcPr>
                <w:p w14:paraId="5BEF66C9">
                  <w:pPr>
                    <w:pStyle w:val="53"/>
                    <w:bidi w:val="0"/>
                    <w:ind w:left="0" w:leftChars="0" w:firstLine="0" w:firstLineChars="0"/>
                    <w:jc w:val="center"/>
                    <w:rPr>
                      <w:rFonts w:hint="default"/>
                      <w:color w:val="auto"/>
                      <w:highlight w:val="none"/>
                      <w:vertAlign w:val="baseline"/>
                      <w:lang w:val="en-US" w:eastAsia="zh-CN"/>
                    </w:rPr>
                  </w:pPr>
                  <w:r>
                    <w:rPr>
                      <w:rFonts w:hint="eastAsia"/>
                      <w:color w:val="auto"/>
                      <w:highlight w:val="none"/>
                      <w:vertAlign w:val="baseline"/>
                      <w:lang w:val="en-US" w:eastAsia="zh-CN"/>
                    </w:rPr>
                    <w:t>乙醇（无水乙醇）</w:t>
                  </w:r>
                </w:p>
              </w:tc>
              <w:tc>
                <w:tcPr>
                  <w:tcW w:w="5535" w:type="dxa"/>
                  <w:vAlign w:val="center"/>
                </w:tcPr>
                <w:p w14:paraId="109FA1CC">
                  <w:pPr>
                    <w:pStyle w:val="53"/>
                    <w:bidi w:val="0"/>
                    <w:ind w:left="0" w:leftChars="0" w:firstLine="0" w:firstLineChars="0"/>
                    <w:jc w:val="center"/>
                    <w:rPr>
                      <w:rFonts w:hint="default"/>
                      <w:color w:val="auto"/>
                      <w:highlight w:val="none"/>
                      <w:vertAlign w:val="baseline"/>
                      <w:lang w:val="en-US" w:eastAsia="zh-CN"/>
                    </w:rPr>
                  </w:pPr>
                  <w:r>
                    <w:rPr>
                      <w:rFonts w:hint="eastAsia"/>
                      <w:color w:val="auto"/>
                      <w:highlight w:val="none"/>
                      <w:vertAlign w:val="baseline"/>
                      <w:lang w:val="en-US" w:eastAsia="zh-CN"/>
                    </w:rPr>
                    <w:t>C</w:t>
                  </w:r>
                  <w:r>
                    <w:rPr>
                      <w:rFonts w:hint="eastAsia"/>
                      <w:color w:val="auto"/>
                      <w:highlight w:val="none"/>
                      <w:vertAlign w:val="subscript"/>
                      <w:lang w:val="en-US" w:eastAsia="zh-CN"/>
                    </w:rPr>
                    <w:t>2</w:t>
                  </w:r>
                  <w:r>
                    <w:rPr>
                      <w:rFonts w:hint="eastAsia"/>
                      <w:color w:val="auto"/>
                      <w:highlight w:val="none"/>
                      <w:vertAlign w:val="baseline"/>
                      <w:lang w:val="en-US" w:eastAsia="zh-CN"/>
                    </w:rPr>
                    <w:t>H</w:t>
                  </w:r>
                  <w:r>
                    <w:rPr>
                      <w:rFonts w:hint="eastAsia"/>
                      <w:color w:val="auto"/>
                      <w:highlight w:val="none"/>
                      <w:vertAlign w:val="subscript"/>
                      <w:lang w:val="en-US" w:eastAsia="zh-CN"/>
                    </w:rPr>
                    <w:t>5</w:t>
                  </w:r>
                  <w:r>
                    <w:rPr>
                      <w:rFonts w:hint="eastAsia"/>
                      <w:color w:val="auto"/>
                      <w:highlight w:val="none"/>
                      <w:vertAlign w:val="baseline"/>
                      <w:lang w:val="en-US" w:eastAsia="zh-CN"/>
                    </w:rPr>
                    <w:t>O，</w:t>
                  </w:r>
                  <w:r>
                    <w:rPr>
                      <w:rFonts w:hint="default"/>
                      <w:color w:val="auto"/>
                      <w:highlight w:val="none"/>
                      <w:vertAlign w:val="baseline"/>
                      <w:lang w:val="en-US" w:eastAsia="zh-CN"/>
                    </w:rPr>
                    <w:t>无色易燃液体（熔点-114.1 ℃、沸点78.3 ℃、闪点12.8 ℃、爆炸极限3.3 %–19 %），可与水无限混溶，密度0.789 g/cm³（20 ℃），蒸气压5.8 kPa、亨利常数5.0×10⁻⁴ atm·m³/mol，蒸气重于空气；log Kow-0.31、Koc低，迁移性强，易生物降解但高浓度抑制微生物；急性毒性低（大鼠经口LD50 7 060 mg/kg、鱼类96 h LC50&gt;100 mg/L），挥发VOCs具中等臭氧生成潜势，泄漏主要风险为蒸气云火灾爆炸及地下水污染。</w:t>
                  </w:r>
                </w:p>
              </w:tc>
            </w:tr>
            <w:tr w14:paraId="215D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shd w:val="clear" w:color="auto" w:fill="auto"/>
                  <w:vAlign w:val="center"/>
                </w:tcPr>
                <w:p w14:paraId="75A2737D">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4</w:t>
                  </w:r>
                </w:p>
              </w:tc>
              <w:tc>
                <w:tcPr>
                  <w:tcW w:w="1635" w:type="dxa"/>
                  <w:shd w:val="clear" w:color="auto" w:fill="auto"/>
                  <w:vAlign w:val="center"/>
                </w:tcPr>
                <w:p w14:paraId="69C52C26">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水基脱模剂</w:t>
                  </w:r>
                </w:p>
              </w:tc>
              <w:tc>
                <w:tcPr>
                  <w:tcW w:w="5535" w:type="dxa"/>
                  <w:shd w:val="clear" w:color="auto" w:fill="auto"/>
                  <w:vAlign w:val="center"/>
                </w:tcPr>
                <w:p w14:paraId="1A6C50BC">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r>
                    <w:rPr>
                      <w:rFonts w:hint="default"/>
                      <w:color w:val="auto"/>
                      <w:highlight w:val="none"/>
                      <w:vertAlign w:val="baseline"/>
                      <w:lang w:val="en-US" w:eastAsia="zh-CN"/>
                    </w:rPr>
                    <w:t>主要成分为水90%～95.5%、聚乙二醇蜡4%～5%、乳化剂0.5%～1%，外观及性状主要为乳白色液体，密度为1～1.1g/cm</w:t>
                  </w:r>
                  <w:r>
                    <w:rPr>
                      <w:rFonts w:hint="default"/>
                      <w:color w:val="auto"/>
                      <w:highlight w:val="none"/>
                      <w:vertAlign w:val="superscript"/>
                      <w:lang w:val="en-US" w:eastAsia="zh-CN"/>
                    </w:rPr>
                    <w:t>3</w:t>
                  </w:r>
                  <w:r>
                    <w:rPr>
                      <w:rFonts w:hint="default"/>
                      <w:color w:val="auto"/>
                      <w:highlight w:val="none"/>
                      <w:vertAlign w:val="baseline"/>
                      <w:lang w:val="en-US" w:eastAsia="zh-CN"/>
                    </w:rPr>
                    <w:t>（20℃），闪点&gt;93℃，不燃烧，无爆炸性</w:t>
                  </w:r>
                  <w:r>
                    <w:rPr>
                      <w:rFonts w:hint="eastAsia"/>
                      <w:color w:val="auto"/>
                      <w:highlight w:val="none"/>
                      <w:vertAlign w:val="baseline"/>
                      <w:lang w:val="en-US" w:eastAsia="zh-CN"/>
                    </w:rPr>
                    <w:t>。</w:t>
                  </w:r>
                  <w:r>
                    <w:rPr>
                      <w:rFonts w:hint="default"/>
                      <w:color w:val="auto"/>
                      <w:highlight w:val="none"/>
                      <w:vertAlign w:val="baseline"/>
                      <w:lang w:val="en-US" w:eastAsia="zh-CN"/>
                    </w:rPr>
                    <w:t>VOCs含量小于10%</w:t>
                  </w:r>
                  <w:r>
                    <w:rPr>
                      <w:rFonts w:hint="eastAsia"/>
                      <w:color w:val="auto"/>
                      <w:highlight w:val="none"/>
                      <w:vertAlign w:val="baseline"/>
                      <w:lang w:val="en-US" w:eastAsia="zh-CN"/>
                    </w:rPr>
                    <w:t>，</w:t>
                  </w:r>
                  <w:r>
                    <w:rPr>
                      <w:rFonts w:hint="default"/>
                      <w:color w:val="auto"/>
                      <w:highlight w:val="none"/>
                      <w:vertAlign w:val="baseline"/>
                      <w:lang w:val="en-US" w:eastAsia="zh-CN"/>
                    </w:rPr>
                    <w:t>不属于VOCs物料。</w:t>
                  </w:r>
                </w:p>
              </w:tc>
            </w:tr>
          </w:tbl>
          <w:p w14:paraId="46AF2F7F">
            <w:pPr>
              <w:numPr>
                <w:ilvl w:val="0"/>
                <w:numId w:val="6"/>
              </w:numPr>
              <w:bidi w:val="0"/>
              <w:rPr>
                <w:rFonts w:hint="default"/>
                <w:b/>
                <w:bCs/>
                <w:color w:val="auto"/>
                <w:highlight w:val="none"/>
                <w:u w:val="none"/>
                <w:lang w:val="en-US" w:eastAsia="zh-CN"/>
              </w:rPr>
            </w:pPr>
            <w:r>
              <w:rPr>
                <w:rFonts w:hint="default"/>
                <w:b/>
                <w:bCs/>
                <w:color w:val="auto"/>
                <w:highlight w:val="none"/>
                <w:u w:val="none"/>
                <w:lang w:val="en-US" w:eastAsia="zh-CN"/>
              </w:rPr>
              <w:t>劳动定员及工作制度</w:t>
            </w:r>
          </w:p>
          <w:p w14:paraId="1277854C">
            <w:pPr>
              <w:bidi w:val="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项目劳动定员</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0人</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年工作时间为</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default" w:ascii="Times New Roman" w:hAnsi="Times New Roman" w:eastAsia="宋体" w:cs="Times New Roman"/>
                <w:color w:val="auto"/>
                <w:sz w:val="24"/>
                <w:szCs w:val="24"/>
                <w:highlight w:val="none"/>
                <w:lang w:val="en-US" w:eastAsia="zh-CN"/>
              </w:rPr>
              <w:t>每</w:t>
            </w:r>
            <w:r>
              <w:rPr>
                <w:rFonts w:hint="eastAsia" w:cs="Times New Roman"/>
                <w:color w:val="auto"/>
                <w:sz w:val="24"/>
                <w:szCs w:val="24"/>
                <w:highlight w:val="none"/>
                <w:lang w:val="en-US" w:eastAsia="zh-CN"/>
              </w:rPr>
              <w:t>天</w:t>
            </w: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小时</w:t>
            </w:r>
            <w:r>
              <w:rPr>
                <w:rFonts w:hint="default" w:ascii="Times New Roman" w:hAnsi="Times New Roman" w:eastAsia="宋体" w:cs="Times New Roman"/>
                <w:color w:val="auto"/>
                <w:sz w:val="24"/>
                <w:szCs w:val="24"/>
                <w:highlight w:val="none"/>
              </w:rPr>
              <w:t>。</w:t>
            </w:r>
          </w:p>
          <w:p w14:paraId="65228769">
            <w:pPr>
              <w:numPr>
                <w:ilvl w:val="0"/>
                <w:numId w:val="6"/>
              </w:numPr>
              <w:bidi w:val="0"/>
              <w:rPr>
                <w:rFonts w:hint="default"/>
                <w:b/>
                <w:bCs/>
                <w:color w:val="auto"/>
                <w:highlight w:val="none"/>
                <w:u w:val="none"/>
                <w:lang w:val="en-US" w:eastAsia="zh-CN"/>
              </w:rPr>
            </w:pPr>
            <w:r>
              <w:rPr>
                <w:rFonts w:hint="eastAsia"/>
                <w:b/>
                <w:bCs/>
                <w:color w:val="auto"/>
                <w:highlight w:val="none"/>
                <w:u w:val="none"/>
                <w:lang w:val="en-US" w:eastAsia="zh-CN"/>
              </w:rPr>
              <w:t>公用工程</w:t>
            </w:r>
          </w:p>
          <w:p w14:paraId="64A81F0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rPr>
            </w:pPr>
            <w:r>
              <w:rPr>
                <w:rFonts w:hint="default"/>
                <w:color w:val="auto"/>
                <w:highlight w:val="none"/>
                <w:u w:val="none"/>
                <w:lang w:eastAsia="zh-CN"/>
              </w:rPr>
              <w:t>（</w:t>
            </w:r>
            <w:r>
              <w:rPr>
                <w:rFonts w:hint="default"/>
                <w:color w:val="auto"/>
                <w:highlight w:val="none"/>
                <w:u w:val="none"/>
                <w:lang w:val="en-US" w:eastAsia="zh-CN"/>
              </w:rPr>
              <w:t>1</w:t>
            </w:r>
            <w:r>
              <w:rPr>
                <w:rFonts w:hint="default"/>
                <w:color w:val="auto"/>
                <w:highlight w:val="none"/>
                <w:u w:val="none"/>
                <w:lang w:eastAsia="zh-CN"/>
              </w:rPr>
              <w:t>）</w:t>
            </w:r>
            <w:r>
              <w:rPr>
                <w:rFonts w:hint="default"/>
                <w:color w:val="auto"/>
                <w:highlight w:val="none"/>
                <w:u w:val="none"/>
              </w:rPr>
              <w:t>给</w:t>
            </w:r>
            <w:r>
              <w:rPr>
                <w:rFonts w:hint="eastAsia"/>
                <w:color w:val="auto"/>
                <w:highlight w:val="none"/>
                <w:u w:val="none"/>
                <w:lang w:eastAsia="zh-CN"/>
              </w:rPr>
              <w:t>排</w:t>
            </w:r>
            <w:r>
              <w:rPr>
                <w:rFonts w:hint="default"/>
                <w:color w:val="auto"/>
                <w:highlight w:val="none"/>
                <w:u w:val="none"/>
              </w:rPr>
              <w:t>水</w:t>
            </w:r>
          </w:p>
          <w:p w14:paraId="57D36E3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lang w:val="en-US" w:eastAsia="zh-CN"/>
              </w:rPr>
            </w:pPr>
            <w:r>
              <w:rPr>
                <w:rFonts w:hint="eastAsia"/>
                <w:color w:val="auto"/>
                <w:highlight w:val="none"/>
                <w:u w:val="none"/>
                <w:lang w:val="en-US" w:eastAsia="zh-CN"/>
              </w:rPr>
              <w:t>1）给水</w:t>
            </w:r>
          </w:p>
          <w:p w14:paraId="6E9CCBD4">
            <w:pPr>
              <w:bidi w:val="0"/>
              <w:rPr>
                <w:color w:val="auto"/>
                <w:highlight w:val="none"/>
                <w:u w:val="none"/>
              </w:rPr>
            </w:pPr>
            <w:r>
              <w:rPr>
                <w:rFonts w:hint="default"/>
                <w:color w:val="auto"/>
                <w:highlight w:val="none"/>
                <w:u w:val="none"/>
                <w:lang w:eastAsia="zh-CN"/>
              </w:rPr>
              <w:t>项目用水</w:t>
            </w:r>
            <w:r>
              <w:rPr>
                <w:rFonts w:hint="eastAsia"/>
                <w:color w:val="auto"/>
                <w:highlight w:val="none"/>
                <w:u w:val="none"/>
                <w:lang w:val="en-US" w:eastAsia="zh-CN"/>
              </w:rPr>
              <w:t>主要为办公生活用水、冷却用水和脱模用水，</w:t>
            </w:r>
            <w:r>
              <w:rPr>
                <w:rFonts w:hint="default"/>
                <w:color w:val="auto"/>
                <w:highlight w:val="none"/>
                <w:u w:val="none"/>
                <w:lang w:eastAsia="zh-CN"/>
              </w:rPr>
              <w:t>由</w:t>
            </w:r>
            <w:r>
              <w:rPr>
                <w:rFonts w:hint="eastAsia"/>
                <w:color w:val="auto"/>
                <w:highlight w:val="none"/>
                <w:u w:val="none"/>
                <w:lang w:eastAsia="zh-CN"/>
              </w:rPr>
              <w:t>市政</w:t>
            </w:r>
            <w:r>
              <w:rPr>
                <w:rFonts w:hint="default"/>
                <w:color w:val="auto"/>
                <w:highlight w:val="none"/>
                <w:u w:val="none"/>
                <w:lang w:eastAsia="zh-CN"/>
              </w:rPr>
              <w:t>供水管网供给</w:t>
            </w:r>
            <w:r>
              <w:rPr>
                <w:rFonts w:hint="eastAsia"/>
                <w:color w:val="auto"/>
                <w:highlight w:val="none"/>
                <w:u w:val="none"/>
                <w:lang w:val="en-US" w:eastAsia="zh-CN"/>
              </w:rPr>
              <w:t>。</w:t>
            </w:r>
          </w:p>
          <w:p w14:paraId="28EDB4A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color w:val="auto"/>
                <w:highlight w:val="none"/>
                <w:u w:val="none"/>
                <w:lang w:val="en-US" w:eastAsia="zh-CN"/>
              </w:rPr>
            </w:pPr>
            <w:r>
              <w:rPr>
                <w:rFonts w:hint="eastAsia"/>
                <w:color w:val="auto"/>
                <w:highlight w:val="none"/>
                <w:u w:val="none"/>
                <w:lang w:val="en-US" w:eastAsia="zh-CN"/>
              </w:rPr>
              <w:t>①办公生活用水</w:t>
            </w:r>
          </w:p>
          <w:p w14:paraId="512CE301">
            <w:pPr>
              <w:spacing w:line="360" w:lineRule="auto"/>
              <w:ind w:firstLine="480"/>
              <w:rPr>
                <w:rFonts w:hint="default"/>
                <w:bCs/>
                <w:snapToGrid w:val="0"/>
                <w:color w:val="auto"/>
                <w:kern w:val="0"/>
                <w:sz w:val="24"/>
                <w:highlight w:val="none"/>
                <w:lang w:val="en-US" w:eastAsia="zh-CN"/>
              </w:rPr>
            </w:pPr>
            <w:r>
              <w:rPr>
                <w:rFonts w:hint="eastAsia"/>
                <w:color w:val="auto"/>
                <w:sz w:val="24"/>
                <w:highlight w:val="none"/>
                <w:lang w:val="en-US" w:eastAsia="zh-CN"/>
              </w:rPr>
              <w:t>本次项目劳动定员80人，厂区不提供住宿。</w:t>
            </w:r>
            <w:r>
              <w:rPr>
                <w:rFonts w:hint="eastAsia"/>
                <w:color w:val="auto"/>
                <w:sz w:val="24"/>
                <w:highlight w:val="none"/>
              </w:rPr>
              <w:t>参考《陕西省行业用水定额》（DB61/T943-20</w:t>
            </w:r>
            <w:r>
              <w:rPr>
                <w:color w:val="auto"/>
                <w:sz w:val="24"/>
                <w:highlight w:val="none"/>
              </w:rPr>
              <w:t>20</w:t>
            </w:r>
            <w:r>
              <w:rPr>
                <w:rFonts w:hint="eastAsia"/>
                <w:color w:val="auto"/>
                <w:sz w:val="24"/>
                <w:highlight w:val="none"/>
              </w:rPr>
              <w:t>），</w:t>
            </w:r>
            <w:r>
              <w:rPr>
                <w:bCs/>
                <w:snapToGrid w:val="0"/>
                <w:color w:val="auto"/>
                <w:kern w:val="0"/>
                <w:sz w:val="24"/>
                <w:highlight w:val="none"/>
              </w:rPr>
              <w:t>用水量按</w:t>
            </w:r>
            <w:r>
              <w:rPr>
                <w:rFonts w:hint="eastAsia"/>
                <w:bCs/>
                <w:snapToGrid w:val="0"/>
                <w:color w:val="auto"/>
                <w:kern w:val="0"/>
                <w:sz w:val="24"/>
                <w:highlight w:val="none"/>
                <w:lang w:val="en-US" w:eastAsia="zh-CN"/>
              </w:rPr>
              <w:t>45</w:t>
            </w:r>
            <w:r>
              <w:rPr>
                <w:bCs/>
                <w:snapToGrid w:val="0"/>
                <w:color w:val="auto"/>
                <w:kern w:val="0"/>
                <w:sz w:val="24"/>
                <w:highlight w:val="none"/>
              </w:rPr>
              <w:t>L/d·人计，</w:t>
            </w:r>
            <w:r>
              <w:rPr>
                <w:rFonts w:hint="eastAsia"/>
                <w:bCs/>
                <w:snapToGrid w:val="0"/>
                <w:color w:val="auto"/>
                <w:kern w:val="0"/>
                <w:sz w:val="24"/>
                <w:highlight w:val="none"/>
                <w:lang w:val="en-US" w:eastAsia="zh-CN"/>
              </w:rPr>
              <w:t>则</w:t>
            </w:r>
            <w:r>
              <w:rPr>
                <w:bCs/>
                <w:snapToGrid w:val="0"/>
                <w:color w:val="auto"/>
                <w:kern w:val="0"/>
                <w:sz w:val="24"/>
                <w:highlight w:val="none"/>
              </w:rPr>
              <w:t>生活用水量为</w:t>
            </w:r>
            <w:r>
              <w:rPr>
                <w:rFonts w:hint="eastAsia"/>
                <w:bCs/>
                <w:snapToGrid w:val="0"/>
                <w:color w:val="auto"/>
                <w:kern w:val="0"/>
                <w:sz w:val="24"/>
                <w:highlight w:val="none"/>
                <w:lang w:val="en-US" w:eastAsia="zh-CN"/>
              </w:rPr>
              <w:t>3.6</w:t>
            </w:r>
            <w:r>
              <w:rPr>
                <w:bCs/>
                <w:snapToGrid w:val="0"/>
                <w:color w:val="auto"/>
                <w:kern w:val="0"/>
                <w:sz w:val="24"/>
                <w:highlight w:val="none"/>
              </w:rPr>
              <w:t>m</w:t>
            </w:r>
            <w:r>
              <w:rPr>
                <w:bCs/>
                <w:snapToGrid w:val="0"/>
                <w:color w:val="auto"/>
                <w:kern w:val="0"/>
                <w:sz w:val="24"/>
                <w:highlight w:val="none"/>
                <w:vertAlign w:val="superscript"/>
              </w:rPr>
              <w:t>3</w:t>
            </w:r>
            <w:r>
              <w:rPr>
                <w:bCs/>
                <w:snapToGrid w:val="0"/>
                <w:color w:val="auto"/>
                <w:kern w:val="0"/>
                <w:sz w:val="24"/>
                <w:highlight w:val="none"/>
              </w:rPr>
              <w:t>/d</w:t>
            </w:r>
            <w:r>
              <w:rPr>
                <w:rFonts w:hint="eastAsia"/>
                <w:bCs/>
                <w:snapToGrid w:val="0"/>
                <w:color w:val="auto"/>
                <w:kern w:val="0"/>
                <w:sz w:val="24"/>
                <w:highlight w:val="none"/>
              </w:rPr>
              <w:t>（</w:t>
            </w:r>
            <w:r>
              <w:rPr>
                <w:rFonts w:hint="eastAsia"/>
                <w:bCs/>
                <w:snapToGrid w:val="0"/>
                <w:color w:val="auto"/>
                <w:kern w:val="0"/>
                <w:sz w:val="24"/>
                <w:highlight w:val="none"/>
                <w:lang w:val="en-US" w:eastAsia="zh-CN"/>
              </w:rPr>
              <w:t>1080</w:t>
            </w:r>
            <w:r>
              <w:rPr>
                <w:bCs/>
                <w:snapToGrid w:val="0"/>
                <w:color w:val="auto"/>
                <w:kern w:val="0"/>
                <w:sz w:val="24"/>
                <w:highlight w:val="none"/>
              </w:rPr>
              <w:t>m</w:t>
            </w:r>
            <w:r>
              <w:rPr>
                <w:bCs/>
                <w:snapToGrid w:val="0"/>
                <w:color w:val="auto"/>
                <w:kern w:val="0"/>
                <w:sz w:val="24"/>
                <w:highlight w:val="none"/>
                <w:vertAlign w:val="superscript"/>
              </w:rPr>
              <w:t>3</w:t>
            </w:r>
            <w:r>
              <w:rPr>
                <w:bCs/>
                <w:snapToGrid w:val="0"/>
                <w:color w:val="auto"/>
                <w:kern w:val="0"/>
                <w:sz w:val="24"/>
                <w:highlight w:val="none"/>
              </w:rPr>
              <w:t>/a</w:t>
            </w:r>
            <w:r>
              <w:rPr>
                <w:rFonts w:hint="eastAsia"/>
                <w:bCs/>
                <w:snapToGrid w:val="0"/>
                <w:color w:val="auto"/>
                <w:kern w:val="0"/>
                <w:sz w:val="24"/>
                <w:highlight w:val="none"/>
              </w:rPr>
              <w:t>）。</w:t>
            </w:r>
          </w:p>
          <w:p w14:paraId="52FA1D56">
            <w:pPr>
              <w:spacing w:line="360" w:lineRule="auto"/>
              <w:ind w:firstLine="480"/>
              <w:rPr>
                <w:rFonts w:hint="eastAsia"/>
                <w:bCs/>
                <w:snapToGrid w:val="0"/>
                <w:color w:val="auto"/>
                <w:kern w:val="0"/>
                <w:sz w:val="24"/>
                <w:highlight w:val="none"/>
                <w:lang w:val="en-US" w:eastAsia="zh-CN"/>
              </w:rPr>
            </w:pPr>
            <w:r>
              <w:rPr>
                <w:rFonts w:hint="eastAsia"/>
                <w:bCs/>
                <w:snapToGrid w:val="0"/>
                <w:color w:val="auto"/>
                <w:kern w:val="0"/>
                <w:sz w:val="24"/>
                <w:highlight w:val="none"/>
                <w:lang w:val="en-US" w:eastAsia="zh-CN"/>
              </w:rPr>
              <w:t>②冷却用水</w:t>
            </w:r>
          </w:p>
          <w:p w14:paraId="40E59C28">
            <w:pPr>
              <w:bidi w:val="0"/>
              <w:rPr>
                <w:rFonts w:hint="default" w:eastAsia="宋体"/>
                <w:color w:val="auto"/>
                <w:highlight w:val="none"/>
                <w:lang w:val="en-US" w:eastAsia="zh-CN"/>
              </w:rPr>
            </w:pPr>
            <w:r>
              <w:rPr>
                <w:color w:val="auto"/>
                <w:highlight w:val="none"/>
              </w:rPr>
              <w:t>加热炉冷却水采用冷却塔冷却后回用，</w:t>
            </w:r>
            <w:r>
              <w:rPr>
                <w:rFonts w:hint="eastAsia"/>
                <w:color w:val="auto"/>
                <w:highlight w:val="none"/>
                <w:lang w:val="en-US" w:eastAsia="zh-CN"/>
              </w:rPr>
              <w:t>根据</w:t>
            </w:r>
            <w:r>
              <w:rPr>
                <w:rFonts w:hint="eastAsia"/>
                <w:color w:val="auto"/>
                <w:sz w:val="24"/>
                <w:highlight w:val="none"/>
                <w:lang w:val="en-US" w:eastAsia="zh-CN"/>
              </w:rPr>
              <w:t>企业提供参考资料</w:t>
            </w:r>
            <w:r>
              <w:rPr>
                <w:rFonts w:hint="eastAsia"/>
                <w:color w:val="auto"/>
                <w:sz w:val="24"/>
                <w:highlight w:val="none"/>
                <w:lang w:eastAsia="zh-CN"/>
              </w:rPr>
              <w:t>，</w:t>
            </w:r>
            <w:r>
              <w:rPr>
                <w:color w:val="auto"/>
                <w:highlight w:val="none"/>
              </w:rPr>
              <w:t>冷却系统循环水量</w:t>
            </w:r>
            <w:r>
              <w:rPr>
                <w:rFonts w:hint="eastAsia"/>
                <w:color w:val="auto"/>
                <w:highlight w:val="none"/>
                <w:lang w:val="en-US" w:eastAsia="zh-CN"/>
              </w:rPr>
              <w:t>约</w:t>
            </w:r>
            <w:r>
              <w:rPr>
                <w:color w:val="auto"/>
                <w:highlight w:val="none"/>
              </w:rPr>
              <w:t>为</w:t>
            </w:r>
            <w:r>
              <w:rPr>
                <w:rFonts w:hint="eastAsia"/>
                <w:color w:val="auto"/>
                <w:highlight w:val="none"/>
                <w:lang w:val="en-US" w:eastAsia="zh-CN"/>
              </w:rPr>
              <w:t>15</w:t>
            </w:r>
            <w:r>
              <w:rPr>
                <w:color w:val="auto"/>
                <w:highlight w:val="none"/>
              </w:rPr>
              <w:t>m</w:t>
            </w:r>
            <w:r>
              <w:rPr>
                <w:color w:val="auto"/>
                <w:highlight w:val="none"/>
                <w:vertAlign w:val="superscript"/>
              </w:rPr>
              <w:t>3</w:t>
            </w:r>
            <w:r>
              <w:rPr>
                <w:color w:val="auto"/>
                <w:highlight w:val="none"/>
              </w:rPr>
              <w:t>/d，补充水量按循环水量的1</w:t>
            </w:r>
            <w:r>
              <w:rPr>
                <w:rFonts w:hint="eastAsia"/>
                <w:color w:val="auto"/>
                <w:highlight w:val="none"/>
                <w:lang w:val="en-US" w:eastAsia="zh-CN"/>
              </w:rPr>
              <w:t>0</w:t>
            </w:r>
            <w:r>
              <w:rPr>
                <w:color w:val="auto"/>
                <w:highlight w:val="none"/>
              </w:rPr>
              <w:t>%计，加热炉冷却水补充量为</w:t>
            </w:r>
            <w:r>
              <w:rPr>
                <w:rFonts w:hint="eastAsia"/>
                <w:color w:val="auto"/>
                <w:highlight w:val="none"/>
                <w:lang w:val="en-US" w:eastAsia="zh-CN"/>
              </w:rPr>
              <w:t>1.5</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450</w:t>
            </w:r>
            <w:r>
              <w:rPr>
                <w:color w:val="auto"/>
                <w:highlight w:val="none"/>
              </w:rPr>
              <w:t>m</w:t>
            </w:r>
            <w:r>
              <w:rPr>
                <w:color w:val="auto"/>
                <w:highlight w:val="none"/>
                <w:vertAlign w:val="superscript"/>
              </w:rPr>
              <w:t>3</w:t>
            </w:r>
            <w:r>
              <w:rPr>
                <w:color w:val="auto"/>
                <w:highlight w:val="none"/>
              </w:rPr>
              <w:t>/a）。</w:t>
            </w:r>
          </w:p>
          <w:p w14:paraId="342F094D">
            <w:pPr>
              <w:spacing w:line="360" w:lineRule="auto"/>
              <w:ind w:firstLine="480"/>
              <w:rPr>
                <w:rFonts w:hint="default"/>
                <w:bCs/>
                <w:snapToGrid w:val="0"/>
                <w:color w:val="auto"/>
                <w:kern w:val="0"/>
                <w:sz w:val="24"/>
                <w:highlight w:val="none"/>
                <w:lang w:val="en-US" w:eastAsia="zh-CN"/>
              </w:rPr>
            </w:pPr>
            <w:r>
              <w:rPr>
                <w:rFonts w:hint="eastAsia"/>
                <w:bCs/>
                <w:snapToGrid w:val="0"/>
                <w:color w:val="auto"/>
                <w:kern w:val="0"/>
                <w:sz w:val="24"/>
                <w:highlight w:val="none"/>
                <w:lang w:val="en-US" w:eastAsia="zh-CN"/>
              </w:rPr>
              <w:t>③脱模用水</w:t>
            </w:r>
          </w:p>
          <w:p w14:paraId="0CEFA75F">
            <w:pPr>
              <w:keepNext w:val="0"/>
              <w:keepLines w:val="0"/>
              <w:widowControl/>
              <w:suppressLineNumbers w:val="0"/>
              <w:jc w:val="left"/>
              <w:rPr>
                <w:rFonts w:hint="eastAsia"/>
                <w:color w:val="auto"/>
                <w:highlight w:val="none"/>
                <w:lang w:eastAsia="zh-CN"/>
              </w:rPr>
            </w:pPr>
            <w:r>
              <w:rPr>
                <w:rFonts w:hint="eastAsia" w:ascii="宋体" w:hAnsi="宋体" w:eastAsia="宋体" w:cs="宋体"/>
                <w:color w:val="auto"/>
                <w:kern w:val="0"/>
                <w:sz w:val="24"/>
                <w:szCs w:val="24"/>
                <w:highlight w:val="none"/>
                <w:lang w:val="en-US" w:eastAsia="zh-CN" w:bidi="ar"/>
              </w:rPr>
              <w:t>项目生产过程使用脱模剂，脱模剂需加普通自来水混合使用，循环使用，需要定期补充新鲜水，</w:t>
            </w:r>
            <w:r>
              <w:rPr>
                <w:rFonts w:hint="eastAsia"/>
                <w:color w:val="auto"/>
                <w:highlight w:val="none"/>
                <w:lang w:val="en-US" w:eastAsia="zh-CN"/>
              </w:rPr>
              <w:t>根据</w:t>
            </w:r>
            <w:r>
              <w:rPr>
                <w:rFonts w:hint="eastAsia"/>
                <w:color w:val="auto"/>
                <w:sz w:val="24"/>
                <w:highlight w:val="none"/>
                <w:lang w:val="en-US" w:eastAsia="zh-CN"/>
              </w:rPr>
              <w:t>企业提供参考资料</w:t>
            </w:r>
            <w:r>
              <w:rPr>
                <w:color w:val="auto"/>
                <w:highlight w:val="none"/>
              </w:rPr>
              <w:t>，</w:t>
            </w:r>
            <w:r>
              <w:rPr>
                <w:rFonts w:hint="eastAsia" w:ascii="宋体" w:hAnsi="宋体" w:eastAsia="宋体" w:cs="宋体"/>
                <w:color w:val="auto"/>
                <w:kern w:val="0"/>
                <w:sz w:val="24"/>
                <w:szCs w:val="24"/>
                <w:highlight w:val="none"/>
                <w:lang w:val="en-US" w:eastAsia="zh-CN" w:bidi="ar"/>
              </w:rPr>
              <w:t>用水量</w:t>
            </w:r>
            <w:r>
              <w:rPr>
                <w:rFonts w:hint="eastAsia"/>
                <w:color w:val="auto"/>
                <w:highlight w:val="none"/>
                <w:lang w:val="en-US" w:eastAsia="zh-CN"/>
              </w:rPr>
              <w:t>10</w:t>
            </w:r>
            <w:r>
              <w:rPr>
                <w:color w:val="auto"/>
                <w:highlight w:val="none"/>
              </w:rPr>
              <w:t>m</w:t>
            </w:r>
            <w:r>
              <w:rPr>
                <w:color w:val="auto"/>
                <w:highlight w:val="none"/>
                <w:vertAlign w:val="superscript"/>
              </w:rPr>
              <w:t>3</w:t>
            </w:r>
            <w:r>
              <w:rPr>
                <w:color w:val="auto"/>
                <w:highlight w:val="none"/>
              </w:rPr>
              <w:t>/d</w:t>
            </w:r>
            <w:r>
              <w:rPr>
                <w:rFonts w:hint="eastAsia" w:ascii="宋体" w:hAnsi="宋体" w:eastAsia="宋体" w:cs="宋体"/>
                <w:color w:val="auto"/>
                <w:kern w:val="0"/>
                <w:sz w:val="24"/>
                <w:szCs w:val="24"/>
                <w:highlight w:val="none"/>
                <w:lang w:val="en-US" w:eastAsia="zh-CN" w:bidi="ar"/>
              </w:rPr>
              <w:t>，</w:t>
            </w:r>
            <w:r>
              <w:rPr>
                <w:color w:val="auto"/>
                <w:highlight w:val="none"/>
              </w:rPr>
              <w:t>补充水量按循环水量的1</w:t>
            </w:r>
            <w:r>
              <w:rPr>
                <w:rFonts w:hint="eastAsia"/>
                <w:color w:val="auto"/>
                <w:highlight w:val="none"/>
                <w:lang w:val="en-US" w:eastAsia="zh-CN"/>
              </w:rPr>
              <w:t>0</w:t>
            </w:r>
            <w:r>
              <w:rPr>
                <w:color w:val="auto"/>
                <w:highlight w:val="none"/>
              </w:rPr>
              <w:t>%计</w:t>
            </w:r>
            <w:r>
              <w:rPr>
                <w:rFonts w:hint="eastAsia"/>
                <w:color w:val="auto"/>
                <w:highlight w:val="none"/>
                <w:lang w:eastAsia="zh-CN"/>
              </w:rPr>
              <w:t>，</w:t>
            </w:r>
            <w:r>
              <w:rPr>
                <w:rFonts w:hint="eastAsia"/>
                <w:color w:val="auto"/>
                <w:highlight w:val="none"/>
                <w:lang w:val="en-US" w:eastAsia="zh-CN"/>
              </w:rPr>
              <w:t>补水量为1</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300</w:t>
            </w:r>
            <w:r>
              <w:rPr>
                <w:color w:val="auto"/>
                <w:highlight w:val="none"/>
              </w:rPr>
              <w:t>m</w:t>
            </w:r>
            <w:r>
              <w:rPr>
                <w:color w:val="auto"/>
                <w:highlight w:val="none"/>
                <w:vertAlign w:val="superscript"/>
              </w:rPr>
              <w:t>3</w:t>
            </w:r>
            <w:r>
              <w:rPr>
                <w:color w:val="auto"/>
                <w:highlight w:val="none"/>
              </w:rPr>
              <w:t>/a）</w:t>
            </w:r>
            <w:r>
              <w:rPr>
                <w:rFonts w:hint="eastAsia"/>
                <w:color w:val="auto"/>
                <w:highlight w:val="none"/>
                <w:lang w:eastAsia="zh-CN"/>
              </w:rPr>
              <w:t>。</w:t>
            </w:r>
          </w:p>
          <w:p w14:paraId="160E021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lang w:eastAsia="zh-CN"/>
              </w:rPr>
            </w:pPr>
            <w:r>
              <w:rPr>
                <w:rFonts w:hint="eastAsia"/>
                <w:color w:val="auto"/>
                <w:highlight w:val="none"/>
                <w:u w:val="none"/>
                <w:lang w:eastAsia="zh-CN"/>
              </w:rPr>
              <w:t>综上，</w:t>
            </w:r>
            <w:r>
              <w:rPr>
                <w:rFonts w:hint="eastAsia"/>
                <w:color w:val="auto"/>
                <w:highlight w:val="none"/>
                <w:u w:val="none"/>
                <w:lang w:val="en-US" w:eastAsia="zh-CN"/>
              </w:rPr>
              <w:t>本</w:t>
            </w:r>
            <w:r>
              <w:rPr>
                <w:rFonts w:hint="eastAsia"/>
                <w:color w:val="auto"/>
                <w:highlight w:val="none"/>
                <w:u w:val="none"/>
                <w:lang w:eastAsia="zh-CN"/>
              </w:rPr>
              <w:t>项目</w:t>
            </w:r>
            <w:r>
              <w:rPr>
                <w:rFonts w:hint="eastAsia"/>
                <w:color w:val="auto"/>
                <w:highlight w:val="none"/>
                <w:u w:val="none"/>
                <w:lang w:val="en-US" w:eastAsia="zh-CN"/>
              </w:rPr>
              <w:t>新鲜</w:t>
            </w:r>
            <w:r>
              <w:rPr>
                <w:rFonts w:hint="eastAsia"/>
                <w:color w:val="auto"/>
                <w:highlight w:val="none"/>
                <w:u w:val="none"/>
                <w:lang w:eastAsia="zh-CN"/>
              </w:rPr>
              <w:t>水</w:t>
            </w:r>
            <w:r>
              <w:rPr>
                <w:rFonts w:hint="eastAsia"/>
                <w:color w:val="auto"/>
                <w:highlight w:val="none"/>
                <w:u w:val="none"/>
                <w:lang w:val="en-US" w:eastAsia="zh-CN"/>
              </w:rPr>
              <w:t>用</w:t>
            </w:r>
            <w:r>
              <w:rPr>
                <w:rFonts w:hint="eastAsia"/>
                <w:color w:val="auto"/>
                <w:highlight w:val="none"/>
                <w:u w:val="none"/>
                <w:lang w:eastAsia="zh-CN"/>
              </w:rPr>
              <w:t>量为</w:t>
            </w:r>
            <w:r>
              <w:rPr>
                <w:rFonts w:hint="eastAsia"/>
                <w:color w:val="auto"/>
                <w:highlight w:val="none"/>
                <w:u w:val="none"/>
                <w:lang w:val="en-US" w:eastAsia="zh-CN"/>
              </w:rPr>
              <w:t>6.1m</w:t>
            </w:r>
            <w:r>
              <w:rPr>
                <w:rFonts w:hint="eastAsia"/>
                <w:color w:val="auto"/>
                <w:highlight w:val="none"/>
                <w:u w:val="none"/>
                <w:vertAlign w:val="superscript"/>
                <w:lang w:val="en-US" w:eastAsia="zh-CN"/>
              </w:rPr>
              <w:t>3</w:t>
            </w:r>
            <w:r>
              <w:rPr>
                <w:rFonts w:hint="eastAsia"/>
                <w:color w:val="auto"/>
                <w:highlight w:val="none"/>
                <w:u w:val="none"/>
                <w:lang w:val="en-US" w:eastAsia="zh-CN"/>
              </w:rPr>
              <w:t>/d（1830m</w:t>
            </w:r>
            <w:r>
              <w:rPr>
                <w:rFonts w:hint="eastAsia"/>
                <w:color w:val="auto"/>
                <w:highlight w:val="none"/>
                <w:u w:val="none"/>
                <w:vertAlign w:val="superscript"/>
                <w:lang w:val="en-US" w:eastAsia="zh-CN"/>
              </w:rPr>
              <w:t>3</w:t>
            </w:r>
            <w:r>
              <w:rPr>
                <w:rFonts w:hint="eastAsia"/>
                <w:color w:val="auto"/>
                <w:highlight w:val="none"/>
                <w:u w:val="none"/>
                <w:lang w:val="en-US" w:eastAsia="zh-CN"/>
              </w:rPr>
              <w:t>/a）。</w:t>
            </w:r>
          </w:p>
          <w:p w14:paraId="6C4AFA9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lang w:eastAsia="zh-CN"/>
              </w:rPr>
            </w:pPr>
            <w:r>
              <w:rPr>
                <w:rFonts w:hint="default"/>
                <w:color w:val="auto"/>
                <w:highlight w:val="none"/>
                <w:u w:val="none"/>
                <w:lang w:val="en-US" w:eastAsia="zh-CN"/>
              </w:rPr>
              <w:t>2</w:t>
            </w:r>
            <w:r>
              <w:rPr>
                <w:rFonts w:hint="default"/>
                <w:color w:val="auto"/>
                <w:highlight w:val="none"/>
                <w:u w:val="none"/>
                <w:lang w:eastAsia="zh-CN"/>
              </w:rPr>
              <w:t>）排水</w:t>
            </w:r>
          </w:p>
          <w:p w14:paraId="0D6443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color w:val="auto"/>
                <w:highlight w:val="none"/>
              </w:rPr>
            </w:pPr>
            <w:r>
              <w:rPr>
                <w:rFonts w:hint="eastAsia"/>
                <w:color w:val="auto"/>
                <w:sz w:val="24"/>
                <w:highlight w:val="none"/>
              </w:rPr>
              <w:t>本项目生活用水量为</w:t>
            </w:r>
            <w:r>
              <w:rPr>
                <w:rFonts w:hint="eastAsia"/>
                <w:bCs/>
                <w:snapToGrid w:val="0"/>
                <w:color w:val="auto"/>
                <w:kern w:val="0"/>
                <w:sz w:val="24"/>
                <w:highlight w:val="none"/>
                <w:lang w:val="en-US" w:eastAsia="zh-CN"/>
              </w:rPr>
              <w:t>3.6</w:t>
            </w:r>
            <w:r>
              <w:rPr>
                <w:bCs/>
                <w:snapToGrid w:val="0"/>
                <w:color w:val="auto"/>
                <w:kern w:val="0"/>
                <w:sz w:val="24"/>
                <w:highlight w:val="none"/>
              </w:rPr>
              <w:t>m</w:t>
            </w:r>
            <w:r>
              <w:rPr>
                <w:bCs/>
                <w:snapToGrid w:val="0"/>
                <w:color w:val="auto"/>
                <w:kern w:val="0"/>
                <w:sz w:val="24"/>
                <w:highlight w:val="none"/>
                <w:vertAlign w:val="superscript"/>
              </w:rPr>
              <w:t>3</w:t>
            </w:r>
            <w:r>
              <w:rPr>
                <w:bCs/>
                <w:snapToGrid w:val="0"/>
                <w:color w:val="auto"/>
                <w:kern w:val="0"/>
                <w:sz w:val="24"/>
                <w:highlight w:val="none"/>
              </w:rPr>
              <w:t>/d</w:t>
            </w:r>
            <w:r>
              <w:rPr>
                <w:rFonts w:hint="eastAsia"/>
                <w:bCs/>
                <w:snapToGrid w:val="0"/>
                <w:color w:val="auto"/>
                <w:kern w:val="0"/>
                <w:sz w:val="24"/>
                <w:highlight w:val="none"/>
              </w:rPr>
              <w:t>（</w:t>
            </w:r>
            <w:r>
              <w:rPr>
                <w:rFonts w:hint="eastAsia"/>
                <w:bCs/>
                <w:snapToGrid w:val="0"/>
                <w:color w:val="auto"/>
                <w:kern w:val="0"/>
                <w:sz w:val="24"/>
                <w:highlight w:val="none"/>
                <w:lang w:val="en-US" w:eastAsia="zh-CN"/>
              </w:rPr>
              <w:t>1080</w:t>
            </w:r>
            <w:r>
              <w:rPr>
                <w:bCs/>
                <w:snapToGrid w:val="0"/>
                <w:color w:val="auto"/>
                <w:kern w:val="0"/>
                <w:sz w:val="24"/>
                <w:highlight w:val="none"/>
              </w:rPr>
              <w:t>m</w:t>
            </w:r>
            <w:r>
              <w:rPr>
                <w:bCs/>
                <w:snapToGrid w:val="0"/>
                <w:color w:val="auto"/>
                <w:kern w:val="0"/>
                <w:sz w:val="24"/>
                <w:highlight w:val="none"/>
                <w:vertAlign w:val="superscript"/>
              </w:rPr>
              <w:t>3</w:t>
            </w:r>
            <w:r>
              <w:rPr>
                <w:bCs/>
                <w:snapToGrid w:val="0"/>
                <w:color w:val="auto"/>
                <w:kern w:val="0"/>
                <w:sz w:val="24"/>
                <w:highlight w:val="none"/>
              </w:rPr>
              <w:t>/a</w:t>
            </w:r>
            <w:r>
              <w:rPr>
                <w:rFonts w:hint="eastAsia"/>
                <w:bCs/>
                <w:snapToGrid w:val="0"/>
                <w:color w:val="auto"/>
                <w:kern w:val="0"/>
                <w:sz w:val="24"/>
                <w:highlight w:val="none"/>
              </w:rPr>
              <w:t>），</w:t>
            </w:r>
            <w:r>
              <w:rPr>
                <w:rFonts w:hint="eastAsia"/>
                <w:bCs/>
                <w:snapToGrid w:val="0"/>
                <w:color w:val="auto"/>
                <w:kern w:val="0"/>
                <w:sz w:val="24"/>
                <w:highlight w:val="none"/>
                <w:lang w:val="en-US" w:eastAsia="zh-CN"/>
              </w:rPr>
              <w:t>依托厂区现有化粪池处理达标后排入市政污水管网污水管，</w:t>
            </w:r>
            <w:r>
              <w:rPr>
                <w:rFonts w:hint="eastAsia" w:ascii="Times New Roman" w:hAnsi="Times New Roman" w:eastAsia="宋体" w:cs="Times New Roman"/>
                <w:bCs/>
                <w:snapToGrid w:val="0"/>
                <w:color w:val="auto"/>
                <w:kern w:val="0"/>
                <w:sz w:val="24"/>
                <w:highlight w:val="none"/>
                <w:lang w:val="en-US" w:eastAsia="zh-CN"/>
              </w:rPr>
              <w:t>最终排入五丈原污水处理厂集中处理后</w:t>
            </w:r>
            <w:r>
              <w:rPr>
                <w:rFonts w:hint="eastAsia"/>
                <w:bCs/>
                <w:snapToGrid w:val="0"/>
                <w:color w:val="auto"/>
                <w:kern w:val="0"/>
                <w:sz w:val="24"/>
                <w:highlight w:val="none"/>
                <w:lang w:val="en-US" w:eastAsia="zh-CN"/>
              </w:rPr>
              <w:t>。</w:t>
            </w:r>
            <w:r>
              <w:rPr>
                <w:rFonts w:hint="eastAsia"/>
                <w:color w:val="auto"/>
                <w:sz w:val="24"/>
                <w:highlight w:val="none"/>
                <w:lang w:val="en-US" w:eastAsia="zh-CN"/>
              </w:rPr>
              <w:t>产生系数按照0.8计，则生活污水产生量为2.88</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rFonts w:hint="eastAsia"/>
                <w:color w:val="auto"/>
                <w:sz w:val="24"/>
                <w:highlight w:val="none"/>
                <w:lang w:val="en-US" w:eastAsia="zh-CN"/>
              </w:rPr>
              <w:t>864</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rPr>
              <w:t>a）</w:t>
            </w:r>
            <w:r>
              <w:rPr>
                <w:rFonts w:hint="eastAsia"/>
                <w:color w:val="auto"/>
                <w:sz w:val="24"/>
                <w:highlight w:val="none"/>
                <w:lang w:val="en-US" w:eastAsia="zh-CN"/>
              </w:rPr>
              <w:t>。</w:t>
            </w:r>
          </w:p>
          <w:p w14:paraId="2CA57174">
            <w:pPr>
              <w:keepNext w:val="0"/>
              <w:keepLines w:val="0"/>
              <w:pageBreakBefore w:val="0"/>
              <w:widowControl/>
              <w:shd w:val="clea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color w:val="auto"/>
                <w:highlight w:val="none"/>
                <w:u w:val="none"/>
                <w:lang w:val="en-US" w:eastAsia="zh-CN"/>
              </w:rPr>
            </w:pPr>
            <w:r>
              <w:rPr>
                <w:rFonts w:hint="eastAsia"/>
                <w:color w:val="auto"/>
                <w:highlight w:val="none"/>
                <w:u w:val="none"/>
                <w:lang w:val="en-US" w:eastAsia="zh-CN"/>
              </w:rPr>
              <w:t>项目用排水情况见表2-6，水平衡图见图2-1。</w:t>
            </w:r>
          </w:p>
          <w:p w14:paraId="038FD4FA">
            <w:pPr>
              <w:pStyle w:val="58"/>
              <w:bidi w:val="0"/>
              <w:rPr>
                <w:rFonts w:hint="default"/>
                <w:color w:val="auto"/>
                <w:highlight w:val="none"/>
                <w:u w:val="none"/>
                <w:lang w:eastAsia="zh-CN"/>
              </w:rPr>
            </w:pPr>
            <w:r>
              <w:rPr>
                <w:rFonts w:hint="default"/>
                <w:color w:val="auto"/>
                <w:highlight w:val="none"/>
                <w:u w:val="none"/>
                <w:lang w:eastAsia="zh-CN"/>
              </w:rPr>
              <w:t>表</w:t>
            </w:r>
            <w:r>
              <w:rPr>
                <w:rFonts w:hint="eastAsia"/>
                <w:color w:val="auto"/>
                <w:highlight w:val="none"/>
                <w:u w:val="none"/>
                <w:lang w:val="en-US" w:eastAsia="zh-CN"/>
              </w:rPr>
              <w:t xml:space="preserve">2-6    </w:t>
            </w:r>
            <w:r>
              <w:rPr>
                <w:rFonts w:hint="default"/>
                <w:color w:val="auto"/>
                <w:highlight w:val="none"/>
                <w:u w:val="none"/>
                <w:lang w:eastAsia="zh-CN"/>
              </w:rPr>
              <w:t xml:space="preserve"> 项目用排水量一览表</w:t>
            </w:r>
            <w:r>
              <w:rPr>
                <w:rFonts w:hint="eastAsia"/>
                <w:b/>
                <w:bCs/>
                <w:color w:val="auto"/>
                <w:sz w:val="21"/>
                <w:szCs w:val="21"/>
                <w:highlight w:val="none"/>
              </w:rPr>
              <w:t>（</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/d</w:t>
            </w:r>
            <w:r>
              <w:rPr>
                <w:rFonts w:hint="eastAsia"/>
                <w:b/>
                <w:bCs/>
                <w:color w:val="auto"/>
                <w:sz w:val="21"/>
                <w:szCs w:val="21"/>
                <w:highlight w:val="none"/>
              </w:rPr>
              <w:t>）</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603"/>
              <w:gridCol w:w="955"/>
              <w:gridCol w:w="1196"/>
              <w:gridCol w:w="1143"/>
              <w:gridCol w:w="926"/>
              <w:gridCol w:w="910"/>
              <w:gridCol w:w="958"/>
            </w:tblGrid>
            <w:tr w14:paraId="37616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noWrap w:val="0"/>
                  <w:vAlign w:val="center"/>
                </w:tcPr>
                <w:p w14:paraId="2C3231A5">
                  <w:pPr>
                    <w:pStyle w:val="53"/>
                    <w:bidi w:val="0"/>
                    <w:rPr>
                      <w:b/>
                      <w:bCs/>
                      <w:color w:val="auto"/>
                      <w:highlight w:val="none"/>
                    </w:rPr>
                  </w:pPr>
                  <w:r>
                    <w:rPr>
                      <w:b/>
                      <w:bCs/>
                      <w:color w:val="auto"/>
                      <w:highlight w:val="none"/>
                    </w:rPr>
                    <w:t>序号</w:t>
                  </w:r>
                </w:p>
              </w:tc>
              <w:tc>
                <w:tcPr>
                  <w:tcW w:w="1579" w:type="dxa"/>
                  <w:vMerge w:val="restart"/>
                  <w:tcBorders>
                    <w:tl2br w:val="nil"/>
                    <w:tr2bl w:val="nil"/>
                  </w:tcBorders>
                  <w:noWrap w:val="0"/>
                  <w:vAlign w:val="center"/>
                </w:tcPr>
                <w:p w14:paraId="276F5E66">
                  <w:pPr>
                    <w:pStyle w:val="53"/>
                    <w:bidi w:val="0"/>
                    <w:rPr>
                      <w:b/>
                      <w:bCs/>
                      <w:color w:val="auto"/>
                      <w:highlight w:val="none"/>
                    </w:rPr>
                  </w:pPr>
                  <w:r>
                    <w:rPr>
                      <w:b/>
                      <w:bCs/>
                      <w:color w:val="auto"/>
                      <w:highlight w:val="none"/>
                    </w:rPr>
                    <w:t>名称</w:t>
                  </w:r>
                </w:p>
              </w:tc>
              <w:tc>
                <w:tcPr>
                  <w:tcW w:w="3245" w:type="dxa"/>
                  <w:gridSpan w:val="3"/>
                  <w:tcBorders>
                    <w:tl2br w:val="nil"/>
                    <w:tr2bl w:val="nil"/>
                  </w:tcBorders>
                  <w:noWrap w:val="0"/>
                  <w:vAlign w:val="center"/>
                </w:tcPr>
                <w:p w14:paraId="3C3C9169">
                  <w:pPr>
                    <w:pStyle w:val="53"/>
                    <w:bidi w:val="0"/>
                    <w:rPr>
                      <w:b/>
                      <w:bCs/>
                      <w:color w:val="auto"/>
                      <w:highlight w:val="none"/>
                    </w:rPr>
                  </w:pPr>
                  <w:r>
                    <w:rPr>
                      <w:b/>
                      <w:bCs/>
                      <w:color w:val="auto"/>
                      <w:highlight w:val="none"/>
                    </w:rPr>
                    <w:t>用水量</w:t>
                  </w:r>
                </w:p>
              </w:tc>
              <w:tc>
                <w:tcPr>
                  <w:tcW w:w="912" w:type="dxa"/>
                  <w:vMerge w:val="restart"/>
                  <w:tcBorders>
                    <w:tl2br w:val="nil"/>
                    <w:tr2bl w:val="nil"/>
                  </w:tcBorders>
                  <w:noWrap w:val="0"/>
                  <w:vAlign w:val="center"/>
                </w:tcPr>
                <w:p w14:paraId="621E0918">
                  <w:pPr>
                    <w:pStyle w:val="53"/>
                    <w:bidi w:val="0"/>
                    <w:rPr>
                      <w:b/>
                      <w:bCs/>
                      <w:color w:val="auto"/>
                      <w:highlight w:val="none"/>
                    </w:rPr>
                  </w:pPr>
                  <w:r>
                    <w:rPr>
                      <w:b/>
                      <w:bCs/>
                      <w:color w:val="auto"/>
                      <w:highlight w:val="none"/>
                    </w:rPr>
                    <w:t>损耗量</w:t>
                  </w:r>
                </w:p>
              </w:tc>
              <w:tc>
                <w:tcPr>
                  <w:tcW w:w="897" w:type="dxa"/>
                  <w:vMerge w:val="restart"/>
                  <w:tcBorders>
                    <w:tl2br w:val="nil"/>
                    <w:tr2bl w:val="nil"/>
                  </w:tcBorders>
                  <w:noWrap w:val="0"/>
                  <w:vAlign w:val="center"/>
                </w:tcPr>
                <w:p w14:paraId="46ADFF7A">
                  <w:pPr>
                    <w:pStyle w:val="53"/>
                    <w:bidi w:val="0"/>
                    <w:rPr>
                      <w:b/>
                      <w:bCs/>
                      <w:color w:val="auto"/>
                      <w:highlight w:val="none"/>
                    </w:rPr>
                  </w:pPr>
                  <w:r>
                    <w:rPr>
                      <w:b/>
                      <w:bCs/>
                      <w:color w:val="auto"/>
                      <w:highlight w:val="none"/>
                    </w:rPr>
                    <w:t>产生量</w:t>
                  </w:r>
                </w:p>
              </w:tc>
              <w:tc>
                <w:tcPr>
                  <w:tcW w:w="944" w:type="dxa"/>
                  <w:vMerge w:val="restart"/>
                  <w:tcBorders>
                    <w:tl2br w:val="nil"/>
                    <w:tr2bl w:val="nil"/>
                  </w:tcBorders>
                  <w:noWrap w:val="0"/>
                  <w:vAlign w:val="center"/>
                </w:tcPr>
                <w:p w14:paraId="05E4E5A3">
                  <w:pPr>
                    <w:pStyle w:val="53"/>
                    <w:bidi w:val="0"/>
                    <w:rPr>
                      <w:b/>
                      <w:bCs/>
                      <w:color w:val="auto"/>
                      <w:highlight w:val="none"/>
                    </w:rPr>
                  </w:pPr>
                  <w:r>
                    <w:rPr>
                      <w:rFonts w:hint="eastAsia"/>
                      <w:b/>
                      <w:bCs/>
                      <w:color w:val="auto"/>
                      <w:highlight w:val="none"/>
                    </w:rPr>
                    <w:t>排放</w:t>
                  </w:r>
                  <w:r>
                    <w:rPr>
                      <w:b/>
                      <w:bCs/>
                      <w:color w:val="auto"/>
                      <w:highlight w:val="none"/>
                    </w:rPr>
                    <w:t>量</w:t>
                  </w:r>
                </w:p>
              </w:tc>
            </w:tr>
            <w:tr w14:paraId="24D5D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68" w:type="dxa"/>
                  <w:vMerge w:val="continue"/>
                  <w:tcBorders>
                    <w:tl2br w:val="nil"/>
                    <w:tr2bl w:val="nil"/>
                  </w:tcBorders>
                  <w:noWrap w:val="0"/>
                  <w:vAlign w:val="center"/>
                </w:tcPr>
                <w:p w14:paraId="298AF08C">
                  <w:pPr>
                    <w:pStyle w:val="53"/>
                    <w:bidi w:val="0"/>
                    <w:rPr>
                      <w:color w:val="auto"/>
                      <w:highlight w:val="none"/>
                    </w:rPr>
                  </w:pPr>
                </w:p>
              </w:tc>
              <w:tc>
                <w:tcPr>
                  <w:tcW w:w="1579" w:type="dxa"/>
                  <w:vMerge w:val="continue"/>
                  <w:tcBorders>
                    <w:tl2br w:val="nil"/>
                    <w:tr2bl w:val="nil"/>
                  </w:tcBorders>
                  <w:noWrap w:val="0"/>
                  <w:vAlign w:val="center"/>
                </w:tcPr>
                <w:p w14:paraId="33C604DC">
                  <w:pPr>
                    <w:pStyle w:val="53"/>
                    <w:bidi w:val="0"/>
                    <w:rPr>
                      <w:color w:val="auto"/>
                      <w:highlight w:val="none"/>
                    </w:rPr>
                  </w:pPr>
                </w:p>
              </w:tc>
              <w:tc>
                <w:tcPr>
                  <w:tcW w:w="941" w:type="dxa"/>
                  <w:tcBorders>
                    <w:tl2br w:val="nil"/>
                    <w:tr2bl w:val="nil"/>
                  </w:tcBorders>
                  <w:noWrap w:val="0"/>
                  <w:vAlign w:val="center"/>
                </w:tcPr>
                <w:p w14:paraId="0E79A071">
                  <w:pPr>
                    <w:pStyle w:val="53"/>
                    <w:bidi w:val="0"/>
                    <w:rPr>
                      <w:b/>
                      <w:bCs/>
                      <w:color w:val="auto"/>
                      <w:highlight w:val="none"/>
                    </w:rPr>
                  </w:pPr>
                  <w:r>
                    <w:rPr>
                      <w:b/>
                      <w:bCs/>
                      <w:color w:val="auto"/>
                      <w:highlight w:val="none"/>
                    </w:rPr>
                    <w:t>总用水</w:t>
                  </w:r>
                </w:p>
              </w:tc>
              <w:tc>
                <w:tcPr>
                  <w:tcW w:w="1178" w:type="dxa"/>
                  <w:tcBorders>
                    <w:tl2br w:val="nil"/>
                    <w:tr2bl w:val="nil"/>
                  </w:tcBorders>
                  <w:noWrap w:val="0"/>
                  <w:vAlign w:val="center"/>
                </w:tcPr>
                <w:p w14:paraId="2E644AB4">
                  <w:pPr>
                    <w:pStyle w:val="53"/>
                    <w:bidi w:val="0"/>
                    <w:rPr>
                      <w:b/>
                      <w:bCs/>
                      <w:color w:val="auto"/>
                      <w:highlight w:val="none"/>
                    </w:rPr>
                  </w:pPr>
                  <w:r>
                    <w:rPr>
                      <w:b/>
                      <w:bCs/>
                      <w:color w:val="auto"/>
                      <w:highlight w:val="none"/>
                    </w:rPr>
                    <w:t>新鲜水</w:t>
                  </w:r>
                </w:p>
              </w:tc>
              <w:tc>
                <w:tcPr>
                  <w:tcW w:w="1126" w:type="dxa"/>
                  <w:tcBorders>
                    <w:tl2br w:val="nil"/>
                    <w:tr2bl w:val="nil"/>
                  </w:tcBorders>
                  <w:noWrap w:val="0"/>
                  <w:vAlign w:val="center"/>
                </w:tcPr>
                <w:p w14:paraId="41DFA55A">
                  <w:pPr>
                    <w:pStyle w:val="53"/>
                    <w:bidi w:val="0"/>
                    <w:rPr>
                      <w:b/>
                      <w:bCs/>
                      <w:color w:val="auto"/>
                      <w:highlight w:val="none"/>
                    </w:rPr>
                  </w:pPr>
                  <w:r>
                    <w:rPr>
                      <w:b/>
                      <w:bCs/>
                      <w:color w:val="auto"/>
                      <w:highlight w:val="none"/>
                    </w:rPr>
                    <w:t>回用水</w:t>
                  </w:r>
                </w:p>
              </w:tc>
              <w:tc>
                <w:tcPr>
                  <w:tcW w:w="912" w:type="dxa"/>
                  <w:vMerge w:val="continue"/>
                  <w:tcBorders>
                    <w:tl2br w:val="nil"/>
                    <w:tr2bl w:val="nil"/>
                  </w:tcBorders>
                  <w:noWrap w:val="0"/>
                  <w:vAlign w:val="center"/>
                </w:tcPr>
                <w:p w14:paraId="298D7130">
                  <w:pPr>
                    <w:pStyle w:val="53"/>
                    <w:bidi w:val="0"/>
                    <w:rPr>
                      <w:color w:val="auto"/>
                      <w:highlight w:val="none"/>
                    </w:rPr>
                  </w:pPr>
                </w:p>
              </w:tc>
              <w:tc>
                <w:tcPr>
                  <w:tcW w:w="897" w:type="dxa"/>
                  <w:vMerge w:val="continue"/>
                  <w:tcBorders>
                    <w:tl2br w:val="nil"/>
                    <w:tr2bl w:val="nil"/>
                  </w:tcBorders>
                  <w:noWrap w:val="0"/>
                  <w:vAlign w:val="center"/>
                </w:tcPr>
                <w:p w14:paraId="1BF6A0D2">
                  <w:pPr>
                    <w:pStyle w:val="53"/>
                    <w:bidi w:val="0"/>
                    <w:rPr>
                      <w:rFonts w:hint="eastAsia"/>
                      <w:color w:val="auto"/>
                      <w:highlight w:val="none"/>
                    </w:rPr>
                  </w:pPr>
                </w:p>
              </w:tc>
              <w:tc>
                <w:tcPr>
                  <w:tcW w:w="944" w:type="dxa"/>
                  <w:vMerge w:val="continue"/>
                  <w:tcBorders>
                    <w:tl2br w:val="nil"/>
                    <w:tr2bl w:val="nil"/>
                  </w:tcBorders>
                  <w:noWrap w:val="0"/>
                  <w:vAlign w:val="center"/>
                </w:tcPr>
                <w:p w14:paraId="5FFE18E9">
                  <w:pPr>
                    <w:pStyle w:val="53"/>
                    <w:bidi w:val="0"/>
                    <w:rPr>
                      <w:rFonts w:hint="eastAsia"/>
                      <w:color w:val="auto"/>
                      <w:highlight w:val="none"/>
                    </w:rPr>
                  </w:pPr>
                </w:p>
              </w:tc>
            </w:tr>
            <w:tr w14:paraId="72417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68" w:type="dxa"/>
                  <w:tcBorders>
                    <w:tl2br w:val="nil"/>
                    <w:tr2bl w:val="nil"/>
                  </w:tcBorders>
                  <w:noWrap w:val="0"/>
                  <w:vAlign w:val="center"/>
                </w:tcPr>
                <w:p w14:paraId="173F2789">
                  <w:pPr>
                    <w:pStyle w:val="53"/>
                    <w:bidi w:val="0"/>
                    <w:rPr>
                      <w:color w:val="auto"/>
                      <w:highlight w:val="none"/>
                    </w:rPr>
                  </w:pPr>
                  <w:r>
                    <w:rPr>
                      <w:color w:val="auto"/>
                      <w:highlight w:val="none"/>
                    </w:rPr>
                    <w:t>1</w:t>
                  </w:r>
                </w:p>
              </w:tc>
              <w:tc>
                <w:tcPr>
                  <w:tcW w:w="1579" w:type="dxa"/>
                  <w:tcBorders>
                    <w:tl2br w:val="nil"/>
                    <w:tr2bl w:val="nil"/>
                  </w:tcBorders>
                  <w:noWrap w:val="0"/>
                  <w:vAlign w:val="center"/>
                </w:tcPr>
                <w:p w14:paraId="75E7BFB8">
                  <w:pPr>
                    <w:pStyle w:val="53"/>
                    <w:bidi w:val="0"/>
                    <w:rPr>
                      <w:rFonts w:hint="default" w:eastAsia="宋体"/>
                      <w:color w:val="auto"/>
                      <w:highlight w:val="none"/>
                      <w:lang w:val="en-US" w:eastAsia="zh-CN"/>
                    </w:rPr>
                  </w:pPr>
                  <w:r>
                    <w:rPr>
                      <w:rFonts w:hint="eastAsia"/>
                      <w:color w:val="auto"/>
                      <w:highlight w:val="none"/>
                      <w:lang w:val="en-US" w:eastAsia="zh-CN"/>
                    </w:rPr>
                    <w:t>办公生活用水</w:t>
                  </w:r>
                </w:p>
              </w:tc>
              <w:tc>
                <w:tcPr>
                  <w:tcW w:w="941" w:type="dxa"/>
                  <w:tcBorders>
                    <w:tl2br w:val="nil"/>
                    <w:tr2bl w:val="nil"/>
                  </w:tcBorders>
                  <w:noWrap w:val="0"/>
                  <w:vAlign w:val="center"/>
                </w:tcPr>
                <w:p w14:paraId="09A0D85A">
                  <w:pPr>
                    <w:pStyle w:val="53"/>
                    <w:bidi w:val="0"/>
                    <w:rPr>
                      <w:rFonts w:hint="default"/>
                      <w:color w:val="auto"/>
                      <w:highlight w:val="none"/>
                      <w:lang w:val="en-US" w:eastAsia="zh-CN"/>
                    </w:rPr>
                  </w:pPr>
                  <w:r>
                    <w:rPr>
                      <w:rFonts w:hint="eastAsia"/>
                      <w:color w:val="auto"/>
                      <w:highlight w:val="none"/>
                      <w:lang w:val="en-US" w:eastAsia="zh-CN"/>
                    </w:rPr>
                    <w:t>3.6</w:t>
                  </w:r>
                </w:p>
              </w:tc>
              <w:tc>
                <w:tcPr>
                  <w:tcW w:w="1178" w:type="dxa"/>
                  <w:tcBorders>
                    <w:tl2br w:val="nil"/>
                    <w:tr2bl w:val="nil"/>
                  </w:tcBorders>
                  <w:noWrap w:val="0"/>
                  <w:vAlign w:val="center"/>
                </w:tcPr>
                <w:p w14:paraId="06E2FC9E">
                  <w:pPr>
                    <w:pStyle w:val="53"/>
                    <w:bidi w:val="0"/>
                    <w:rPr>
                      <w:rFonts w:hint="default"/>
                      <w:color w:val="auto"/>
                      <w:highlight w:val="none"/>
                      <w:lang w:val="en-US" w:eastAsia="zh-CN"/>
                    </w:rPr>
                  </w:pPr>
                  <w:r>
                    <w:rPr>
                      <w:rFonts w:hint="eastAsia"/>
                      <w:color w:val="auto"/>
                      <w:highlight w:val="none"/>
                      <w:lang w:val="en-US" w:eastAsia="zh-CN"/>
                    </w:rPr>
                    <w:t>3.6</w:t>
                  </w:r>
                </w:p>
              </w:tc>
              <w:tc>
                <w:tcPr>
                  <w:tcW w:w="1126" w:type="dxa"/>
                  <w:tcBorders>
                    <w:tl2br w:val="nil"/>
                    <w:tr2bl w:val="nil"/>
                  </w:tcBorders>
                  <w:noWrap w:val="0"/>
                  <w:vAlign w:val="center"/>
                </w:tcPr>
                <w:p w14:paraId="63549F43">
                  <w:pPr>
                    <w:pStyle w:val="53"/>
                    <w:bidi w:val="0"/>
                    <w:rPr>
                      <w:rFonts w:hint="default"/>
                      <w:color w:val="auto"/>
                      <w:highlight w:val="none"/>
                      <w:lang w:val="en-US" w:eastAsia="zh-CN"/>
                    </w:rPr>
                  </w:pPr>
                  <w:r>
                    <w:rPr>
                      <w:rFonts w:hint="eastAsia"/>
                      <w:color w:val="auto"/>
                      <w:highlight w:val="none"/>
                      <w:lang w:val="en-US" w:eastAsia="zh-CN"/>
                    </w:rPr>
                    <w:t>0</w:t>
                  </w:r>
                </w:p>
              </w:tc>
              <w:tc>
                <w:tcPr>
                  <w:tcW w:w="912" w:type="dxa"/>
                  <w:tcBorders>
                    <w:tl2br w:val="nil"/>
                    <w:tr2bl w:val="nil"/>
                  </w:tcBorders>
                  <w:noWrap w:val="0"/>
                  <w:vAlign w:val="center"/>
                </w:tcPr>
                <w:p w14:paraId="50021AE2">
                  <w:pPr>
                    <w:pStyle w:val="53"/>
                    <w:bidi w:val="0"/>
                    <w:rPr>
                      <w:rFonts w:hint="default"/>
                      <w:color w:val="auto"/>
                      <w:highlight w:val="none"/>
                      <w:lang w:val="en-US" w:eastAsia="zh-CN"/>
                    </w:rPr>
                  </w:pPr>
                  <w:r>
                    <w:rPr>
                      <w:rFonts w:hint="eastAsia"/>
                      <w:color w:val="auto"/>
                      <w:highlight w:val="none"/>
                      <w:lang w:val="en-US" w:eastAsia="zh-CN"/>
                    </w:rPr>
                    <w:t>0.72</w:t>
                  </w:r>
                </w:p>
              </w:tc>
              <w:tc>
                <w:tcPr>
                  <w:tcW w:w="897" w:type="dxa"/>
                  <w:tcBorders>
                    <w:tl2br w:val="nil"/>
                    <w:tr2bl w:val="nil"/>
                  </w:tcBorders>
                  <w:noWrap w:val="0"/>
                  <w:vAlign w:val="center"/>
                </w:tcPr>
                <w:p w14:paraId="6EB8B4EC">
                  <w:pPr>
                    <w:pStyle w:val="53"/>
                    <w:bidi w:val="0"/>
                    <w:rPr>
                      <w:rFonts w:hint="default"/>
                      <w:color w:val="auto"/>
                      <w:highlight w:val="none"/>
                      <w:lang w:val="en-US" w:eastAsia="zh-CN"/>
                    </w:rPr>
                  </w:pPr>
                  <w:r>
                    <w:rPr>
                      <w:rFonts w:hint="eastAsia"/>
                      <w:color w:val="auto"/>
                      <w:highlight w:val="none"/>
                      <w:lang w:val="en-US" w:eastAsia="zh-CN"/>
                    </w:rPr>
                    <w:t>2.88</w:t>
                  </w:r>
                </w:p>
              </w:tc>
              <w:tc>
                <w:tcPr>
                  <w:tcW w:w="944" w:type="dxa"/>
                  <w:tcBorders>
                    <w:tl2br w:val="nil"/>
                    <w:tr2bl w:val="nil"/>
                  </w:tcBorders>
                  <w:shd w:val="clear" w:color="auto" w:fill="auto"/>
                  <w:noWrap w:val="0"/>
                  <w:vAlign w:val="center"/>
                </w:tcPr>
                <w:p w14:paraId="31A6ABDF">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2.88</w:t>
                  </w:r>
                </w:p>
              </w:tc>
            </w:tr>
            <w:tr w14:paraId="09D7A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68" w:type="dxa"/>
                  <w:tcBorders>
                    <w:tl2br w:val="nil"/>
                    <w:tr2bl w:val="nil"/>
                  </w:tcBorders>
                  <w:noWrap w:val="0"/>
                  <w:vAlign w:val="center"/>
                </w:tcPr>
                <w:p w14:paraId="370B68F4">
                  <w:pPr>
                    <w:pStyle w:val="53"/>
                    <w:bidi w:val="0"/>
                    <w:rPr>
                      <w:color w:val="auto"/>
                      <w:highlight w:val="none"/>
                    </w:rPr>
                  </w:pPr>
                  <w:r>
                    <w:rPr>
                      <w:color w:val="auto"/>
                      <w:highlight w:val="none"/>
                    </w:rPr>
                    <w:t>2</w:t>
                  </w:r>
                </w:p>
              </w:tc>
              <w:tc>
                <w:tcPr>
                  <w:tcW w:w="1579" w:type="dxa"/>
                  <w:tcBorders>
                    <w:tl2br w:val="nil"/>
                    <w:tr2bl w:val="nil"/>
                  </w:tcBorders>
                  <w:noWrap w:val="0"/>
                  <w:vAlign w:val="center"/>
                </w:tcPr>
                <w:p w14:paraId="72F60A06">
                  <w:pPr>
                    <w:pStyle w:val="53"/>
                    <w:bidi w:val="0"/>
                    <w:rPr>
                      <w:rFonts w:hint="default"/>
                      <w:color w:val="auto"/>
                      <w:highlight w:val="none"/>
                      <w:lang w:val="en-US" w:eastAsia="zh-CN"/>
                    </w:rPr>
                  </w:pPr>
                  <w:r>
                    <w:rPr>
                      <w:rFonts w:hint="eastAsia"/>
                      <w:color w:val="auto"/>
                      <w:highlight w:val="none"/>
                      <w:lang w:val="en-US" w:eastAsia="zh-CN"/>
                    </w:rPr>
                    <w:t>冷却用水</w:t>
                  </w:r>
                </w:p>
              </w:tc>
              <w:tc>
                <w:tcPr>
                  <w:tcW w:w="941" w:type="dxa"/>
                  <w:tcBorders>
                    <w:tl2br w:val="nil"/>
                    <w:tr2bl w:val="nil"/>
                  </w:tcBorders>
                  <w:noWrap w:val="0"/>
                  <w:vAlign w:val="center"/>
                </w:tcPr>
                <w:p w14:paraId="10DD8AF0">
                  <w:pPr>
                    <w:pStyle w:val="53"/>
                    <w:bidi w:val="0"/>
                    <w:rPr>
                      <w:rFonts w:hint="default"/>
                      <w:color w:val="auto"/>
                      <w:highlight w:val="none"/>
                      <w:lang w:val="en-US" w:eastAsia="zh-CN"/>
                    </w:rPr>
                  </w:pPr>
                  <w:r>
                    <w:rPr>
                      <w:rFonts w:hint="eastAsia"/>
                      <w:color w:val="auto"/>
                      <w:highlight w:val="none"/>
                      <w:lang w:val="en-US" w:eastAsia="zh-CN"/>
                    </w:rPr>
                    <w:t>15</w:t>
                  </w:r>
                </w:p>
              </w:tc>
              <w:tc>
                <w:tcPr>
                  <w:tcW w:w="1178" w:type="dxa"/>
                  <w:tcBorders>
                    <w:tl2br w:val="nil"/>
                    <w:tr2bl w:val="nil"/>
                  </w:tcBorders>
                  <w:noWrap w:val="0"/>
                  <w:vAlign w:val="center"/>
                </w:tcPr>
                <w:p w14:paraId="282B7C9A">
                  <w:pPr>
                    <w:pStyle w:val="53"/>
                    <w:bidi w:val="0"/>
                    <w:rPr>
                      <w:rFonts w:hint="default"/>
                      <w:color w:val="auto"/>
                      <w:highlight w:val="none"/>
                      <w:lang w:val="en-US" w:eastAsia="zh-CN"/>
                    </w:rPr>
                  </w:pPr>
                  <w:r>
                    <w:rPr>
                      <w:rFonts w:hint="eastAsia"/>
                      <w:color w:val="auto"/>
                      <w:highlight w:val="none"/>
                      <w:lang w:val="en-US" w:eastAsia="zh-CN"/>
                    </w:rPr>
                    <w:t>1.5</w:t>
                  </w:r>
                </w:p>
              </w:tc>
              <w:tc>
                <w:tcPr>
                  <w:tcW w:w="1126" w:type="dxa"/>
                  <w:tcBorders>
                    <w:tl2br w:val="nil"/>
                    <w:tr2bl w:val="nil"/>
                  </w:tcBorders>
                  <w:noWrap w:val="0"/>
                  <w:vAlign w:val="center"/>
                </w:tcPr>
                <w:p w14:paraId="727710E0">
                  <w:pPr>
                    <w:pStyle w:val="53"/>
                    <w:bidi w:val="0"/>
                    <w:rPr>
                      <w:rFonts w:hint="default"/>
                      <w:color w:val="auto"/>
                      <w:highlight w:val="none"/>
                      <w:lang w:val="en-US" w:eastAsia="zh-CN"/>
                    </w:rPr>
                  </w:pPr>
                  <w:r>
                    <w:rPr>
                      <w:rFonts w:hint="eastAsia"/>
                      <w:color w:val="auto"/>
                      <w:highlight w:val="none"/>
                      <w:lang w:val="en-US" w:eastAsia="zh-CN"/>
                    </w:rPr>
                    <w:t>13.5</w:t>
                  </w:r>
                </w:p>
              </w:tc>
              <w:tc>
                <w:tcPr>
                  <w:tcW w:w="912" w:type="dxa"/>
                  <w:tcBorders>
                    <w:tl2br w:val="nil"/>
                    <w:tr2bl w:val="nil"/>
                  </w:tcBorders>
                  <w:noWrap w:val="0"/>
                  <w:vAlign w:val="center"/>
                </w:tcPr>
                <w:p w14:paraId="6F3AD30F">
                  <w:pPr>
                    <w:pStyle w:val="53"/>
                    <w:bidi w:val="0"/>
                    <w:rPr>
                      <w:rFonts w:hint="default"/>
                      <w:color w:val="auto"/>
                      <w:highlight w:val="none"/>
                      <w:lang w:val="en-US" w:eastAsia="zh-CN"/>
                    </w:rPr>
                  </w:pPr>
                  <w:r>
                    <w:rPr>
                      <w:rFonts w:hint="eastAsia"/>
                      <w:color w:val="auto"/>
                      <w:highlight w:val="none"/>
                      <w:lang w:val="en-US" w:eastAsia="zh-CN"/>
                    </w:rPr>
                    <w:t>1.5</w:t>
                  </w:r>
                </w:p>
              </w:tc>
              <w:tc>
                <w:tcPr>
                  <w:tcW w:w="897" w:type="dxa"/>
                  <w:tcBorders>
                    <w:tl2br w:val="nil"/>
                    <w:tr2bl w:val="nil"/>
                  </w:tcBorders>
                  <w:noWrap w:val="0"/>
                  <w:vAlign w:val="center"/>
                </w:tcPr>
                <w:p w14:paraId="2613A216">
                  <w:pPr>
                    <w:pStyle w:val="53"/>
                    <w:bidi w:val="0"/>
                    <w:rPr>
                      <w:rFonts w:hint="default"/>
                      <w:color w:val="auto"/>
                      <w:highlight w:val="none"/>
                      <w:lang w:val="en-US" w:eastAsia="zh-CN"/>
                    </w:rPr>
                  </w:pPr>
                  <w:r>
                    <w:rPr>
                      <w:rFonts w:hint="eastAsia"/>
                      <w:color w:val="auto"/>
                      <w:highlight w:val="none"/>
                      <w:lang w:val="en-US" w:eastAsia="zh-CN"/>
                    </w:rPr>
                    <w:t>0</w:t>
                  </w:r>
                </w:p>
              </w:tc>
              <w:tc>
                <w:tcPr>
                  <w:tcW w:w="944" w:type="dxa"/>
                  <w:tcBorders>
                    <w:tl2br w:val="nil"/>
                    <w:tr2bl w:val="nil"/>
                  </w:tcBorders>
                  <w:noWrap w:val="0"/>
                  <w:vAlign w:val="center"/>
                </w:tcPr>
                <w:p w14:paraId="0D34C5BE">
                  <w:pPr>
                    <w:pStyle w:val="53"/>
                    <w:bidi w:val="0"/>
                    <w:rPr>
                      <w:rFonts w:hint="default"/>
                      <w:color w:val="auto"/>
                      <w:highlight w:val="none"/>
                      <w:lang w:val="en-US" w:eastAsia="zh-CN"/>
                    </w:rPr>
                  </w:pPr>
                  <w:r>
                    <w:rPr>
                      <w:rFonts w:hint="eastAsia"/>
                      <w:color w:val="auto"/>
                      <w:highlight w:val="none"/>
                      <w:lang w:val="en-US" w:eastAsia="zh-CN"/>
                    </w:rPr>
                    <w:t>0</w:t>
                  </w:r>
                </w:p>
              </w:tc>
            </w:tr>
            <w:tr w14:paraId="2BA7D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68" w:type="dxa"/>
                  <w:tcBorders>
                    <w:tl2br w:val="nil"/>
                    <w:tr2bl w:val="nil"/>
                  </w:tcBorders>
                  <w:noWrap w:val="0"/>
                  <w:vAlign w:val="center"/>
                </w:tcPr>
                <w:p w14:paraId="285E6E11">
                  <w:pPr>
                    <w:pStyle w:val="53"/>
                    <w:bidi w:val="0"/>
                    <w:rPr>
                      <w:color w:val="auto"/>
                      <w:highlight w:val="none"/>
                    </w:rPr>
                  </w:pPr>
                  <w:r>
                    <w:rPr>
                      <w:color w:val="auto"/>
                      <w:highlight w:val="none"/>
                    </w:rPr>
                    <w:t>3</w:t>
                  </w:r>
                </w:p>
              </w:tc>
              <w:tc>
                <w:tcPr>
                  <w:tcW w:w="1579" w:type="dxa"/>
                  <w:tcBorders>
                    <w:tl2br w:val="nil"/>
                    <w:tr2bl w:val="nil"/>
                  </w:tcBorders>
                  <w:noWrap w:val="0"/>
                  <w:vAlign w:val="center"/>
                </w:tcPr>
                <w:p w14:paraId="10166481">
                  <w:pPr>
                    <w:pStyle w:val="53"/>
                    <w:bidi w:val="0"/>
                    <w:rPr>
                      <w:rFonts w:hint="default"/>
                      <w:color w:val="auto"/>
                      <w:highlight w:val="none"/>
                      <w:lang w:val="en-US" w:eastAsia="zh-CN"/>
                    </w:rPr>
                  </w:pPr>
                  <w:r>
                    <w:rPr>
                      <w:rFonts w:hint="eastAsia"/>
                      <w:color w:val="auto"/>
                      <w:highlight w:val="none"/>
                      <w:lang w:val="en-US" w:eastAsia="zh-CN"/>
                    </w:rPr>
                    <w:t>脱模用水</w:t>
                  </w:r>
                </w:p>
              </w:tc>
              <w:tc>
                <w:tcPr>
                  <w:tcW w:w="941" w:type="dxa"/>
                  <w:tcBorders>
                    <w:tl2br w:val="nil"/>
                    <w:tr2bl w:val="nil"/>
                  </w:tcBorders>
                  <w:noWrap w:val="0"/>
                  <w:vAlign w:val="center"/>
                </w:tcPr>
                <w:p w14:paraId="7B5D4DB5">
                  <w:pPr>
                    <w:pStyle w:val="53"/>
                    <w:bidi w:val="0"/>
                    <w:rPr>
                      <w:rFonts w:hint="default"/>
                      <w:color w:val="auto"/>
                      <w:highlight w:val="none"/>
                      <w:lang w:val="en-US" w:eastAsia="zh-CN"/>
                    </w:rPr>
                  </w:pPr>
                  <w:r>
                    <w:rPr>
                      <w:rFonts w:hint="eastAsia"/>
                      <w:color w:val="auto"/>
                      <w:highlight w:val="none"/>
                      <w:lang w:val="en-US" w:eastAsia="zh-CN"/>
                    </w:rPr>
                    <w:t>10</w:t>
                  </w:r>
                </w:p>
              </w:tc>
              <w:tc>
                <w:tcPr>
                  <w:tcW w:w="1178" w:type="dxa"/>
                  <w:tcBorders>
                    <w:tl2br w:val="nil"/>
                    <w:tr2bl w:val="nil"/>
                  </w:tcBorders>
                  <w:noWrap w:val="0"/>
                  <w:vAlign w:val="center"/>
                </w:tcPr>
                <w:p w14:paraId="025D6B14">
                  <w:pPr>
                    <w:pStyle w:val="53"/>
                    <w:bidi w:val="0"/>
                    <w:rPr>
                      <w:rFonts w:hint="default"/>
                      <w:color w:val="auto"/>
                      <w:highlight w:val="none"/>
                      <w:lang w:val="en-US" w:eastAsia="zh-CN"/>
                    </w:rPr>
                  </w:pPr>
                  <w:r>
                    <w:rPr>
                      <w:rFonts w:hint="eastAsia"/>
                      <w:color w:val="auto"/>
                      <w:highlight w:val="none"/>
                      <w:lang w:val="en-US" w:eastAsia="zh-CN"/>
                    </w:rPr>
                    <w:t>1</w:t>
                  </w:r>
                </w:p>
              </w:tc>
              <w:tc>
                <w:tcPr>
                  <w:tcW w:w="1126" w:type="dxa"/>
                  <w:tcBorders>
                    <w:tl2br w:val="nil"/>
                    <w:tr2bl w:val="nil"/>
                  </w:tcBorders>
                  <w:noWrap w:val="0"/>
                  <w:vAlign w:val="center"/>
                </w:tcPr>
                <w:p w14:paraId="7B36CE0F">
                  <w:pPr>
                    <w:pStyle w:val="53"/>
                    <w:bidi w:val="0"/>
                    <w:rPr>
                      <w:rFonts w:hint="default"/>
                      <w:color w:val="auto"/>
                      <w:highlight w:val="none"/>
                      <w:lang w:val="en-US" w:eastAsia="zh-CN"/>
                    </w:rPr>
                  </w:pPr>
                  <w:r>
                    <w:rPr>
                      <w:rFonts w:hint="eastAsia"/>
                      <w:color w:val="auto"/>
                      <w:highlight w:val="none"/>
                      <w:lang w:val="en-US" w:eastAsia="zh-CN"/>
                    </w:rPr>
                    <w:t>9</w:t>
                  </w:r>
                </w:p>
              </w:tc>
              <w:tc>
                <w:tcPr>
                  <w:tcW w:w="912" w:type="dxa"/>
                  <w:tcBorders>
                    <w:tl2br w:val="nil"/>
                    <w:tr2bl w:val="nil"/>
                  </w:tcBorders>
                  <w:noWrap w:val="0"/>
                  <w:vAlign w:val="center"/>
                </w:tcPr>
                <w:p w14:paraId="101F04F5">
                  <w:pPr>
                    <w:pStyle w:val="53"/>
                    <w:bidi w:val="0"/>
                    <w:rPr>
                      <w:rFonts w:hint="default"/>
                      <w:color w:val="auto"/>
                      <w:highlight w:val="none"/>
                      <w:lang w:val="en-US" w:eastAsia="zh-CN"/>
                    </w:rPr>
                  </w:pPr>
                  <w:r>
                    <w:rPr>
                      <w:rFonts w:hint="eastAsia"/>
                      <w:color w:val="auto"/>
                      <w:highlight w:val="none"/>
                      <w:lang w:val="en-US" w:eastAsia="zh-CN"/>
                    </w:rPr>
                    <w:t>1</w:t>
                  </w:r>
                </w:p>
              </w:tc>
              <w:tc>
                <w:tcPr>
                  <w:tcW w:w="897" w:type="dxa"/>
                  <w:tcBorders>
                    <w:tl2br w:val="nil"/>
                    <w:tr2bl w:val="nil"/>
                  </w:tcBorders>
                  <w:noWrap w:val="0"/>
                  <w:vAlign w:val="center"/>
                </w:tcPr>
                <w:p w14:paraId="478C0F71">
                  <w:pPr>
                    <w:pStyle w:val="53"/>
                    <w:bidi w:val="0"/>
                    <w:rPr>
                      <w:rFonts w:hint="default"/>
                      <w:color w:val="auto"/>
                      <w:highlight w:val="none"/>
                      <w:lang w:val="en-US" w:eastAsia="zh-CN"/>
                    </w:rPr>
                  </w:pPr>
                  <w:r>
                    <w:rPr>
                      <w:rFonts w:hint="eastAsia"/>
                      <w:color w:val="auto"/>
                      <w:highlight w:val="none"/>
                      <w:lang w:val="en-US" w:eastAsia="zh-CN"/>
                    </w:rPr>
                    <w:t>0</w:t>
                  </w:r>
                </w:p>
              </w:tc>
              <w:tc>
                <w:tcPr>
                  <w:tcW w:w="944" w:type="dxa"/>
                  <w:tcBorders>
                    <w:tl2br w:val="nil"/>
                    <w:tr2bl w:val="nil"/>
                  </w:tcBorders>
                  <w:noWrap w:val="0"/>
                  <w:vAlign w:val="center"/>
                </w:tcPr>
                <w:p w14:paraId="5717CF4F">
                  <w:pPr>
                    <w:pStyle w:val="53"/>
                    <w:bidi w:val="0"/>
                    <w:rPr>
                      <w:rFonts w:hint="default"/>
                      <w:color w:val="auto"/>
                      <w:highlight w:val="none"/>
                      <w:lang w:val="en-US" w:eastAsia="zh-CN"/>
                    </w:rPr>
                  </w:pPr>
                  <w:r>
                    <w:rPr>
                      <w:rFonts w:hint="eastAsia"/>
                      <w:color w:val="auto"/>
                      <w:highlight w:val="none"/>
                      <w:lang w:val="en-US" w:eastAsia="zh-CN"/>
                    </w:rPr>
                    <w:t>0</w:t>
                  </w:r>
                </w:p>
              </w:tc>
            </w:tr>
            <w:tr w14:paraId="12B47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247" w:type="dxa"/>
                  <w:gridSpan w:val="2"/>
                  <w:tcBorders>
                    <w:tl2br w:val="nil"/>
                    <w:tr2bl w:val="nil"/>
                  </w:tcBorders>
                  <w:noWrap w:val="0"/>
                  <w:vAlign w:val="center"/>
                </w:tcPr>
                <w:p w14:paraId="1580E981">
                  <w:pPr>
                    <w:pStyle w:val="53"/>
                    <w:bidi w:val="0"/>
                    <w:rPr>
                      <w:color w:val="auto"/>
                      <w:highlight w:val="none"/>
                    </w:rPr>
                  </w:pPr>
                  <w:r>
                    <w:rPr>
                      <w:color w:val="auto"/>
                      <w:highlight w:val="none"/>
                    </w:rPr>
                    <w:t>总计</w:t>
                  </w:r>
                </w:p>
              </w:tc>
              <w:tc>
                <w:tcPr>
                  <w:tcW w:w="941" w:type="dxa"/>
                  <w:tcBorders>
                    <w:tl2br w:val="nil"/>
                    <w:tr2bl w:val="nil"/>
                  </w:tcBorders>
                  <w:noWrap w:val="0"/>
                  <w:vAlign w:val="center"/>
                </w:tcPr>
                <w:p w14:paraId="14E05455">
                  <w:pPr>
                    <w:pStyle w:val="53"/>
                    <w:bidi w:val="0"/>
                    <w:rPr>
                      <w:rFonts w:hint="default"/>
                      <w:color w:val="auto"/>
                      <w:highlight w:val="none"/>
                      <w:lang w:val="en-US" w:eastAsia="zh-CN"/>
                    </w:rPr>
                  </w:pPr>
                  <w:r>
                    <w:rPr>
                      <w:rFonts w:hint="eastAsia"/>
                      <w:color w:val="auto"/>
                      <w:highlight w:val="none"/>
                      <w:lang w:val="en-US" w:eastAsia="zh-CN"/>
                    </w:rPr>
                    <w:t>28.6</w:t>
                  </w:r>
                </w:p>
              </w:tc>
              <w:tc>
                <w:tcPr>
                  <w:tcW w:w="1178" w:type="dxa"/>
                  <w:tcBorders>
                    <w:tl2br w:val="nil"/>
                    <w:tr2bl w:val="nil"/>
                  </w:tcBorders>
                  <w:noWrap w:val="0"/>
                  <w:vAlign w:val="center"/>
                </w:tcPr>
                <w:p w14:paraId="43019B7E">
                  <w:pPr>
                    <w:pStyle w:val="53"/>
                    <w:bidi w:val="0"/>
                    <w:rPr>
                      <w:rFonts w:hint="default"/>
                      <w:color w:val="auto"/>
                      <w:highlight w:val="none"/>
                      <w:lang w:val="en-US" w:eastAsia="zh-CN"/>
                    </w:rPr>
                  </w:pPr>
                  <w:r>
                    <w:rPr>
                      <w:rFonts w:hint="eastAsia"/>
                      <w:color w:val="auto"/>
                      <w:highlight w:val="none"/>
                      <w:lang w:val="en-US" w:eastAsia="zh-CN"/>
                    </w:rPr>
                    <w:t>6.1</w:t>
                  </w:r>
                </w:p>
              </w:tc>
              <w:tc>
                <w:tcPr>
                  <w:tcW w:w="1126" w:type="dxa"/>
                  <w:tcBorders>
                    <w:tl2br w:val="nil"/>
                    <w:tr2bl w:val="nil"/>
                  </w:tcBorders>
                  <w:noWrap w:val="0"/>
                  <w:vAlign w:val="center"/>
                </w:tcPr>
                <w:p w14:paraId="6B691B74">
                  <w:pPr>
                    <w:pStyle w:val="53"/>
                    <w:bidi w:val="0"/>
                    <w:rPr>
                      <w:rFonts w:hint="default"/>
                      <w:color w:val="auto"/>
                      <w:highlight w:val="none"/>
                      <w:lang w:val="en-US" w:eastAsia="zh-CN"/>
                    </w:rPr>
                  </w:pPr>
                  <w:r>
                    <w:rPr>
                      <w:rFonts w:hint="eastAsia"/>
                      <w:color w:val="auto"/>
                      <w:highlight w:val="none"/>
                      <w:lang w:val="en-US" w:eastAsia="zh-CN"/>
                    </w:rPr>
                    <w:t>22.5</w:t>
                  </w:r>
                </w:p>
              </w:tc>
              <w:tc>
                <w:tcPr>
                  <w:tcW w:w="912" w:type="dxa"/>
                  <w:tcBorders>
                    <w:tl2br w:val="nil"/>
                    <w:tr2bl w:val="nil"/>
                  </w:tcBorders>
                  <w:noWrap w:val="0"/>
                  <w:vAlign w:val="center"/>
                </w:tcPr>
                <w:p w14:paraId="3C96F2FC">
                  <w:pPr>
                    <w:pStyle w:val="53"/>
                    <w:bidi w:val="0"/>
                    <w:rPr>
                      <w:rFonts w:hint="default"/>
                      <w:color w:val="auto"/>
                      <w:highlight w:val="none"/>
                      <w:lang w:val="en-US" w:eastAsia="zh-CN"/>
                    </w:rPr>
                  </w:pPr>
                  <w:r>
                    <w:rPr>
                      <w:rFonts w:hint="eastAsia"/>
                      <w:color w:val="auto"/>
                      <w:highlight w:val="none"/>
                      <w:lang w:val="en-US" w:eastAsia="zh-CN"/>
                    </w:rPr>
                    <w:t>3.22</w:t>
                  </w:r>
                </w:p>
              </w:tc>
              <w:tc>
                <w:tcPr>
                  <w:tcW w:w="897" w:type="dxa"/>
                  <w:tcBorders>
                    <w:tl2br w:val="nil"/>
                    <w:tr2bl w:val="nil"/>
                  </w:tcBorders>
                  <w:shd w:val="clear" w:color="auto" w:fill="auto"/>
                  <w:noWrap w:val="0"/>
                  <w:vAlign w:val="center"/>
                </w:tcPr>
                <w:p w14:paraId="4CEDB807">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2.88</w:t>
                  </w:r>
                </w:p>
              </w:tc>
              <w:tc>
                <w:tcPr>
                  <w:tcW w:w="944" w:type="dxa"/>
                  <w:tcBorders>
                    <w:tl2br w:val="nil"/>
                    <w:tr2bl w:val="nil"/>
                  </w:tcBorders>
                  <w:shd w:val="clear" w:color="auto" w:fill="auto"/>
                  <w:noWrap w:val="0"/>
                  <w:vAlign w:val="center"/>
                </w:tcPr>
                <w:p w14:paraId="64D583B7">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2.88</w:t>
                  </w:r>
                </w:p>
              </w:tc>
            </w:tr>
          </w:tbl>
          <w:p w14:paraId="7EADD191">
            <w:pPr>
              <w:pStyle w:val="53"/>
              <w:rPr>
                <w:color w:val="auto"/>
              </w:rPr>
            </w:pPr>
          </w:p>
          <w:p w14:paraId="4CAE3F30">
            <w:pPr>
              <w:pStyle w:val="53"/>
              <w:rPr>
                <w:rFonts w:hint="default"/>
                <w:color w:val="auto"/>
                <w:highlight w:val="none"/>
                <w:lang w:eastAsia="zh-CN"/>
              </w:rPr>
            </w:pPr>
            <w:r>
              <w:rPr>
                <w:color w:val="auto"/>
              </w:rPr>
              <w:drawing>
                <wp:inline distT="0" distB="0" distL="114300" distR="114300">
                  <wp:extent cx="5314315" cy="3070225"/>
                  <wp:effectExtent l="0" t="0" r="6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314315" cy="3070225"/>
                          </a:xfrm>
                          <a:prstGeom prst="rect">
                            <a:avLst/>
                          </a:prstGeom>
                          <a:noFill/>
                          <a:ln>
                            <a:noFill/>
                          </a:ln>
                        </pic:spPr>
                      </pic:pic>
                    </a:graphicData>
                  </a:graphic>
                </wp:inline>
              </w:drawing>
            </w:r>
          </w:p>
          <w:p w14:paraId="72411CDB">
            <w:pPr>
              <w:pStyle w:val="58"/>
              <w:bidi w:val="0"/>
              <w:rPr>
                <w:rFonts w:hint="eastAsia"/>
                <w:color w:val="auto"/>
                <w:highlight w:val="none"/>
                <w:lang w:val="en-US" w:eastAsia="zh-CN"/>
              </w:rPr>
            </w:pPr>
            <w:r>
              <w:rPr>
                <w:rFonts w:hint="default"/>
                <w:color w:val="auto"/>
                <w:highlight w:val="none"/>
              </w:rPr>
              <w:t>图</w:t>
            </w:r>
            <w:r>
              <w:rPr>
                <w:rFonts w:hint="eastAsia"/>
                <w:color w:val="auto"/>
                <w:highlight w:val="none"/>
                <w:lang w:val="en-US" w:eastAsia="zh-CN"/>
              </w:rPr>
              <w:t xml:space="preserve">2-1  </w:t>
            </w:r>
            <w:r>
              <w:rPr>
                <w:rFonts w:hint="default"/>
                <w:color w:val="auto"/>
                <w:highlight w:val="none"/>
              </w:rPr>
              <w:t xml:space="preserve">  项目水平衡图</w:t>
            </w:r>
            <w:r>
              <w:rPr>
                <w:rFonts w:hint="eastAsia"/>
                <w:color w:val="auto"/>
                <w:highlight w:val="none"/>
                <w:lang w:eastAsia="zh-CN"/>
              </w:rPr>
              <w:t>（</w:t>
            </w:r>
            <w:r>
              <w:rPr>
                <w:rFonts w:hint="eastAsia"/>
                <w:color w:val="auto"/>
                <w:highlight w:val="none"/>
                <w:lang w:val="en-US" w:eastAsia="zh-CN"/>
              </w:rPr>
              <w:t>单位：m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lang w:eastAsia="zh-CN"/>
              </w:rPr>
              <w:t>）</w:t>
            </w:r>
          </w:p>
          <w:p w14:paraId="47DBC45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rPr>
            </w:pPr>
            <w:r>
              <w:rPr>
                <w:rFonts w:hint="default"/>
                <w:color w:val="auto"/>
                <w:highlight w:val="none"/>
                <w:u w:val="none"/>
                <w:lang w:eastAsia="zh-CN"/>
              </w:rPr>
              <w:t>（</w:t>
            </w:r>
            <w:r>
              <w:rPr>
                <w:rFonts w:hint="eastAsia"/>
                <w:color w:val="auto"/>
                <w:highlight w:val="none"/>
                <w:u w:val="none"/>
                <w:lang w:val="en-US" w:eastAsia="zh-CN"/>
              </w:rPr>
              <w:t>2</w:t>
            </w:r>
            <w:r>
              <w:rPr>
                <w:rFonts w:hint="default"/>
                <w:color w:val="auto"/>
                <w:highlight w:val="none"/>
                <w:u w:val="none"/>
                <w:lang w:eastAsia="zh-CN"/>
              </w:rPr>
              <w:t>）</w:t>
            </w:r>
            <w:r>
              <w:rPr>
                <w:rFonts w:hint="default"/>
                <w:color w:val="auto"/>
                <w:highlight w:val="none"/>
                <w:u w:val="none"/>
              </w:rPr>
              <w:t>供电</w:t>
            </w:r>
          </w:p>
          <w:p w14:paraId="7C721526">
            <w:pPr>
              <w:bidi w:val="0"/>
              <w:rPr>
                <w:rFonts w:hint="default" w:eastAsia="宋体"/>
                <w:color w:val="auto"/>
                <w:highlight w:val="none"/>
                <w:lang w:val="en-US" w:eastAsia="zh-CN"/>
              </w:rPr>
            </w:pPr>
            <w:r>
              <w:rPr>
                <w:color w:val="auto"/>
                <w:highlight w:val="none"/>
              </w:rPr>
              <w:t>由</w:t>
            </w:r>
            <w:r>
              <w:rPr>
                <w:rFonts w:hint="eastAsia"/>
                <w:color w:val="auto"/>
                <w:highlight w:val="none"/>
                <w:lang w:val="en-US" w:eastAsia="zh-CN"/>
              </w:rPr>
              <w:t>蔡家坡经开区园区电网供电，新建箱式变压器一台。</w:t>
            </w:r>
          </w:p>
          <w:p w14:paraId="2BF9E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lang w:eastAsia="zh-CN"/>
              </w:rPr>
            </w:pPr>
            <w:r>
              <w:rPr>
                <w:rFonts w:hint="eastAsia"/>
                <w:color w:val="auto"/>
                <w:highlight w:val="none"/>
                <w:u w:val="none"/>
                <w:lang w:val="en-US" w:eastAsia="zh-CN"/>
              </w:rPr>
              <w:t>供气</w:t>
            </w:r>
          </w:p>
          <w:p w14:paraId="1DD19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default"/>
                <w:color w:val="auto"/>
                <w:highlight w:val="none"/>
                <w:u w:val="none"/>
                <w:lang w:val="en-US" w:eastAsia="zh-CN"/>
              </w:rPr>
            </w:pPr>
            <w:r>
              <w:rPr>
                <w:rFonts w:hint="eastAsia"/>
                <w:color w:val="auto"/>
                <w:highlight w:val="none"/>
                <w:u w:val="none"/>
                <w:lang w:val="en-US" w:eastAsia="zh-CN"/>
              </w:rPr>
              <w:t>本项目网袋式等温正火炉采用天然气</w:t>
            </w:r>
            <w:r>
              <w:rPr>
                <w:rFonts w:hint="eastAsia" w:ascii="Times New Roman" w:hAnsi="Times New Roman" w:eastAsia="宋体" w:cs="Times New Roman"/>
                <w:color w:val="auto"/>
                <w:sz w:val="24"/>
                <w:szCs w:val="24"/>
                <w:highlight w:val="none"/>
                <w:lang w:val="en-US" w:eastAsia="zh-CN"/>
              </w:rPr>
              <w:t>供热</w:t>
            </w:r>
            <w:r>
              <w:rPr>
                <w:rFonts w:hint="default" w:ascii="Times New Roman" w:hAnsi="Times New Roman" w:eastAsia="宋体" w:cs="Times New Roman"/>
                <w:color w:val="auto"/>
                <w:sz w:val="24"/>
                <w:szCs w:val="24"/>
                <w:highlight w:val="none"/>
                <w:lang w:eastAsia="zh-CN"/>
              </w:rPr>
              <w:t>，天然气由</w:t>
            </w:r>
            <w:r>
              <w:rPr>
                <w:rFonts w:hint="eastAsia" w:ascii="Times New Roman" w:hAnsi="Times New Roman" w:eastAsia="宋体" w:cs="Times New Roman"/>
                <w:color w:val="auto"/>
                <w:sz w:val="24"/>
                <w:szCs w:val="24"/>
                <w:highlight w:val="none"/>
                <w:lang w:val="en-US" w:eastAsia="zh-CN"/>
              </w:rPr>
              <w:t>市政</w:t>
            </w:r>
            <w:r>
              <w:rPr>
                <w:rFonts w:hint="default" w:ascii="Times New Roman" w:hAnsi="Times New Roman" w:eastAsia="宋体" w:cs="Times New Roman"/>
                <w:color w:val="auto"/>
                <w:sz w:val="24"/>
                <w:szCs w:val="24"/>
                <w:highlight w:val="none"/>
                <w:lang w:eastAsia="zh-CN"/>
              </w:rPr>
              <w:t>供气管网供给</w:t>
            </w:r>
            <w:r>
              <w:rPr>
                <w:rFonts w:hint="eastAsia" w:ascii="Times New Roman" w:hAnsi="Times New Roman" w:eastAsia="宋体" w:cs="Times New Roman"/>
                <w:color w:val="auto"/>
                <w:sz w:val="24"/>
                <w:szCs w:val="24"/>
                <w:highlight w:val="none"/>
                <w:lang w:eastAsia="zh-CN"/>
              </w:rPr>
              <w:t>。</w:t>
            </w:r>
          </w:p>
          <w:p w14:paraId="62D83AE7">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u w:val="none"/>
                <w:lang w:eastAsia="zh-CN"/>
              </w:rPr>
            </w:pPr>
            <w:r>
              <w:rPr>
                <w:rFonts w:hint="default"/>
                <w:color w:val="auto"/>
                <w:highlight w:val="none"/>
                <w:u w:val="none"/>
                <w:lang w:eastAsia="zh-CN"/>
              </w:rPr>
              <w:t>采暖</w:t>
            </w:r>
          </w:p>
          <w:p w14:paraId="420964EF">
            <w:pPr>
              <w:bidi w:val="0"/>
              <w:rPr>
                <w:rFonts w:hint="default"/>
                <w:color w:val="auto"/>
                <w:highlight w:val="none"/>
                <w:lang w:val="en-US" w:eastAsia="zh-CN"/>
              </w:rPr>
            </w:pPr>
            <w:r>
              <w:rPr>
                <w:rFonts w:hint="eastAsia"/>
                <w:color w:val="auto"/>
                <w:highlight w:val="none"/>
                <w:lang w:val="en-US" w:eastAsia="zh-CN"/>
              </w:rPr>
              <w:t>项目采用分体式空调供暖。</w:t>
            </w:r>
          </w:p>
          <w:p w14:paraId="297D43D0">
            <w:pPr>
              <w:numPr>
                <w:ilvl w:val="0"/>
                <w:numId w:val="6"/>
              </w:numPr>
              <w:bidi w:val="0"/>
              <w:rPr>
                <w:rFonts w:hint="default"/>
                <w:b/>
                <w:bCs/>
                <w:color w:val="auto"/>
                <w:highlight w:val="none"/>
                <w:lang w:val="en-US" w:eastAsia="zh-CN"/>
              </w:rPr>
            </w:pPr>
            <w:r>
              <w:rPr>
                <w:rFonts w:hint="default"/>
                <w:b/>
                <w:bCs/>
                <w:color w:val="auto"/>
                <w:highlight w:val="none"/>
                <w:lang w:val="en-US" w:eastAsia="zh-CN"/>
              </w:rPr>
              <w:t>平面布局及合理性分析</w:t>
            </w:r>
          </w:p>
          <w:p w14:paraId="315F3395">
            <w:pPr>
              <w:keepNext/>
              <w:keepLines/>
              <w:wordWrap w:val="0"/>
              <w:adjustRightInd w:val="0"/>
              <w:snapToGrid w:val="0"/>
              <w:spacing w:line="360" w:lineRule="auto"/>
              <w:ind w:firstLine="480" w:firstLineChars="200"/>
              <w:jc w:val="left"/>
              <w:outlineLvl w:val="1"/>
              <w:rPr>
                <w:rFonts w:cs="宋体"/>
                <w:color w:val="auto"/>
                <w:sz w:val="24"/>
              </w:rPr>
            </w:pPr>
            <w:bookmarkStart w:id="3" w:name="_Toc3216"/>
            <w:r>
              <w:rPr>
                <w:rFonts w:cs="宋体"/>
                <w:color w:val="auto"/>
                <w:sz w:val="24"/>
              </w:rPr>
              <w:t>总平面布置原则：结合场地现状条件及其周边环境情况，合理布置</w:t>
            </w:r>
            <w:r>
              <w:rPr>
                <w:rFonts w:hint="eastAsia" w:cs="宋体"/>
                <w:color w:val="auto"/>
                <w:sz w:val="24"/>
                <w:lang w:eastAsia="zh-CN"/>
              </w:rPr>
              <w:t>建筑</w:t>
            </w:r>
            <w:r>
              <w:rPr>
                <w:rFonts w:cs="宋体"/>
                <w:color w:val="auto"/>
                <w:sz w:val="24"/>
              </w:rPr>
              <w:t>、构筑物，使工艺流程合理，人货流畅通；符合防火、安全、卫生等有关规范的要求。</w:t>
            </w:r>
            <w:bookmarkEnd w:id="3"/>
          </w:p>
          <w:p w14:paraId="0E1F5B6E">
            <w:pPr>
              <w:keepNext/>
              <w:keepLines/>
              <w:wordWrap w:val="0"/>
              <w:adjustRightInd w:val="0"/>
              <w:snapToGrid w:val="0"/>
              <w:spacing w:line="360" w:lineRule="auto"/>
              <w:ind w:firstLine="480" w:firstLineChars="200"/>
              <w:jc w:val="left"/>
              <w:outlineLvl w:val="1"/>
              <w:rPr>
                <w:rFonts w:hint="default" w:cs="宋体"/>
                <w:color w:val="auto"/>
                <w:sz w:val="24"/>
                <w:lang w:val="en-US" w:eastAsia="zh-CN"/>
              </w:rPr>
            </w:pPr>
            <w:r>
              <w:rPr>
                <w:rFonts w:cs="宋体"/>
                <w:color w:val="auto"/>
                <w:sz w:val="24"/>
              </w:rPr>
              <w:t>本项目</w:t>
            </w:r>
            <w:r>
              <w:rPr>
                <w:rFonts w:hint="eastAsia" w:cs="宋体"/>
                <w:color w:val="auto"/>
                <w:sz w:val="24"/>
              </w:rPr>
              <w:t>依托</w:t>
            </w:r>
            <w:r>
              <w:rPr>
                <w:rFonts w:cs="宋体"/>
                <w:color w:val="auto"/>
                <w:sz w:val="24"/>
              </w:rPr>
              <w:t>陕西省蔡家坡经开区南环路百万平方米标</w:t>
            </w:r>
            <w:r>
              <w:rPr>
                <w:rFonts w:hint="eastAsia" w:cs="宋体"/>
                <w:color w:val="auto"/>
                <w:sz w:val="24"/>
              </w:rPr>
              <w:t>准</w:t>
            </w:r>
            <w:r>
              <w:rPr>
                <w:rFonts w:cs="宋体"/>
                <w:color w:val="auto"/>
                <w:sz w:val="24"/>
              </w:rPr>
              <w:t>化厂房。项目布置严格遵循安全、卫生等有关规定，功能分区明确合理。项目平面布置基本合理</w:t>
            </w:r>
            <w:r>
              <w:rPr>
                <w:rFonts w:hint="eastAsia" w:cs="宋体"/>
                <w:color w:val="auto"/>
                <w:sz w:val="24"/>
                <w:lang w:eastAsia="zh-CN"/>
              </w:rPr>
              <w:t>。</w:t>
            </w:r>
          </w:p>
        </w:tc>
      </w:tr>
      <w:tr w14:paraId="342DD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4" w:hRule="atLeast"/>
          <w:jc w:val="center"/>
        </w:trPr>
        <w:tc>
          <w:tcPr>
            <w:tcW w:w="579" w:type="dxa"/>
            <w:noWrap w:val="0"/>
            <w:vAlign w:val="center"/>
          </w:tcPr>
          <w:p w14:paraId="78EE3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color w:val="auto"/>
                <w:highlight w:val="none"/>
              </w:rPr>
            </w:pPr>
          </w:p>
        </w:tc>
        <w:tc>
          <w:tcPr>
            <w:tcW w:w="8481" w:type="dxa"/>
            <w:vMerge w:val="continue"/>
            <w:noWrap w:val="0"/>
            <w:vAlign w:val="top"/>
          </w:tcPr>
          <w:p w14:paraId="2D77A9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highlight w:val="none"/>
                <w:lang w:val="en-US" w:eastAsia="zh-CN"/>
              </w:rPr>
            </w:pPr>
          </w:p>
        </w:tc>
      </w:tr>
      <w:tr w14:paraId="72D96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dxa"/>
            <w:noWrap w:val="0"/>
            <w:vAlign w:val="center"/>
          </w:tcPr>
          <w:p w14:paraId="1F97759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color w:val="auto"/>
                <w:highlight w:val="none"/>
              </w:rPr>
            </w:pPr>
            <w:r>
              <w:rPr>
                <w:rFonts w:hint="eastAsia"/>
                <w:color w:val="auto"/>
                <w:highlight w:val="none"/>
              </w:rPr>
              <w:t>工艺流程和产排污环节</w:t>
            </w:r>
          </w:p>
        </w:tc>
        <w:tc>
          <w:tcPr>
            <w:tcW w:w="8481" w:type="dxa"/>
            <w:noWrap w:val="0"/>
            <w:vAlign w:val="top"/>
          </w:tcPr>
          <w:p w14:paraId="47C2DD35">
            <w:pPr>
              <w:numPr>
                <w:ilvl w:val="0"/>
                <w:numId w:val="8"/>
              </w:numPr>
              <w:bidi w:val="0"/>
              <w:rPr>
                <w:rFonts w:hint="eastAsia"/>
                <w:color w:val="auto"/>
                <w:highlight w:val="none"/>
                <w:lang w:val="en-US" w:eastAsia="zh-CN"/>
              </w:rPr>
            </w:pPr>
            <w:r>
              <w:rPr>
                <w:rFonts w:hint="eastAsia"/>
                <w:b/>
                <w:bCs/>
                <w:color w:val="auto"/>
                <w:highlight w:val="none"/>
                <w:lang w:val="en-US" w:eastAsia="zh-CN"/>
              </w:rPr>
              <w:t>施工期工艺流程及产污环节</w:t>
            </w:r>
          </w:p>
          <w:p w14:paraId="78DAD0B7">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本项目不涉及拆除工程</w:t>
            </w:r>
            <w:r>
              <w:rPr>
                <w:rFonts w:hint="eastAsia"/>
                <w:color w:val="auto"/>
                <w:sz w:val="24"/>
                <w:highlight w:val="none"/>
                <w:lang w:eastAsia="zh-CN"/>
              </w:rPr>
              <w:t>、</w:t>
            </w:r>
            <w:r>
              <w:rPr>
                <w:rFonts w:hint="eastAsia"/>
                <w:color w:val="auto"/>
                <w:sz w:val="24"/>
                <w:highlight w:val="none"/>
                <w:lang w:val="en-US" w:eastAsia="zh-CN"/>
              </w:rPr>
              <w:t>新建厂房</w:t>
            </w:r>
            <w:r>
              <w:rPr>
                <w:rFonts w:hint="eastAsia"/>
                <w:color w:val="auto"/>
                <w:sz w:val="24"/>
                <w:highlight w:val="none"/>
              </w:rPr>
              <w:t>等，</w:t>
            </w:r>
            <w:r>
              <w:rPr>
                <w:rFonts w:hint="eastAsia"/>
                <w:color w:val="auto"/>
                <w:sz w:val="24"/>
                <w:highlight w:val="none"/>
                <w:lang w:val="en-US" w:eastAsia="zh-CN"/>
              </w:rPr>
              <w:t>主要在现有厂房内安装调试生产线，</w:t>
            </w:r>
            <w:r>
              <w:rPr>
                <w:rFonts w:hint="eastAsia"/>
                <w:color w:val="auto"/>
                <w:sz w:val="24"/>
                <w:highlight w:val="none"/>
              </w:rPr>
              <w:t>施工期会产生机械噪声、扬尘、</w:t>
            </w:r>
            <w:r>
              <w:rPr>
                <w:rFonts w:hint="eastAsia"/>
                <w:color w:val="auto"/>
                <w:sz w:val="24"/>
                <w:highlight w:val="none"/>
                <w:lang w:eastAsia="zh-CN"/>
              </w:rPr>
              <w:t>生活污水</w:t>
            </w:r>
            <w:r>
              <w:rPr>
                <w:rFonts w:hint="eastAsia"/>
                <w:color w:val="auto"/>
                <w:sz w:val="24"/>
                <w:highlight w:val="none"/>
              </w:rPr>
              <w:t>及固体废物，其简单的施工流程及各阶段主要污染物产生情况见图</w:t>
            </w:r>
            <w:r>
              <w:rPr>
                <w:rFonts w:hint="default"/>
                <w:color w:val="auto"/>
                <w:sz w:val="24"/>
                <w:highlight w:val="none"/>
              </w:rPr>
              <w:t>2-2</w:t>
            </w:r>
            <w:r>
              <w:rPr>
                <w:rFonts w:hint="eastAsia"/>
                <w:color w:val="auto"/>
                <w:sz w:val="24"/>
                <w:highlight w:val="none"/>
              </w:rPr>
              <w:t>。</w:t>
            </w:r>
          </w:p>
          <w:p w14:paraId="45B41F8C">
            <w:pPr>
              <w:pStyle w:val="58"/>
              <w:bidi w:val="0"/>
              <w:jc w:val="both"/>
              <w:rPr>
                <w:rFonts w:hint="eastAsia"/>
                <w:color w:val="auto"/>
                <w:highlight w:val="none"/>
                <w:lang w:val="en-US" w:eastAsia="zh-CN"/>
              </w:rPr>
            </w:pPr>
            <w:r>
              <w:rPr>
                <w:rFonts w:hint="eastAsia"/>
                <w:color w:val="auto"/>
                <w:highlight w:val="none"/>
                <w:lang w:val="en-US" w:eastAsia="zh-CN"/>
              </w:rPr>
              <w:t xml:space="preserve">       </w:t>
            </w:r>
            <w:r>
              <w:rPr>
                <w:rFonts w:hint="eastAsia"/>
                <w:color w:val="auto"/>
                <w:highlight w:val="none"/>
                <w:lang w:val="en-US" w:eastAsia="zh-CN"/>
              </w:rPr>
              <w:object>
                <v:shape id="_x0000_i1025" o:spt="75" type="#_x0000_t75" style="height:74.85pt;width:249.05pt;" o:ole="t" filled="f" o:preferrelative="t" stroked="f" coordsize="21600,21600">
                  <v:path/>
                  <v:fill on="f" focussize="0,0"/>
                  <v:stroke on="f"/>
                  <v:imagedata r:id="rId16" cropleft="20192f" cropright="10857f" o:title=""/>
                  <o:lock v:ext="edit" aspectratio="f"/>
                  <w10:wrap type="none"/>
                  <w10:anchorlock/>
                </v:shape>
                <o:OLEObject Type="Embed" ProgID="Visio.Drawing.11" ShapeID="_x0000_i1025" DrawAspect="Content" ObjectID="_1468075725" r:id="rId15">
                  <o:LockedField>false</o:LockedField>
                </o:OLEObject>
              </w:object>
            </w:r>
          </w:p>
          <w:p w14:paraId="51D1A0E8">
            <w:pPr>
              <w:pStyle w:val="58"/>
              <w:bidi w:val="0"/>
              <w:rPr>
                <w:rFonts w:hint="eastAsia"/>
                <w:color w:val="auto"/>
                <w:highlight w:val="none"/>
                <w:lang w:val="en-US" w:eastAsia="zh-CN"/>
              </w:rPr>
            </w:pPr>
            <w:r>
              <w:rPr>
                <w:rFonts w:hint="eastAsia"/>
                <w:color w:val="auto"/>
                <w:highlight w:val="none"/>
                <w:lang w:val="en-US" w:eastAsia="zh-CN"/>
              </w:rPr>
              <w:t>图2-2     项目施工期工艺流程及产污环节图</w:t>
            </w:r>
          </w:p>
          <w:p w14:paraId="0780874C">
            <w:pPr>
              <w:numPr>
                <w:numId w:val="0"/>
              </w:numPr>
              <w:bidi w:val="0"/>
              <w:rPr>
                <w:rFonts w:hint="default"/>
                <w:b/>
                <w:bCs/>
                <w:color w:val="auto"/>
                <w:highlight w:val="none"/>
                <w:lang w:val="en-US" w:eastAsia="zh-CN"/>
              </w:rPr>
            </w:pPr>
          </w:p>
          <w:p w14:paraId="0A3A01AA">
            <w:pPr>
              <w:numPr>
                <w:ilvl w:val="0"/>
                <w:numId w:val="8"/>
              </w:numPr>
              <w:bidi w:val="0"/>
              <w:rPr>
                <w:rFonts w:hint="default"/>
                <w:b/>
                <w:bCs/>
                <w:color w:val="auto"/>
                <w:highlight w:val="none"/>
                <w:lang w:val="en-US" w:eastAsia="zh-CN"/>
              </w:rPr>
            </w:pPr>
            <w:r>
              <w:rPr>
                <w:rFonts w:hint="eastAsia"/>
                <w:b/>
                <w:bCs/>
                <w:color w:val="auto"/>
                <w:highlight w:val="none"/>
                <w:lang w:val="en-US" w:eastAsia="zh-CN"/>
              </w:rPr>
              <w:t>运行期工艺流程及产污环节</w:t>
            </w:r>
          </w:p>
          <w:p w14:paraId="7AF6B5FB">
            <w:pPr>
              <w:bidi w:val="0"/>
              <w:rPr>
                <w:rFonts w:hint="default"/>
                <w:color w:val="auto"/>
                <w:highlight w:val="none"/>
                <w:lang w:val="en-US" w:eastAsia="zh-CN"/>
              </w:rPr>
            </w:pPr>
            <w:r>
              <w:rPr>
                <w:rFonts w:hint="default"/>
                <w:color w:val="auto"/>
                <w:highlight w:val="none"/>
                <w:lang w:val="en-US" w:eastAsia="zh-CN"/>
              </w:rPr>
              <w:t>项目属于</w:t>
            </w:r>
            <w:r>
              <w:rPr>
                <w:rFonts w:hint="eastAsia" w:cs="Times New Roman"/>
                <w:color w:val="auto"/>
                <w:sz w:val="24"/>
                <w:szCs w:val="24"/>
                <w:highlight w:val="none"/>
                <w:lang w:val="en-US" w:eastAsia="zh-CN"/>
              </w:rPr>
              <w:t>汽车制造</w:t>
            </w:r>
            <w:r>
              <w:rPr>
                <w:rFonts w:hint="default"/>
                <w:color w:val="auto"/>
                <w:highlight w:val="none"/>
                <w:lang w:val="en-US" w:eastAsia="zh-CN"/>
              </w:rPr>
              <w:t>业，</w:t>
            </w:r>
            <w:r>
              <w:rPr>
                <w:rFonts w:hint="eastAsia"/>
                <w:color w:val="auto"/>
                <w:highlight w:val="none"/>
                <w:lang w:val="en-US" w:eastAsia="zh-CN"/>
              </w:rPr>
              <w:t>主要生产变速箱齿轮</w:t>
            </w:r>
            <w:r>
              <w:rPr>
                <w:rFonts w:hint="default"/>
                <w:color w:val="auto"/>
                <w:highlight w:val="none"/>
                <w:lang w:val="en-US" w:eastAsia="zh-CN"/>
              </w:rPr>
              <w:t>。</w:t>
            </w:r>
            <w:r>
              <w:rPr>
                <w:rFonts w:hint="eastAsia"/>
                <w:color w:val="auto"/>
                <w:highlight w:val="none"/>
                <w:lang w:val="en-US" w:eastAsia="zh-CN"/>
              </w:rPr>
              <w:t>产线工艺</w:t>
            </w:r>
            <w:r>
              <w:rPr>
                <w:rFonts w:hint="default"/>
                <w:color w:val="auto"/>
                <w:highlight w:val="none"/>
                <w:lang w:val="en-US" w:eastAsia="zh-CN"/>
              </w:rPr>
              <w:t>流程及产污环节见下图2-</w:t>
            </w:r>
            <w:r>
              <w:rPr>
                <w:rFonts w:hint="eastAsia"/>
                <w:color w:val="auto"/>
                <w:highlight w:val="none"/>
                <w:lang w:val="en-US" w:eastAsia="zh-CN"/>
              </w:rPr>
              <w:t>3</w:t>
            </w:r>
            <w:r>
              <w:rPr>
                <w:rFonts w:hint="default"/>
                <w:color w:val="auto"/>
                <w:highlight w:val="none"/>
                <w:lang w:val="en-US" w:eastAsia="zh-CN"/>
              </w:rPr>
              <w:t>。</w:t>
            </w:r>
          </w:p>
          <w:p w14:paraId="0B1B38A4">
            <w:pPr>
              <w:pStyle w:val="58"/>
              <w:bidi w:val="0"/>
              <w:rPr>
                <w:rFonts w:hint="default"/>
                <w:color w:val="auto"/>
                <w:highlight w:val="none"/>
                <w:lang w:eastAsia="zh-CN"/>
              </w:rPr>
            </w:pPr>
            <w:r>
              <w:rPr>
                <w:rFonts w:hint="default"/>
                <w:color w:val="auto"/>
                <w:highlight w:val="none"/>
                <w:lang w:eastAsia="zh-CN"/>
              </w:rPr>
              <w:drawing>
                <wp:inline distT="0" distB="0" distL="114300" distR="114300">
                  <wp:extent cx="5323205" cy="1400810"/>
                  <wp:effectExtent l="0" t="0" r="10795" b="889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7"/>
                          <a:stretch>
                            <a:fillRect/>
                          </a:stretch>
                        </pic:blipFill>
                        <pic:spPr>
                          <a:xfrm>
                            <a:off x="0" y="0"/>
                            <a:ext cx="5323205" cy="1400810"/>
                          </a:xfrm>
                          <a:prstGeom prst="rect">
                            <a:avLst/>
                          </a:prstGeom>
                        </pic:spPr>
                      </pic:pic>
                    </a:graphicData>
                  </a:graphic>
                </wp:inline>
              </w:drawing>
            </w:r>
          </w:p>
          <w:p w14:paraId="5E267C39">
            <w:pPr>
              <w:pStyle w:val="58"/>
              <w:bidi w:val="0"/>
              <w:rPr>
                <w:rFonts w:hint="eastAsia"/>
                <w:color w:val="auto"/>
                <w:highlight w:val="none"/>
              </w:rPr>
            </w:pPr>
            <w:r>
              <w:rPr>
                <w:rFonts w:hint="eastAsia"/>
                <w:color w:val="auto"/>
                <w:highlight w:val="none"/>
              </w:rPr>
              <w:t>图</w:t>
            </w:r>
            <w:r>
              <w:rPr>
                <w:rFonts w:hint="eastAsia"/>
                <w:color w:val="auto"/>
                <w:highlight w:val="none"/>
                <w:lang w:val="en-US" w:eastAsia="zh-CN"/>
              </w:rPr>
              <w:t>2-3</w:t>
            </w:r>
            <w:r>
              <w:rPr>
                <w:rFonts w:hint="eastAsia"/>
                <w:color w:val="auto"/>
                <w:highlight w:val="none"/>
              </w:rPr>
              <w:t xml:space="preserve">    项目</w:t>
            </w:r>
            <w:r>
              <w:rPr>
                <w:rFonts w:hint="eastAsia"/>
                <w:color w:val="auto"/>
                <w:highlight w:val="none"/>
                <w:lang w:val="en-US" w:eastAsia="zh-CN"/>
              </w:rPr>
              <w:t>运行期</w:t>
            </w:r>
            <w:r>
              <w:rPr>
                <w:rFonts w:hint="eastAsia"/>
                <w:color w:val="auto"/>
                <w:highlight w:val="none"/>
              </w:rPr>
              <w:t>工艺流程及产污环节图</w:t>
            </w:r>
          </w:p>
          <w:p w14:paraId="4917A45E">
            <w:pPr>
              <w:bidi w:val="0"/>
              <w:rPr>
                <w:rFonts w:hint="default"/>
                <w:color w:val="auto"/>
                <w:highlight w:val="none"/>
                <w:lang w:val="en-US" w:eastAsia="zh-CN"/>
              </w:rPr>
            </w:pPr>
            <w:r>
              <w:rPr>
                <w:rFonts w:hint="eastAsia"/>
                <w:color w:val="auto"/>
                <w:highlight w:val="none"/>
                <w:lang w:val="en-US" w:eastAsia="zh-CN"/>
              </w:rPr>
              <w:t>①切割：本项目生产线采用20CrMnTiH、20CrMnTiH3、8620RH等钢棒材作为原材料，根据拟加工的尺寸要求，采用高速圆锯机对原材料进行冷切割，确保产品下料重量，此过程会产生少量切割下脚料和噪声。</w:t>
            </w:r>
          </w:p>
          <w:p w14:paraId="715FDA6B">
            <w:pPr>
              <w:bidi w:val="0"/>
              <w:rPr>
                <w:rFonts w:hint="default"/>
                <w:color w:val="auto"/>
                <w:highlight w:val="none"/>
                <w:lang w:val="en-US" w:eastAsia="zh-CN"/>
              </w:rPr>
            </w:pPr>
            <w:r>
              <w:rPr>
                <w:rFonts w:hint="eastAsia"/>
                <w:color w:val="auto"/>
                <w:highlight w:val="none"/>
                <w:lang w:val="en-US" w:eastAsia="zh-CN"/>
              </w:rPr>
              <w:t>②加热：购置先进KGPS800KW中频感应加热炉对料段进行加热，锯切好的料段整筐放入翻料机中，启动翻料程序后，料段经由自动化推板上料机构上料，中频加热，滑道送料后进入下一区域。</w:t>
            </w:r>
          </w:p>
          <w:p w14:paraId="5B611C21">
            <w:pPr>
              <w:bidi w:val="0"/>
              <w:rPr>
                <w:rFonts w:hint="eastAsia"/>
                <w:color w:val="auto"/>
                <w:highlight w:val="none"/>
                <w:lang w:val="en-US" w:eastAsia="zh-CN"/>
              </w:rPr>
            </w:pPr>
            <w:r>
              <w:rPr>
                <w:rFonts w:hint="eastAsia"/>
                <w:color w:val="auto"/>
                <w:highlight w:val="none"/>
                <w:lang w:val="en-US" w:eastAsia="zh-CN"/>
              </w:rPr>
              <w:t>③锻造：锻造采用JFP2500五工位热模锻压力机</w:t>
            </w:r>
            <w:r>
              <w:rPr>
                <w:rFonts w:hint="eastAsia"/>
                <w:color w:val="auto"/>
                <w:highlight w:val="none"/>
                <w:lang w:val="en-US" w:eastAsia="zh-CN"/>
              </w:rPr>
              <w:t>配套步进梁进行自动化生产，</w:t>
            </w:r>
            <w:r>
              <w:rPr>
                <w:rFonts w:ascii="Segoe UI" w:hAnsi="Segoe UI" w:eastAsia="Segoe UI" w:cs="Segoe UI"/>
                <w:i w:val="0"/>
                <w:iCs w:val="0"/>
                <w:caps w:val="0"/>
                <w:color w:val="auto"/>
                <w:spacing w:val="0"/>
                <w:sz w:val="24"/>
                <w:szCs w:val="24"/>
                <w:highlight w:val="none"/>
                <w:shd w:val="clear" w:fill="FFFFFF"/>
              </w:rPr>
              <w:t>热坯经五工位全自动闭式模锻（镦粗→预成型→成型→冲连皮→切边整形）后由传送带输出；模具喷淋脱模剂并同步冷却</w:t>
            </w:r>
            <w:r>
              <w:rPr>
                <w:rFonts w:hint="eastAsia" w:ascii="Segoe UI" w:hAnsi="Segoe UI" w:eastAsia="宋体" w:cs="Segoe UI"/>
                <w:i w:val="0"/>
                <w:iCs w:val="0"/>
                <w:caps w:val="0"/>
                <w:color w:val="auto"/>
                <w:spacing w:val="0"/>
                <w:sz w:val="24"/>
                <w:szCs w:val="24"/>
                <w:highlight w:val="none"/>
                <w:shd w:val="clear" w:fill="FFFFFF"/>
                <w:lang w:eastAsia="zh-CN"/>
              </w:rPr>
              <w:t>，</w:t>
            </w:r>
            <w:r>
              <w:rPr>
                <w:rFonts w:ascii="Segoe UI" w:hAnsi="Segoe UI" w:eastAsia="Segoe UI" w:cs="Segoe UI"/>
                <w:i w:val="0"/>
                <w:iCs w:val="0"/>
                <w:caps w:val="0"/>
                <w:color w:val="auto"/>
                <w:spacing w:val="0"/>
                <w:sz w:val="24"/>
                <w:szCs w:val="24"/>
                <w:highlight w:val="none"/>
                <w:shd w:val="clear" w:fill="FFFFFF"/>
              </w:rPr>
              <w:t>采用间接冷却</w:t>
            </w:r>
            <w:r>
              <w:rPr>
                <w:rFonts w:hint="eastAsia" w:ascii="Segoe UI" w:hAnsi="Segoe UI" w:eastAsia="宋体" w:cs="Segoe UI"/>
                <w:i w:val="0"/>
                <w:iCs w:val="0"/>
                <w:caps w:val="0"/>
                <w:color w:val="auto"/>
                <w:spacing w:val="0"/>
                <w:sz w:val="24"/>
                <w:szCs w:val="24"/>
                <w:highlight w:val="none"/>
                <w:shd w:val="clear" w:fill="FFFFFF"/>
                <w:lang w:val="en-US" w:eastAsia="zh-CN"/>
              </w:rPr>
              <w:t>方式</w:t>
            </w:r>
            <w:r>
              <w:rPr>
                <w:rFonts w:hint="eastAsia"/>
                <w:color w:val="auto"/>
                <w:highlight w:val="none"/>
                <w:lang w:val="en-US" w:eastAsia="zh-CN"/>
              </w:rPr>
              <w:t>，冷却用水循环利用</w:t>
            </w:r>
            <w:r>
              <w:rPr>
                <w:rFonts w:ascii="Segoe UI" w:hAnsi="Segoe UI" w:eastAsia="Segoe UI" w:cs="Segoe UI"/>
                <w:i w:val="0"/>
                <w:iCs w:val="0"/>
                <w:caps w:val="0"/>
                <w:color w:val="auto"/>
                <w:spacing w:val="0"/>
                <w:sz w:val="24"/>
                <w:szCs w:val="24"/>
                <w:highlight w:val="none"/>
                <w:shd w:val="clear" w:fill="FFFFFF"/>
              </w:rPr>
              <w:t>。</w:t>
            </w:r>
            <w:r>
              <w:rPr>
                <w:rFonts w:hint="eastAsia"/>
                <w:color w:val="auto"/>
                <w:highlight w:val="none"/>
                <w:lang w:val="en-US" w:eastAsia="zh-CN"/>
              </w:rPr>
              <w:t>锻造过程会产生锻造废料、设备噪声以及含脱模剂的脱模用水。</w:t>
            </w:r>
          </w:p>
          <w:p w14:paraId="43F7ED14">
            <w:pPr>
              <w:bidi w:val="0"/>
              <w:rPr>
                <w:rFonts w:hint="default"/>
                <w:color w:val="auto"/>
                <w:highlight w:val="none"/>
                <w:lang w:val="en-US" w:eastAsia="zh-CN"/>
              </w:rPr>
            </w:pPr>
            <w:r>
              <w:rPr>
                <w:rFonts w:hint="eastAsia"/>
                <w:color w:val="auto"/>
                <w:highlight w:val="none"/>
                <w:lang w:val="en-US" w:eastAsia="zh-CN"/>
              </w:rPr>
              <w:t>④等温正火：等温正火是变速箱齿轮锻造后加热至 920～950℃奥氏体化，快冷至700～750℃，再于650～680℃等温，获得均匀组织，稳定硬度，改善切削性能并减小变形。此过程会产生热处理废气。</w:t>
            </w:r>
          </w:p>
          <w:p w14:paraId="6E05B8BC">
            <w:pPr>
              <w:bidi w:val="0"/>
              <w:rPr>
                <w:rFonts w:hint="default"/>
                <w:color w:val="auto"/>
                <w:highlight w:val="none"/>
                <w:lang w:val="en-US" w:eastAsia="zh-CN"/>
              </w:rPr>
            </w:pPr>
            <w:r>
              <w:rPr>
                <w:rFonts w:hint="eastAsia"/>
                <w:color w:val="auto"/>
                <w:highlight w:val="none"/>
                <w:lang w:val="en-US" w:eastAsia="zh-CN"/>
              </w:rPr>
              <w:t>⑤抛丸打磨：正火后的产品利用抛丸机可以除去锻件表面因正火加热产生的氧化皮，同时造成零件表面的晶格扭曲变形，使表面硬度增高，此过程会有抛丸粉尘产生。</w:t>
            </w:r>
          </w:p>
          <w:p w14:paraId="61205896">
            <w:pPr>
              <w:bidi w:val="0"/>
              <w:rPr>
                <w:rFonts w:hint="default"/>
                <w:color w:val="auto"/>
                <w:highlight w:val="none"/>
                <w:lang w:val="en-US" w:eastAsia="zh-CN"/>
              </w:rPr>
            </w:pPr>
            <w:r>
              <w:rPr>
                <w:rFonts w:hint="eastAsia"/>
                <w:color w:val="auto"/>
                <w:highlight w:val="none"/>
                <w:lang w:val="en-US" w:eastAsia="zh-CN"/>
              </w:rPr>
              <w:t>⑥检测分选工序：锻件利用荧光磁粉探伤机进行检验，对表面裂纹等缺陷品进行分选隔离，确保产品质量，并对产品涂水基防锈剂，会产生少量的废磁粉液。</w:t>
            </w:r>
          </w:p>
          <w:p w14:paraId="55B0ABDC">
            <w:pPr>
              <w:bidi w:val="0"/>
              <w:rPr>
                <w:rFonts w:hint="default"/>
                <w:color w:val="auto"/>
                <w:highlight w:val="none"/>
                <w:lang w:val="en-US" w:eastAsia="zh-CN"/>
              </w:rPr>
            </w:pPr>
            <w:r>
              <w:rPr>
                <w:rFonts w:hint="eastAsia"/>
                <w:color w:val="auto"/>
                <w:highlight w:val="none"/>
                <w:lang w:val="en-US" w:eastAsia="zh-CN"/>
              </w:rPr>
              <w:t>综上所述，生产线运行过程中产污环节如下：</w:t>
            </w:r>
          </w:p>
          <w:p w14:paraId="5CB76A97">
            <w:pPr>
              <w:bidi w:val="0"/>
              <w:rPr>
                <w:rFonts w:hint="eastAsia"/>
                <w:color w:val="auto"/>
                <w:highlight w:val="none"/>
                <w:lang w:val="en-US" w:eastAsia="zh-CN"/>
              </w:rPr>
            </w:pPr>
            <w:r>
              <w:rPr>
                <w:rFonts w:hint="eastAsia"/>
                <w:color w:val="auto"/>
                <w:highlight w:val="none"/>
                <w:lang w:val="en-US" w:eastAsia="zh-CN"/>
              </w:rPr>
              <w:t>废气：热处理废气和抛丸粉尘；</w:t>
            </w:r>
          </w:p>
          <w:p w14:paraId="38C36DCC">
            <w:pPr>
              <w:bidi w:val="0"/>
              <w:rPr>
                <w:rFonts w:hint="default"/>
                <w:color w:val="auto"/>
                <w:highlight w:val="none"/>
                <w:lang w:val="en-US" w:eastAsia="zh-CN"/>
              </w:rPr>
            </w:pPr>
            <w:r>
              <w:rPr>
                <w:rFonts w:hint="eastAsia"/>
                <w:color w:val="auto"/>
                <w:highlight w:val="none"/>
                <w:lang w:val="en-US" w:eastAsia="zh-CN"/>
              </w:rPr>
              <w:t>废水：炉体冷却用水以及脱模用水；</w:t>
            </w:r>
          </w:p>
          <w:p w14:paraId="76D74587">
            <w:pPr>
              <w:bidi w:val="0"/>
              <w:rPr>
                <w:rFonts w:hint="default"/>
                <w:color w:val="auto"/>
                <w:highlight w:val="none"/>
                <w:lang w:val="en-US" w:eastAsia="zh-CN"/>
              </w:rPr>
            </w:pPr>
            <w:r>
              <w:rPr>
                <w:rFonts w:hint="eastAsia"/>
                <w:color w:val="auto"/>
                <w:highlight w:val="none"/>
                <w:lang w:val="en-US" w:eastAsia="zh-CN"/>
              </w:rPr>
              <w:t>噪声：高速圆锯机、锻压机、抛丸机、风机等运行时的设备噪声；</w:t>
            </w:r>
          </w:p>
          <w:p w14:paraId="5D7B4BF0">
            <w:pPr>
              <w:bidi w:val="0"/>
              <w:rPr>
                <w:rFonts w:hint="eastAsia"/>
                <w:color w:val="auto"/>
                <w:highlight w:val="none"/>
                <w:lang w:eastAsia="zh-CN"/>
              </w:rPr>
            </w:pPr>
            <w:r>
              <w:rPr>
                <w:rFonts w:hint="eastAsia"/>
                <w:color w:val="auto"/>
                <w:highlight w:val="none"/>
                <w:lang w:val="en-US" w:eastAsia="zh-CN"/>
              </w:rPr>
              <w:t>固废：切割下脚料、锻造废料、废磁粉液以及设备维护产生的废润滑油、废液压油、废包装桶和废含油抹布</w:t>
            </w:r>
            <w:r>
              <w:rPr>
                <w:rFonts w:hint="eastAsia"/>
                <w:color w:val="auto"/>
                <w:highlight w:val="none"/>
                <w:lang w:eastAsia="zh-CN"/>
              </w:rPr>
              <w:t>。</w:t>
            </w:r>
          </w:p>
          <w:p w14:paraId="0CC85942">
            <w:pPr>
              <w:bidi w:val="0"/>
              <w:rPr>
                <w:rFonts w:hint="default"/>
                <w:color w:val="auto"/>
                <w:highlight w:val="none"/>
                <w:lang w:val="en-US" w:eastAsia="zh-CN"/>
              </w:rPr>
            </w:pPr>
            <w:r>
              <w:rPr>
                <w:rFonts w:hint="eastAsia"/>
                <w:color w:val="auto"/>
                <w:highlight w:val="none"/>
                <w:lang w:val="en-US" w:eastAsia="zh-CN"/>
              </w:rPr>
              <w:t>施工期和运行期</w:t>
            </w:r>
            <w:r>
              <w:rPr>
                <w:rFonts w:hint="default"/>
                <w:color w:val="auto"/>
                <w:highlight w:val="none"/>
                <w:lang w:val="en-US" w:eastAsia="zh-CN"/>
              </w:rPr>
              <w:t>产生的污染源与污染因子见下表2-</w:t>
            </w:r>
            <w:r>
              <w:rPr>
                <w:rFonts w:hint="eastAsia"/>
                <w:color w:val="auto"/>
                <w:highlight w:val="none"/>
                <w:lang w:val="en-US" w:eastAsia="zh-CN"/>
              </w:rPr>
              <w:t>7</w:t>
            </w:r>
            <w:r>
              <w:rPr>
                <w:rFonts w:hint="default"/>
                <w:color w:val="auto"/>
                <w:highlight w:val="none"/>
                <w:lang w:val="en-US" w:eastAsia="zh-CN"/>
              </w:rPr>
              <w:t>。</w:t>
            </w:r>
          </w:p>
          <w:p w14:paraId="793CA5C2">
            <w:pPr>
              <w:pStyle w:val="58"/>
              <w:bidi w:val="0"/>
              <w:rPr>
                <w:rFonts w:hint="default" w:ascii="Times New Roman" w:hAnsi="Times New Roman" w:eastAsia="宋体" w:cs="Times New Roman"/>
                <w:b/>
                <w:color w:val="auto"/>
                <w:kern w:val="2"/>
                <w:sz w:val="21"/>
                <w:szCs w:val="21"/>
                <w:highlight w:val="none"/>
                <w:lang w:eastAsia="zh-CN" w:bidi="ar"/>
              </w:rPr>
            </w:pPr>
            <w:r>
              <w:rPr>
                <w:rFonts w:hint="default" w:ascii="Times New Roman" w:hAnsi="Times New Roman" w:eastAsia="宋体" w:cs="Times New Roman"/>
                <w:b/>
                <w:color w:val="auto"/>
                <w:kern w:val="2"/>
                <w:sz w:val="21"/>
                <w:szCs w:val="21"/>
                <w:highlight w:val="none"/>
                <w:lang w:eastAsia="zh-CN" w:bidi="ar"/>
              </w:rPr>
              <w:t>表</w:t>
            </w:r>
            <w:r>
              <w:rPr>
                <w:rFonts w:hint="eastAsia" w:ascii="Times New Roman" w:eastAsia="宋体" w:cs="Times New Roman"/>
                <w:b/>
                <w:color w:val="auto"/>
                <w:kern w:val="2"/>
                <w:sz w:val="21"/>
                <w:szCs w:val="21"/>
                <w:highlight w:val="none"/>
                <w:lang w:val="en-US" w:eastAsia="zh-CN" w:bidi="ar"/>
              </w:rPr>
              <w:t>2-</w:t>
            </w:r>
            <w:r>
              <w:rPr>
                <w:rFonts w:hint="eastAsia" w:cs="Times New Roman"/>
                <w:b/>
                <w:color w:val="auto"/>
                <w:kern w:val="2"/>
                <w:sz w:val="21"/>
                <w:szCs w:val="21"/>
                <w:highlight w:val="none"/>
                <w:lang w:val="en-US" w:eastAsia="zh-CN" w:bidi="ar"/>
              </w:rPr>
              <w:t>7</w:t>
            </w:r>
            <w:r>
              <w:rPr>
                <w:rFonts w:hint="eastAsia" w:ascii="Times New Roman" w:eastAsia="宋体" w:cs="Times New Roman"/>
                <w:b/>
                <w:color w:val="auto"/>
                <w:kern w:val="2"/>
                <w:sz w:val="21"/>
                <w:szCs w:val="21"/>
                <w:highlight w:val="none"/>
                <w:lang w:val="en-US" w:eastAsia="zh-CN" w:bidi="ar"/>
              </w:rPr>
              <w:t xml:space="preserve"> </w:t>
            </w:r>
            <w:r>
              <w:rPr>
                <w:rFonts w:hint="default" w:ascii="Times New Roman" w:hAnsi="Times New Roman" w:eastAsia="宋体" w:cs="Times New Roman"/>
                <w:b/>
                <w:color w:val="auto"/>
                <w:kern w:val="2"/>
                <w:sz w:val="21"/>
                <w:szCs w:val="21"/>
                <w:highlight w:val="none"/>
                <w:lang w:eastAsia="zh-CN" w:bidi="ar"/>
              </w:rPr>
              <w:t xml:space="preserve">   主项目产污节点汇总表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879"/>
              <w:gridCol w:w="706"/>
              <w:gridCol w:w="1381"/>
              <w:gridCol w:w="3302"/>
              <w:gridCol w:w="2107"/>
            </w:tblGrid>
            <w:tr w14:paraId="30A1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noWrap w:val="0"/>
                  <w:vAlign w:val="center"/>
                </w:tcPr>
                <w:p w14:paraId="0F6D28BF">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b/>
                      <w:bCs/>
                      <w:color w:val="auto"/>
                      <w:highlight w:val="none"/>
                      <w:lang w:eastAsia="zh-CN"/>
                    </w:rPr>
                  </w:pPr>
                  <w:r>
                    <w:rPr>
                      <w:rFonts w:hint="eastAsia"/>
                      <w:b/>
                      <w:bCs/>
                      <w:color w:val="auto"/>
                      <w:highlight w:val="none"/>
                      <w:lang w:eastAsia="zh-CN"/>
                    </w:rPr>
                    <w:t>排放时段</w:t>
                  </w:r>
                </w:p>
              </w:tc>
              <w:tc>
                <w:tcPr>
                  <w:tcW w:w="421" w:type="pct"/>
                  <w:noWrap w:val="0"/>
                  <w:vAlign w:val="center"/>
                </w:tcPr>
                <w:p w14:paraId="4742ED72">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b/>
                      <w:bCs/>
                      <w:color w:val="auto"/>
                      <w:highlight w:val="none"/>
                    </w:rPr>
                  </w:pPr>
                  <w:r>
                    <w:rPr>
                      <w:rFonts w:hint="default"/>
                      <w:b/>
                      <w:bCs/>
                      <w:color w:val="auto"/>
                      <w:highlight w:val="none"/>
                    </w:rPr>
                    <w:t>污染类型</w:t>
                  </w:r>
                </w:p>
              </w:tc>
              <w:tc>
                <w:tcPr>
                  <w:tcW w:w="824" w:type="pct"/>
                  <w:noWrap w:val="0"/>
                  <w:vAlign w:val="center"/>
                </w:tcPr>
                <w:p w14:paraId="3F682200">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b/>
                      <w:bCs/>
                      <w:color w:val="auto"/>
                      <w:highlight w:val="none"/>
                    </w:rPr>
                  </w:pPr>
                  <w:r>
                    <w:rPr>
                      <w:rFonts w:hint="default"/>
                      <w:b/>
                      <w:bCs/>
                      <w:color w:val="auto"/>
                      <w:highlight w:val="none"/>
                    </w:rPr>
                    <w:t>产污环节</w:t>
                  </w:r>
                </w:p>
              </w:tc>
              <w:tc>
                <w:tcPr>
                  <w:tcW w:w="1970" w:type="pct"/>
                  <w:noWrap w:val="0"/>
                  <w:vAlign w:val="center"/>
                </w:tcPr>
                <w:p w14:paraId="2F243322">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b/>
                      <w:bCs/>
                      <w:color w:val="auto"/>
                      <w:highlight w:val="none"/>
                    </w:rPr>
                  </w:pPr>
                  <w:r>
                    <w:rPr>
                      <w:rFonts w:hint="default"/>
                      <w:b/>
                      <w:bCs/>
                      <w:color w:val="auto"/>
                      <w:highlight w:val="none"/>
                    </w:rPr>
                    <w:t>污染源名称</w:t>
                  </w:r>
                </w:p>
              </w:tc>
              <w:tc>
                <w:tcPr>
                  <w:tcW w:w="1257" w:type="pct"/>
                  <w:noWrap w:val="0"/>
                  <w:vAlign w:val="center"/>
                </w:tcPr>
                <w:p w14:paraId="2BB3A7FE">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b/>
                      <w:bCs/>
                      <w:color w:val="auto"/>
                      <w:highlight w:val="none"/>
                    </w:rPr>
                  </w:pPr>
                  <w:r>
                    <w:rPr>
                      <w:rFonts w:hint="default"/>
                      <w:b/>
                      <w:bCs/>
                      <w:color w:val="auto"/>
                      <w:highlight w:val="none"/>
                    </w:rPr>
                    <w:t>污染物种类</w:t>
                  </w:r>
                </w:p>
              </w:tc>
            </w:tr>
            <w:tr w14:paraId="7419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restart"/>
                  <w:noWrap w:val="0"/>
                  <w:vAlign w:val="center"/>
                </w:tcPr>
                <w:p w14:paraId="78DEAA79">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r>
                    <w:rPr>
                      <w:rFonts w:hint="eastAsia"/>
                      <w:color w:val="auto"/>
                      <w:highlight w:val="none"/>
                      <w:lang w:eastAsia="zh-CN"/>
                    </w:rPr>
                    <w:t>施工期</w:t>
                  </w:r>
                </w:p>
              </w:tc>
              <w:tc>
                <w:tcPr>
                  <w:tcW w:w="1245" w:type="pct"/>
                  <w:gridSpan w:val="2"/>
                  <w:vMerge w:val="restart"/>
                  <w:noWrap w:val="0"/>
                  <w:vAlign w:val="center"/>
                </w:tcPr>
                <w:p w14:paraId="5B26DFBF">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eastAsia"/>
                      <w:color w:val="auto"/>
                      <w:highlight w:val="none"/>
                      <w:lang w:eastAsia="zh-CN"/>
                    </w:rPr>
                    <w:t>施工废气</w:t>
                  </w:r>
                </w:p>
              </w:tc>
              <w:tc>
                <w:tcPr>
                  <w:tcW w:w="1970" w:type="pct"/>
                  <w:noWrap w:val="0"/>
                  <w:vAlign w:val="center"/>
                </w:tcPr>
                <w:p w14:paraId="2CDC298A">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场地清理</w:t>
                  </w:r>
                </w:p>
              </w:tc>
              <w:tc>
                <w:tcPr>
                  <w:tcW w:w="1257" w:type="pct"/>
                  <w:noWrap w:val="0"/>
                  <w:vAlign w:val="center"/>
                </w:tcPr>
                <w:p w14:paraId="5B332577">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TSP</w:t>
                  </w:r>
                </w:p>
              </w:tc>
            </w:tr>
            <w:tr w14:paraId="485E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2A23D5E1">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245" w:type="pct"/>
                  <w:gridSpan w:val="2"/>
                  <w:vMerge w:val="continue"/>
                  <w:noWrap w:val="0"/>
                  <w:vAlign w:val="center"/>
                </w:tcPr>
                <w:p w14:paraId="672F5CD1">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970" w:type="pct"/>
                  <w:noWrap w:val="0"/>
                  <w:vAlign w:val="center"/>
                </w:tcPr>
                <w:p w14:paraId="18DF1375">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施工机械尾气</w:t>
                  </w:r>
                </w:p>
              </w:tc>
              <w:tc>
                <w:tcPr>
                  <w:tcW w:w="1257" w:type="pct"/>
                  <w:noWrap w:val="0"/>
                  <w:vAlign w:val="center"/>
                </w:tcPr>
                <w:p w14:paraId="3B96B550">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vertAlign w:val="subscript"/>
                      <w:lang w:val="en-US" w:eastAsia="zh-CN"/>
                    </w:rPr>
                  </w:pPr>
                  <w:r>
                    <w:rPr>
                      <w:rFonts w:hint="eastAsia"/>
                      <w:color w:val="auto"/>
                      <w:highlight w:val="none"/>
                      <w:lang w:val="en-US" w:eastAsia="zh-CN"/>
                    </w:rPr>
                    <w:t>CO、NO</w:t>
                  </w:r>
                  <w:r>
                    <w:rPr>
                      <w:rFonts w:hint="eastAsia"/>
                      <w:color w:val="auto"/>
                      <w:highlight w:val="none"/>
                      <w:vertAlign w:val="subscript"/>
                      <w:lang w:val="en-US" w:eastAsia="zh-CN"/>
                    </w:rPr>
                    <w:t>x</w:t>
                  </w:r>
                </w:p>
              </w:tc>
            </w:tr>
            <w:tr w14:paraId="64B6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7BFC7FB5">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245" w:type="pct"/>
                  <w:gridSpan w:val="2"/>
                  <w:noWrap w:val="0"/>
                  <w:vAlign w:val="center"/>
                </w:tcPr>
                <w:p w14:paraId="4AD52982">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lang w:val="en-US"/>
                    </w:rPr>
                  </w:pPr>
                  <w:r>
                    <w:rPr>
                      <w:rFonts w:hint="eastAsia"/>
                      <w:color w:val="auto"/>
                      <w:highlight w:val="none"/>
                      <w:lang w:val="en-US" w:eastAsia="zh-CN"/>
                    </w:rPr>
                    <w:t>生活污水</w:t>
                  </w:r>
                </w:p>
              </w:tc>
              <w:tc>
                <w:tcPr>
                  <w:tcW w:w="1970" w:type="pct"/>
                  <w:noWrap w:val="0"/>
                  <w:vAlign w:val="center"/>
                </w:tcPr>
                <w:p w14:paraId="5D2182DF">
                  <w:pPr>
                    <w:pStyle w:val="53"/>
                    <w:bidi w:val="0"/>
                    <w:spacing w:line="240" w:lineRule="auto"/>
                    <w:rPr>
                      <w:rFonts w:hint="eastAsia"/>
                      <w:color w:val="auto"/>
                      <w:highlight w:val="none"/>
                      <w:lang w:eastAsia="zh-CN"/>
                    </w:rPr>
                  </w:pPr>
                  <w:r>
                    <w:rPr>
                      <w:rFonts w:hint="eastAsia"/>
                      <w:color w:val="auto"/>
                      <w:highlight w:val="none"/>
                      <w:lang w:eastAsia="zh-CN"/>
                    </w:rPr>
                    <w:t>施工人员</w:t>
                  </w:r>
                </w:p>
              </w:tc>
              <w:tc>
                <w:tcPr>
                  <w:tcW w:w="1257" w:type="pct"/>
                  <w:noWrap w:val="0"/>
                  <w:vAlign w:val="center"/>
                </w:tcPr>
                <w:p w14:paraId="25ECC618">
                  <w:pPr>
                    <w:pStyle w:val="53"/>
                    <w:bidi w:val="0"/>
                    <w:spacing w:line="240" w:lineRule="auto"/>
                    <w:rPr>
                      <w:rFonts w:hint="default"/>
                      <w:color w:val="auto"/>
                      <w:highlight w:val="none"/>
                    </w:rPr>
                  </w:pP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、COD、SS、氨氮</w:t>
                  </w:r>
                </w:p>
              </w:tc>
            </w:tr>
            <w:tr w14:paraId="279B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7D039D2C">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245" w:type="pct"/>
                  <w:gridSpan w:val="2"/>
                  <w:noWrap w:val="0"/>
                  <w:vAlign w:val="center"/>
                </w:tcPr>
                <w:p w14:paraId="6BA09175">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eastAsia"/>
                      <w:color w:val="auto"/>
                      <w:highlight w:val="none"/>
                      <w:lang w:eastAsia="zh-CN"/>
                    </w:rPr>
                    <w:t>噪声</w:t>
                  </w:r>
                </w:p>
              </w:tc>
              <w:tc>
                <w:tcPr>
                  <w:tcW w:w="1970" w:type="pct"/>
                  <w:noWrap w:val="0"/>
                  <w:vAlign w:val="center"/>
                </w:tcPr>
                <w:p w14:paraId="5DF5F50A">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施工设备</w:t>
                  </w:r>
                </w:p>
              </w:tc>
              <w:tc>
                <w:tcPr>
                  <w:tcW w:w="1257" w:type="pct"/>
                  <w:noWrap w:val="0"/>
                  <w:vAlign w:val="center"/>
                </w:tcPr>
                <w:p w14:paraId="1AF9933D">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r>
                    <w:rPr>
                      <w:rFonts w:hint="default"/>
                      <w:color w:val="auto"/>
                      <w:highlight w:val="none"/>
                    </w:rPr>
                    <w:t>等效A声级</w:t>
                  </w:r>
                </w:p>
              </w:tc>
            </w:tr>
            <w:tr w14:paraId="4C21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5E9E2010">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245" w:type="pct"/>
                  <w:gridSpan w:val="2"/>
                  <w:vMerge w:val="restart"/>
                  <w:noWrap w:val="0"/>
                  <w:vAlign w:val="center"/>
                </w:tcPr>
                <w:p w14:paraId="41F8AB60">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eastAsia"/>
                      <w:color w:val="auto"/>
                      <w:highlight w:val="none"/>
                      <w:lang w:eastAsia="zh-CN"/>
                    </w:rPr>
                    <w:t>固废</w:t>
                  </w:r>
                </w:p>
              </w:tc>
              <w:tc>
                <w:tcPr>
                  <w:tcW w:w="1970" w:type="pct"/>
                  <w:noWrap w:val="0"/>
                  <w:vAlign w:val="center"/>
                </w:tcPr>
                <w:p w14:paraId="3400DBD5">
                  <w:pPr>
                    <w:pStyle w:val="53"/>
                    <w:bidi w:val="0"/>
                    <w:spacing w:line="240" w:lineRule="auto"/>
                    <w:rPr>
                      <w:rFonts w:hint="eastAsia"/>
                      <w:color w:val="auto"/>
                      <w:highlight w:val="none"/>
                      <w:lang w:eastAsia="zh-CN"/>
                    </w:rPr>
                  </w:pPr>
                  <w:r>
                    <w:rPr>
                      <w:color w:val="auto"/>
                      <w:highlight w:val="none"/>
                    </w:rPr>
                    <w:t>设备拆包</w:t>
                  </w:r>
                </w:p>
              </w:tc>
              <w:tc>
                <w:tcPr>
                  <w:tcW w:w="1257" w:type="pct"/>
                  <w:noWrap w:val="0"/>
                  <w:vAlign w:val="center"/>
                </w:tcPr>
                <w:p w14:paraId="7AD74F9F">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r>
                    <w:rPr>
                      <w:color w:val="auto"/>
                      <w:highlight w:val="none"/>
                    </w:rPr>
                    <w:t>废包装材料</w:t>
                  </w:r>
                </w:p>
              </w:tc>
            </w:tr>
            <w:tr w14:paraId="7D74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620C0FD6">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245" w:type="pct"/>
                  <w:gridSpan w:val="2"/>
                  <w:vMerge w:val="continue"/>
                  <w:noWrap w:val="0"/>
                  <w:vAlign w:val="center"/>
                </w:tcPr>
                <w:p w14:paraId="43575479">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p>
              </w:tc>
              <w:tc>
                <w:tcPr>
                  <w:tcW w:w="1970" w:type="pct"/>
                  <w:noWrap w:val="0"/>
                  <w:vAlign w:val="center"/>
                </w:tcPr>
                <w:p w14:paraId="02934C46">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r>
                    <w:rPr>
                      <w:rFonts w:hint="eastAsia"/>
                      <w:color w:val="auto"/>
                      <w:highlight w:val="none"/>
                      <w:lang w:eastAsia="zh-CN"/>
                    </w:rPr>
                    <w:t>施工人员</w:t>
                  </w:r>
                </w:p>
              </w:tc>
              <w:tc>
                <w:tcPr>
                  <w:tcW w:w="1257" w:type="pct"/>
                  <w:noWrap w:val="0"/>
                  <w:vAlign w:val="center"/>
                </w:tcPr>
                <w:p w14:paraId="1E8B4377">
                  <w:pPr>
                    <w:pStyle w:val="5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highlight w:val="none"/>
                      <w:lang w:eastAsia="zh-CN"/>
                    </w:rPr>
                  </w:pPr>
                  <w:r>
                    <w:rPr>
                      <w:rFonts w:hint="eastAsia"/>
                      <w:color w:val="auto"/>
                      <w:highlight w:val="none"/>
                      <w:lang w:eastAsia="zh-CN"/>
                    </w:rPr>
                    <w:t>生活垃圾</w:t>
                  </w:r>
                </w:p>
              </w:tc>
            </w:tr>
            <w:tr w14:paraId="7559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restart"/>
                  <w:noWrap w:val="0"/>
                  <w:vAlign w:val="center"/>
                </w:tcPr>
                <w:p w14:paraId="68E00B90">
                  <w:pPr>
                    <w:pStyle w:val="53"/>
                    <w:bidi w:val="0"/>
                    <w:spacing w:line="240" w:lineRule="auto"/>
                    <w:rPr>
                      <w:rFonts w:hint="eastAsia"/>
                      <w:color w:val="auto"/>
                      <w:highlight w:val="none"/>
                      <w:lang w:eastAsia="zh-CN"/>
                    </w:rPr>
                  </w:pPr>
                  <w:r>
                    <w:rPr>
                      <w:rFonts w:hint="eastAsia"/>
                      <w:color w:val="auto"/>
                      <w:highlight w:val="none"/>
                      <w:lang w:eastAsia="zh-CN"/>
                    </w:rPr>
                    <w:t>运营期</w:t>
                  </w:r>
                </w:p>
              </w:tc>
              <w:tc>
                <w:tcPr>
                  <w:tcW w:w="421" w:type="pct"/>
                  <w:vMerge w:val="restart"/>
                  <w:noWrap w:val="0"/>
                  <w:vAlign w:val="center"/>
                </w:tcPr>
                <w:p w14:paraId="3999250F">
                  <w:pPr>
                    <w:pStyle w:val="53"/>
                    <w:bidi w:val="0"/>
                    <w:spacing w:line="240" w:lineRule="auto"/>
                    <w:rPr>
                      <w:rFonts w:hint="default"/>
                      <w:color w:val="auto"/>
                      <w:highlight w:val="none"/>
                    </w:rPr>
                  </w:pPr>
                  <w:r>
                    <w:rPr>
                      <w:rFonts w:hint="default"/>
                      <w:color w:val="auto"/>
                      <w:highlight w:val="none"/>
                    </w:rPr>
                    <w:t>废气</w:t>
                  </w:r>
                </w:p>
              </w:tc>
              <w:tc>
                <w:tcPr>
                  <w:tcW w:w="824" w:type="pct"/>
                  <w:noWrap w:val="0"/>
                  <w:vAlign w:val="center"/>
                </w:tcPr>
                <w:p w14:paraId="259B75CB">
                  <w:pPr>
                    <w:pStyle w:val="53"/>
                    <w:bidi w:val="0"/>
                    <w:spacing w:line="240" w:lineRule="auto"/>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热处理工序</w:t>
                  </w:r>
                </w:p>
              </w:tc>
              <w:tc>
                <w:tcPr>
                  <w:tcW w:w="1970" w:type="pct"/>
                  <w:noWrap w:val="0"/>
                  <w:vAlign w:val="center"/>
                </w:tcPr>
                <w:p w14:paraId="127E60D1">
                  <w:pPr>
                    <w:pStyle w:val="53"/>
                    <w:bidi w:val="0"/>
                    <w:spacing w:line="240" w:lineRule="auto"/>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热处理废气</w:t>
                  </w:r>
                </w:p>
              </w:tc>
              <w:tc>
                <w:tcPr>
                  <w:tcW w:w="1257" w:type="pct"/>
                  <w:noWrap w:val="0"/>
                  <w:vAlign w:val="center"/>
                </w:tcPr>
                <w:p w14:paraId="2CFDAA79">
                  <w:pPr>
                    <w:pStyle w:val="53"/>
                    <w:bidi w:val="0"/>
                    <w:spacing w:line="240" w:lineRule="auto"/>
                    <w:ind w:left="0" w:leftChars="0" w:firstLine="0" w:firstLineChars="0"/>
                    <w:rPr>
                      <w:rFonts w:hint="eastAsia" w:ascii="Times New Roman" w:hAnsi="Times New Roman" w:eastAsia="宋体" w:cs="Times New Roman"/>
                      <w:color w:val="auto"/>
                      <w:kern w:val="0"/>
                      <w:sz w:val="21"/>
                      <w:szCs w:val="20"/>
                      <w:highlight w:val="none"/>
                      <w:vertAlign w:val="subscript"/>
                      <w:lang w:val="en-US" w:eastAsia="zh-CN" w:bidi="ar-SA"/>
                    </w:rPr>
                  </w:pPr>
                  <w:r>
                    <w:rPr>
                      <w:rFonts w:hint="eastAsia"/>
                      <w:color w:val="auto"/>
                      <w:highlight w:val="none"/>
                      <w:lang w:val="en-US" w:eastAsia="zh-CN"/>
                    </w:rPr>
                    <w:t>TSP、SO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p>
              </w:tc>
            </w:tr>
            <w:tr w14:paraId="7CD5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2FA4F4A6">
                  <w:pPr>
                    <w:pStyle w:val="53"/>
                    <w:bidi w:val="0"/>
                    <w:spacing w:line="240" w:lineRule="auto"/>
                    <w:rPr>
                      <w:rFonts w:hint="default"/>
                      <w:color w:val="auto"/>
                      <w:highlight w:val="none"/>
                    </w:rPr>
                  </w:pPr>
                </w:p>
              </w:tc>
              <w:tc>
                <w:tcPr>
                  <w:tcW w:w="421" w:type="pct"/>
                  <w:vMerge w:val="continue"/>
                  <w:noWrap w:val="0"/>
                  <w:vAlign w:val="center"/>
                </w:tcPr>
                <w:p w14:paraId="7ACA7AD1">
                  <w:pPr>
                    <w:pStyle w:val="53"/>
                    <w:bidi w:val="0"/>
                    <w:spacing w:line="240" w:lineRule="auto"/>
                    <w:rPr>
                      <w:rFonts w:hint="default"/>
                      <w:color w:val="auto"/>
                      <w:highlight w:val="none"/>
                    </w:rPr>
                  </w:pPr>
                </w:p>
              </w:tc>
              <w:tc>
                <w:tcPr>
                  <w:tcW w:w="824" w:type="pct"/>
                  <w:noWrap w:val="0"/>
                  <w:vAlign w:val="center"/>
                </w:tcPr>
                <w:p w14:paraId="299D583B">
                  <w:pPr>
                    <w:pStyle w:val="53"/>
                    <w:bidi w:val="0"/>
                    <w:spacing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抛丸机</w:t>
                  </w:r>
                </w:p>
              </w:tc>
              <w:tc>
                <w:tcPr>
                  <w:tcW w:w="1970" w:type="pct"/>
                  <w:noWrap w:val="0"/>
                  <w:vAlign w:val="center"/>
                </w:tcPr>
                <w:p w14:paraId="20861B5E">
                  <w:pPr>
                    <w:pStyle w:val="53"/>
                    <w:bidi w:val="0"/>
                    <w:spacing w:line="240" w:lineRule="auto"/>
                    <w:ind w:left="0" w:leftChars="0" w:firstLine="0" w:firstLineChars="0"/>
                    <w:rPr>
                      <w:rFonts w:hint="default" w:ascii="Times New Roman" w:hAnsi="Times New Roman" w:eastAsia="宋体" w:cs="Times New Roman"/>
                      <w:b/>
                      <w:bCs/>
                      <w:color w:val="auto"/>
                      <w:kern w:val="0"/>
                      <w:sz w:val="21"/>
                      <w:szCs w:val="20"/>
                      <w:highlight w:val="none"/>
                      <w:lang w:val="en-US" w:eastAsia="zh-CN" w:bidi="ar-SA"/>
                    </w:rPr>
                  </w:pPr>
                  <w:r>
                    <w:rPr>
                      <w:rFonts w:hint="eastAsia"/>
                      <w:color w:val="auto"/>
                      <w:highlight w:val="none"/>
                      <w:lang w:val="en-US" w:eastAsia="zh-CN"/>
                    </w:rPr>
                    <w:t>抛丸粉尘</w:t>
                  </w:r>
                </w:p>
              </w:tc>
              <w:tc>
                <w:tcPr>
                  <w:tcW w:w="1257" w:type="pct"/>
                  <w:noWrap w:val="0"/>
                  <w:vAlign w:val="center"/>
                </w:tcPr>
                <w:p w14:paraId="34E3C182">
                  <w:pPr>
                    <w:pStyle w:val="53"/>
                    <w:bidi w:val="0"/>
                    <w:spacing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TSP</w:t>
                  </w:r>
                </w:p>
              </w:tc>
            </w:tr>
            <w:tr w14:paraId="76A3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635D46AD">
                  <w:pPr>
                    <w:pStyle w:val="53"/>
                    <w:bidi w:val="0"/>
                    <w:spacing w:line="240" w:lineRule="auto"/>
                    <w:rPr>
                      <w:rFonts w:hint="eastAsia"/>
                      <w:color w:val="auto"/>
                      <w:highlight w:val="none"/>
                      <w:lang w:eastAsia="zh-CN"/>
                    </w:rPr>
                  </w:pPr>
                </w:p>
              </w:tc>
              <w:tc>
                <w:tcPr>
                  <w:tcW w:w="421" w:type="pct"/>
                  <w:vMerge w:val="restart"/>
                  <w:noWrap w:val="0"/>
                  <w:vAlign w:val="center"/>
                </w:tcPr>
                <w:p w14:paraId="0D434AF3">
                  <w:pPr>
                    <w:pStyle w:val="53"/>
                    <w:bidi w:val="0"/>
                    <w:spacing w:line="240" w:lineRule="auto"/>
                    <w:rPr>
                      <w:rFonts w:hint="default"/>
                      <w:color w:val="auto"/>
                      <w:highlight w:val="none"/>
                      <w:lang w:eastAsia="zh-CN"/>
                    </w:rPr>
                  </w:pPr>
                  <w:r>
                    <w:rPr>
                      <w:rFonts w:hint="eastAsia"/>
                      <w:color w:val="auto"/>
                      <w:highlight w:val="none"/>
                      <w:lang w:eastAsia="zh-CN"/>
                    </w:rPr>
                    <w:t>废水</w:t>
                  </w:r>
                </w:p>
              </w:tc>
              <w:tc>
                <w:tcPr>
                  <w:tcW w:w="824" w:type="pct"/>
                  <w:noWrap w:val="0"/>
                  <w:vAlign w:val="center"/>
                </w:tcPr>
                <w:p w14:paraId="4755BE7A">
                  <w:pPr>
                    <w:pStyle w:val="53"/>
                    <w:bidi w:val="0"/>
                    <w:spacing w:line="240" w:lineRule="auto"/>
                    <w:rPr>
                      <w:rFonts w:hint="default"/>
                      <w:color w:val="auto"/>
                      <w:highlight w:val="none"/>
                      <w:lang w:val="en-US" w:eastAsia="zh-CN"/>
                    </w:rPr>
                  </w:pPr>
                  <w:r>
                    <w:rPr>
                      <w:rFonts w:hint="eastAsia"/>
                      <w:color w:val="auto"/>
                      <w:highlight w:val="none"/>
                      <w:lang w:val="en-US" w:eastAsia="zh-CN"/>
                    </w:rPr>
                    <w:t>办公生活区</w:t>
                  </w:r>
                </w:p>
              </w:tc>
              <w:tc>
                <w:tcPr>
                  <w:tcW w:w="1970" w:type="pct"/>
                  <w:noWrap w:val="0"/>
                  <w:vAlign w:val="center"/>
                </w:tcPr>
                <w:p w14:paraId="77D0E6C1">
                  <w:pPr>
                    <w:pStyle w:val="53"/>
                    <w:bidi w:val="0"/>
                    <w:spacing w:line="240" w:lineRule="auto"/>
                    <w:rPr>
                      <w:rFonts w:hint="default"/>
                      <w:color w:val="auto"/>
                      <w:highlight w:val="none"/>
                      <w:lang w:val="en-US" w:eastAsia="zh-CN"/>
                    </w:rPr>
                  </w:pPr>
                  <w:r>
                    <w:rPr>
                      <w:rFonts w:hint="eastAsia"/>
                      <w:color w:val="auto"/>
                      <w:highlight w:val="none"/>
                      <w:lang w:val="en-US" w:eastAsia="zh-CN"/>
                    </w:rPr>
                    <w:t>生活污水</w:t>
                  </w:r>
                </w:p>
              </w:tc>
              <w:tc>
                <w:tcPr>
                  <w:tcW w:w="1257" w:type="pct"/>
                  <w:noWrap w:val="0"/>
                  <w:vAlign w:val="center"/>
                </w:tcPr>
                <w:p w14:paraId="63ED2370">
                  <w:pPr>
                    <w:pStyle w:val="53"/>
                    <w:bidi w:val="0"/>
                    <w:spacing w:line="240" w:lineRule="auto"/>
                    <w:rPr>
                      <w:rFonts w:hint="default"/>
                      <w:color w:val="auto"/>
                      <w:highlight w:val="none"/>
                      <w:lang w:eastAsia="zh-CN"/>
                    </w:rPr>
                  </w:pP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、COD、SS、氨氮</w:t>
                  </w:r>
                </w:p>
              </w:tc>
            </w:tr>
            <w:tr w14:paraId="36DB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18857BC8">
                  <w:pPr>
                    <w:pStyle w:val="53"/>
                    <w:bidi w:val="0"/>
                    <w:spacing w:line="240" w:lineRule="auto"/>
                    <w:rPr>
                      <w:rFonts w:hint="default"/>
                      <w:color w:val="auto"/>
                      <w:highlight w:val="none"/>
                      <w:lang w:eastAsia="zh-CN"/>
                    </w:rPr>
                  </w:pPr>
                </w:p>
              </w:tc>
              <w:tc>
                <w:tcPr>
                  <w:tcW w:w="421" w:type="pct"/>
                  <w:vMerge w:val="continue"/>
                  <w:noWrap w:val="0"/>
                  <w:vAlign w:val="center"/>
                </w:tcPr>
                <w:p w14:paraId="15B07A99">
                  <w:pPr>
                    <w:pStyle w:val="53"/>
                    <w:bidi w:val="0"/>
                    <w:spacing w:line="240" w:lineRule="auto"/>
                    <w:rPr>
                      <w:rFonts w:hint="default"/>
                      <w:color w:val="auto"/>
                      <w:highlight w:val="none"/>
                      <w:lang w:eastAsia="zh-CN"/>
                    </w:rPr>
                  </w:pPr>
                </w:p>
              </w:tc>
              <w:tc>
                <w:tcPr>
                  <w:tcW w:w="824" w:type="pct"/>
                  <w:noWrap w:val="0"/>
                  <w:vAlign w:val="center"/>
                </w:tcPr>
                <w:p w14:paraId="28DD36D0">
                  <w:pPr>
                    <w:pStyle w:val="53"/>
                    <w:bidi w:val="0"/>
                    <w:spacing w:line="240" w:lineRule="auto"/>
                    <w:rPr>
                      <w:rFonts w:hint="default"/>
                      <w:color w:val="auto"/>
                      <w:highlight w:val="none"/>
                      <w:lang w:val="en-US" w:eastAsia="zh-CN"/>
                    </w:rPr>
                  </w:pPr>
                  <w:r>
                    <w:rPr>
                      <w:rFonts w:hint="eastAsia"/>
                      <w:color w:val="auto"/>
                      <w:highlight w:val="none"/>
                      <w:lang w:val="en-US" w:eastAsia="zh-CN"/>
                    </w:rPr>
                    <w:t>加热炉</w:t>
                  </w:r>
                </w:p>
              </w:tc>
              <w:tc>
                <w:tcPr>
                  <w:tcW w:w="1970" w:type="pct"/>
                  <w:noWrap w:val="0"/>
                  <w:vAlign w:val="center"/>
                </w:tcPr>
                <w:p w14:paraId="66FCBD8A">
                  <w:pPr>
                    <w:pStyle w:val="53"/>
                    <w:bidi w:val="0"/>
                    <w:spacing w:line="240" w:lineRule="auto"/>
                    <w:rPr>
                      <w:rFonts w:hint="default"/>
                      <w:color w:val="auto"/>
                      <w:highlight w:val="none"/>
                      <w:lang w:val="en-US" w:eastAsia="zh-CN"/>
                    </w:rPr>
                  </w:pPr>
                  <w:r>
                    <w:rPr>
                      <w:rFonts w:hint="eastAsia"/>
                      <w:color w:val="auto"/>
                      <w:highlight w:val="none"/>
                      <w:lang w:val="en-US" w:eastAsia="zh-CN"/>
                    </w:rPr>
                    <w:t>冷却用水</w:t>
                  </w:r>
                </w:p>
              </w:tc>
              <w:tc>
                <w:tcPr>
                  <w:tcW w:w="1257" w:type="pct"/>
                  <w:noWrap w:val="0"/>
                  <w:vAlign w:val="center"/>
                </w:tcPr>
                <w:p w14:paraId="5D33DF83">
                  <w:pPr>
                    <w:pStyle w:val="53"/>
                    <w:bidi w:val="0"/>
                    <w:spacing w:line="240" w:lineRule="auto"/>
                    <w:rPr>
                      <w:rFonts w:hint="default"/>
                      <w:color w:val="auto"/>
                      <w:highlight w:val="none"/>
                      <w:lang w:val="en-US" w:eastAsia="zh-CN"/>
                    </w:rPr>
                  </w:pPr>
                  <w:r>
                    <w:rPr>
                      <w:rFonts w:hint="eastAsia"/>
                      <w:color w:val="auto"/>
                      <w:highlight w:val="none"/>
                      <w:lang w:val="en-US" w:eastAsia="zh-CN"/>
                    </w:rPr>
                    <w:t>/</w:t>
                  </w:r>
                </w:p>
              </w:tc>
            </w:tr>
            <w:tr w14:paraId="1705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2650A4E9">
                  <w:pPr>
                    <w:pStyle w:val="53"/>
                    <w:bidi w:val="0"/>
                    <w:spacing w:line="240" w:lineRule="auto"/>
                    <w:rPr>
                      <w:rFonts w:hint="default"/>
                      <w:color w:val="auto"/>
                      <w:highlight w:val="none"/>
                      <w:lang w:eastAsia="zh-CN"/>
                    </w:rPr>
                  </w:pPr>
                </w:p>
              </w:tc>
              <w:tc>
                <w:tcPr>
                  <w:tcW w:w="421" w:type="pct"/>
                  <w:vMerge w:val="continue"/>
                  <w:noWrap w:val="0"/>
                  <w:vAlign w:val="center"/>
                </w:tcPr>
                <w:p w14:paraId="0A4AC0DC">
                  <w:pPr>
                    <w:pStyle w:val="53"/>
                    <w:bidi w:val="0"/>
                    <w:spacing w:line="240" w:lineRule="auto"/>
                    <w:rPr>
                      <w:rFonts w:hint="default"/>
                      <w:color w:val="auto"/>
                      <w:highlight w:val="none"/>
                      <w:lang w:eastAsia="zh-CN"/>
                    </w:rPr>
                  </w:pPr>
                </w:p>
              </w:tc>
              <w:tc>
                <w:tcPr>
                  <w:tcW w:w="824" w:type="pct"/>
                  <w:noWrap w:val="0"/>
                  <w:vAlign w:val="center"/>
                </w:tcPr>
                <w:p w14:paraId="06FC5A62">
                  <w:pPr>
                    <w:pStyle w:val="53"/>
                    <w:bidi w:val="0"/>
                    <w:spacing w:line="240" w:lineRule="auto"/>
                    <w:rPr>
                      <w:rFonts w:hint="default"/>
                      <w:color w:val="auto"/>
                      <w:highlight w:val="none"/>
                      <w:lang w:val="en-US" w:eastAsia="zh-CN"/>
                    </w:rPr>
                  </w:pPr>
                  <w:r>
                    <w:rPr>
                      <w:rFonts w:hint="eastAsia"/>
                      <w:color w:val="auto"/>
                      <w:highlight w:val="none"/>
                      <w:lang w:val="en-US" w:eastAsia="zh-CN"/>
                    </w:rPr>
                    <w:t>脱模工序</w:t>
                  </w:r>
                </w:p>
              </w:tc>
              <w:tc>
                <w:tcPr>
                  <w:tcW w:w="1970" w:type="pct"/>
                  <w:noWrap w:val="0"/>
                  <w:vAlign w:val="center"/>
                </w:tcPr>
                <w:p w14:paraId="418D122C">
                  <w:pPr>
                    <w:pStyle w:val="53"/>
                    <w:bidi w:val="0"/>
                    <w:spacing w:line="240" w:lineRule="auto"/>
                    <w:rPr>
                      <w:rFonts w:hint="default"/>
                      <w:color w:val="auto"/>
                      <w:highlight w:val="none"/>
                      <w:lang w:val="en-US" w:eastAsia="zh-CN"/>
                    </w:rPr>
                  </w:pPr>
                  <w:r>
                    <w:rPr>
                      <w:rFonts w:hint="eastAsia"/>
                      <w:color w:val="auto"/>
                      <w:highlight w:val="none"/>
                      <w:lang w:val="en-US" w:eastAsia="zh-CN"/>
                    </w:rPr>
                    <w:t>脱模用水</w:t>
                  </w:r>
                </w:p>
              </w:tc>
              <w:tc>
                <w:tcPr>
                  <w:tcW w:w="1257" w:type="pct"/>
                  <w:noWrap w:val="0"/>
                  <w:vAlign w:val="center"/>
                </w:tcPr>
                <w:p w14:paraId="3B7BFA03">
                  <w:pPr>
                    <w:pStyle w:val="53"/>
                    <w:bidi w:val="0"/>
                    <w:spacing w:line="240" w:lineRule="auto"/>
                    <w:rPr>
                      <w:rFonts w:hint="default"/>
                      <w:color w:val="auto"/>
                      <w:highlight w:val="none"/>
                      <w:lang w:val="en-US" w:eastAsia="zh-CN"/>
                    </w:rPr>
                  </w:pPr>
                  <w:r>
                    <w:rPr>
                      <w:rFonts w:hint="eastAsia"/>
                      <w:color w:val="auto"/>
                      <w:highlight w:val="none"/>
                      <w:lang w:val="en-US" w:eastAsia="zh-CN"/>
                    </w:rPr>
                    <w:t>脱模剂</w:t>
                  </w:r>
                </w:p>
              </w:tc>
            </w:tr>
            <w:tr w14:paraId="43BD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7D4AE6EA">
                  <w:pPr>
                    <w:pStyle w:val="53"/>
                    <w:bidi w:val="0"/>
                    <w:spacing w:line="240" w:lineRule="auto"/>
                    <w:rPr>
                      <w:rFonts w:hint="default"/>
                      <w:color w:val="auto"/>
                      <w:highlight w:val="none"/>
                      <w:lang w:eastAsia="zh-CN"/>
                    </w:rPr>
                  </w:pPr>
                </w:p>
              </w:tc>
              <w:tc>
                <w:tcPr>
                  <w:tcW w:w="421" w:type="pct"/>
                  <w:noWrap w:val="0"/>
                  <w:vAlign w:val="center"/>
                </w:tcPr>
                <w:p w14:paraId="2A02C922">
                  <w:pPr>
                    <w:pStyle w:val="53"/>
                    <w:bidi w:val="0"/>
                    <w:spacing w:line="240" w:lineRule="auto"/>
                    <w:rPr>
                      <w:rFonts w:hint="default"/>
                      <w:color w:val="auto"/>
                      <w:highlight w:val="none"/>
                      <w:lang w:val="en-US" w:eastAsia="zh-CN"/>
                    </w:rPr>
                  </w:pPr>
                  <w:r>
                    <w:rPr>
                      <w:rFonts w:hint="default"/>
                      <w:color w:val="auto"/>
                      <w:highlight w:val="none"/>
                    </w:rPr>
                    <w:t>噪声</w:t>
                  </w:r>
                </w:p>
              </w:tc>
              <w:tc>
                <w:tcPr>
                  <w:tcW w:w="824" w:type="pct"/>
                  <w:noWrap w:val="0"/>
                  <w:vAlign w:val="center"/>
                </w:tcPr>
                <w:p w14:paraId="52505B2B">
                  <w:pPr>
                    <w:pStyle w:val="53"/>
                    <w:bidi w:val="0"/>
                    <w:spacing w:line="240" w:lineRule="auto"/>
                    <w:rPr>
                      <w:rFonts w:hint="eastAsia"/>
                      <w:color w:val="auto"/>
                      <w:highlight w:val="none"/>
                      <w:lang w:val="en-US" w:eastAsia="zh-CN"/>
                    </w:rPr>
                  </w:pPr>
                  <w:r>
                    <w:rPr>
                      <w:rFonts w:hint="eastAsia"/>
                      <w:color w:val="auto"/>
                      <w:highlight w:val="none"/>
                      <w:lang w:val="en-US" w:eastAsia="zh-CN"/>
                    </w:rPr>
                    <w:t>生产线</w:t>
                  </w:r>
                </w:p>
              </w:tc>
              <w:tc>
                <w:tcPr>
                  <w:tcW w:w="1970" w:type="pct"/>
                  <w:noWrap w:val="0"/>
                  <w:vAlign w:val="center"/>
                </w:tcPr>
                <w:p w14:paraId="6E73E23A">
                  <w:pPr>
                    <w:pStyle w:val="53"/>
                    <w:bidi w:val="0"/>
                    <w:spacing w:line="240" w:lineRule="auto"/>
                    <w:rPr>
                      <w:rFonts w:hint="eastAsia"/>
                      <w:color w:val="auto"/>
                      <w:highlight w:val="none"/>
                      <w:lang w:val="en-US" w:eastAsia="zh-CN"/>
                    </w:rPr>
                  </w:pPr>
                  <w:r>
                    <w:rPr>
                      <w:rFonts w:hint="eastAsia"/>
                      <w:color w:val="auto"/>
                      <w:highlight w:val="none"/>
                      <w:lang w:val="en-US" w:eastAsia="zh-CN"/>
                    </w:rPr>
                    <w:t>高速圆锯机、锻压机、抛丸机、风机等运行时的设备噪声</w:t>
                  </w:r>
                </w:p>
              </w:tc>
              <w:tc>
                <w:tcPr>
                  <w:tcW w:w="1257" w:type="pct"/>
                  <w:noWrap w:val="0"/>
                  <w:vAlign w:val="center"/>
                </w:tcPr>
                <w:p w14:paraId="297717F2">
                  <w:pPr>
                    <w:pStyle w:val="53"/>
                    <w:bidi w:val="0"/>
                    <w:spacing w:line="240" w:lineRule="auto"/>
                    <w:rPr>
                      <w:rFonts w:hint="eastAsia"/>
                      <w:color w:val="auto"/>
                      <w:highlight w:val="none"/>
                      <w:lang w:val="en-US" w:eastAsia="zh-CN"/>
                    </w:rPr>
                  </w:pPr>
                  <w:r>
                    <w:rPr>
                      <w:rFonts w:hint="default"/>
                      <w:color w:val="auto"/>
                      <w:highlight w:val="none"/>
                    </w:rPr>
                    <w:t>等效A声级</w:t>
                  </w:r>
                </w:p>
              </w:tc>
            </w:tr>
            <w:tr w14:paraId="1282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2346FE76">
                  <w:pPr>
                    <w:pStyle w:val="53"/>
                    <w:bidi w:val="0"/>
                    <w:spacing w:line="240" w:lineRule="auto"/>
                    <w:rPr>
                      <w:rFonts w:hint="default"/>
                      <w:color w:val="auto"/>
                      <w:highlight w:val="none"/>
                    </w:rPr>
                  </w:pPr>
                </w:p>
              </w:tc>
              <w:tc>
                <w:tcPr>
                  <w:tcW w:w="421" w:type="pct"/>
                  <w:vMerge w:val="restart"/>
                  <w:noWrap w:val="0"/>
                  <w:vAlign w:val="center"/>
                </w:tcPr>
                <w:p w14:paraId="2876561A">
                  <w:pPr>
                    <w:pStyle w:val="53"/>
                    <w:bidi w:val="0"/>
                    <w:spacing w:line="240" w:lineRule="auto"/>
                    <w:rPr>
                      <w:rFonts w:hint="default"/>
                      <w:color w:val="auto"/>
                      <w:highlight w:val="none"/>
                    </w:rPr>
                  </w:pPr>
                  <w:r>
                    <w:rPr>
                      <w:rFonts w:hint="default"/>
                      <w:color w:val="auto"/>
                      <w:highlight w:val="none"/>
                    </w:rPr>
                    <w:t>固体废物</w:t>
                  </w:r>
                </w:p>
              </w:tc>
              <w:tc>
                <w:tcPr>
                  <w:tcW w:w="824" w:type="pct"/>
                  <w:noWrap w:val="0"/>
                  <w:vAlign w:val="center"/>
                </w:tcPr>
                <w:p w14:paraId="017F131C">
                  <w:pPr>
                    <w:pStyle w:val="53"/>
                    <w:bidi w:val="0"/>
                    <w:spacing w:line="240" w:lineRule="auto"/>
                    <w:rPr>
                      <w:rFonts w:hint="eastAsia"/>
                      <w:color w:val="auto"/>
                      <w:highlight w:val="none"/>
                      <w:lang w:val="en-US" w:eastAsia="zh-CN"/>
                    </w:rPr>
                  </w:pPr>
                  <w:r>
                    <w:rPr>
                      <w:rFonts w:hint="eastAsia"/>
                      <w:color w:val="auto"/>
                      <w:highlight w:val="none"/>
                      <w:lang w:val="en-US" w:eastAsia="zh-CN"/>
                    </w:rPr>
                    <w:t>办公生活区</w:t>
                  </w:r>
                </w:p>
              </w:tc>
              <w:tc>
                <w:tcPr>
                  <w:tcW w:w="1970" w:type="pct"/>
                  <w:noWrap w:val="0"/>
                  <w:vAlign w:val="center"/>
                </w:tcPr>
                <w:p w14:paraId="2C02BC04">
                  <w:pPr>
                    <w:pStyle w:val="53"/>
                    <w:bidi w:val="0"/>
                    <w:spacing w:line="240" w:lineRule="auto"/>
                    <w:rPr>
                      <w:rFonts w:hint="default"/>
                      <w:color w:val="auto"/>
                      <w:highlight w:val="none"/>
                      <w:lang w:val="en-US" w:eastAsia="zh-CN"/>
                    </w:rPr>
                  </w:pPr>
                  <w:r>
                    <w:rPr>
                      <w:rFonts w:hint="eastAsia"/>
                      <w:color w:val="auto"/>
                      <w:highlight w:val="none"/>
                      <w:lang w:val="en-US" w:eastAsia="zh-CN"/>
                    </w:rPr>
                    <w:t>生活垃圾</w:t>
                  </w:r>
                </w:p>
              </w:tc>
              <w:tc>
                <w:tcPr>
                  <w:tcW w:w="1257" w:type="pct"/>
                  <w:noWrap w:val="0"/>
                  <w:vAlign w:val="center"/>
                </w:tcPr>
                <w:p w14:paraId="5DDFC37C">
                  <w:pPr>
                    <w:pStyle w:val="53"/>
                    <w:bidi w:val="0"/>
                    <w:spacing w:line="240" w:lineRule="auto"/>
                    <w:rPr>
                      <w:rFonts w:hint="default"/>
                      <w:color w:val="auto"/>
                      <w:highlight w:val="none"/>
                      <w:lang w:val="en-US" w:eastAsia="zh-CN"/>
                    </w:rPr>
                  </w:pPr>
                  <w:r>
                    <w:rPr>
                      <w:rFonts w:hint="eastAsia"/>
                      <w:color w:val="auto"/>
                      <w:highlight w:val="none"/>
                      <w:lang w:eastAsia="zh-CN"/>
                    </w:rPr>
                    <w:t>生活垃圾</w:t>
                  </w:r>
                </w:p>
              </w:tc>
            </w:tr>
            <w:tr w14:paraId="24C4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7B1370CE">
                  <w:pPr>
                    <w:pStyle w:val="53"/>
                    <w:bidi w:val="0"/>
                    <w:spacing w:line="240" w:lineRule="auto"/>
                    <w:rPr>
                      <w:rFonts w:hint="default"/>
                      <w:color w:val="auto"/>
                      <w:highlight w:val="none"/>
                    </w:rPr>
                  </w:pPr>
                </w:p>
              </w:tc>
              <w:tc>
                <w:tcPr>
                  <w:tcW w:w="421" w:type="pct"/>
                  <w:vMerge w:val="continue"/>
                  <w:noWrap w:val="0"/>
                  <w:vAlign w:val="center"/>
                </w:tcPr>
                <w:p w14:paraId="33A3B53D">
                  <w:pPr>
                    <w:pStyle w:val="53"/>
                    <w:bidi w:val="0"/>
                    <w:spacing w:line="240" w:lineRule="auto"/>
                    <w:rPr>
                      <w:rFonts w:hint="default"/>
                      <w:color w:val="auto"/>
                      <w:highlight w:val="none"/>
                    </w:rPr>
                  </w:pPr>
                </w:p>
              </w:tc>
              <w:tc>
                <w:tcPr>
                  <w:tcW w:w="824" w:type="pct"/>
                  <w:noWrap w:val="0"/>
                  <w:vAlign w:val="center"/>
                </w:tcPr>
                <w:p w14:paraId="00BB690C">
                  <w:pPr>
                    <w:pStyle w:val="53"/>
                    <w:bidi w:val="0"/>
                    <w:spacing w:line="240" w:lineRule="auto"/>
                    <w:rPr>
                      <w:rFonts w:hint="default"/>
                      <w:color w:val="auto"/>
                      <w:highlight w:val="none"/>
                      <w:lang w:val="en-US" w:eastAsia="zh-CN"/>
                    </w:rPr>
                  </w:pPr>
                  <w:r>
                    <w:rPr>
                      <w:rFonts w:hint="eastAsia"/>
                      <w:color w:val="auto"/>
                      <w:highlight w:val="none"/>
                      <w:lang w:val="en-US" w:eastAsia="zh-CN"/>
                    </w:rPr>
                    <w:t>切割工序</w:t>
                  </w:r>
                </w:p>
              </w:tc>
              <w:tc>
                <w:tcPr>
                  <w:tcW w:w="1970" w:type="pct"/>
                  <w:noWrap w:val="0"/>
                  <w:vAlign w:val="center"/>
                </w:tcPr>
                <w:p w14:paraId="21E62FBD">
                  <w:pPr>
                    <w:pStyle w:val="53"/>
                    <w:bidi w:val="0"/>
                    <w:spacing w:line="240" w:lineRule="auto"/>
                    <w:rPr>
                      <w:rFonts w:hint="default"/>
                      <w:color w:val="auto"/>
                      <w:highlight w:val="none"/>
                      <w:lang w:val="en-US" w:eastAsia="zh-CN"/>
                    </w:rPr>
                  </w:pPr>
                  <w:r>
                    <w:rPr>
                      <w:rFonts w:hint="eastAsia"/>
                      <w:color w:val="auto"/>
                      <w:highlight w:val="none"/>
                      <w:lang w:val="en-US" w:eastAsia="zh-CN"/>
                    </w:rPr>
                    <w:t>切割下脚料</w:t>
                  </w:r>
                </w:p>
              </w:tc>
              <w:tc>
                <w:tcPr>
                  <w:tcW w:w="1257" w:type="pct"/>
                  <w:noWrap w:val="0"/>
                  <w:vAlign w:val="center"/>
                </w:tcPr>
                <w:p w14:paraId="50076C7C">
                  <w:pPr>
                    <w:pStyle w:val="53"/>
                    <w:bidi w:val="0"/>
                    <w:spacing w:line="240" w:lineRule="auto"/>
                    <w:rPr>
                      <w:rFonts w:hint="default"/>
                      <w:color w:val="auto"/>
                      <w:highlight w:val="none"/>
                      <w:lang w:val="en-US" w:eastAsia="zh-CN"/>
                    </w:rPr>
                  </w:pPr>
                  <w:r>
                    <w:rPr>
                      <w:rFonts w:hint="eastAsia"/>
                      <w:color w:val="auto"/>
                      <w:highlight w:val="none"/>
                      <w:lang w:val="en-US" w:eastAsia="zh-CN"/>
                    </w:rPr>
                    <w:t>钢材</w:t>
                  </w:r>
                </w:p>
              </w:tc>
            </w:tr>
            <w:tr w14:paraId="3333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33A4099E">
                  <w:pPr>
                    <w:pStyle w:val="53"/>
                    <w:bidi w:val="0"/>
                    <w:spacing w:line="240" w:lineRule="auto"/>
                    <w:rPr>
                      <w:rFonts w:hint="default"/>
                      <w:color w:val="auto"/>
                      <w:highlight w:val="none"/>
                      <w:lang w:eastAsia="zh-CN"/>
                    </w:rPr>
                  </w:pPr>
                </w:p>
              </w:tc>
              <w:tc>
                <w:tcPr>
                  <w:tcW w:w="421" w:type="pct"/>
                  <w:vMerge w:val="continue"/>
                  <w:noWrap w:val="0"/>
                  <w:vAlign w:val="center"/>
                </w:tcPr>
                <w:p w14:paraId="450B3BB7">
                  <w:pPr>
                    <w:pStyle w:val="53"/>
                    <w:bidi w:val="0"/>
                    <w:spacing w:line="240" w:lineRule="auto"/>
                    <w:rPr>
                      <w:rFonts w:hint="default"/>
                      <w:color w:val="auto"/>
                      <w:highlight w:val="none"/>
                      <w:lang w:eastAsia="zh-CN"/>
                    </w:rPr>
                  </w:pPr>
                </w:p>
              </w:tc>
              <w:tc>
                <w:tcPr>
                  <w:tcW w:w="824" w:type="pct"/>
                  <w:noWrap w:val="0"/>
                  <w:vAlign w:val="center"/>
                </w:tcPr>
                <w:p w14:paraId="021B619F">
                  <w:pPr>
                    <w:pStyle w:val="53"/>
                    <w:bidi w:val="0"/>
                    <w:spacing w:line="240" w:lineRule="auto"/>
                    <w:rPr>
                      <w:rFonts w:hint="default"/>
                      <w:color w:val="auto"/>
                      <w:highlight w:val="none"/>
                      <w:lang w:val="en-US" w:eastAsia="zh-CN"/>
                    </w:rPr>
                  </w:pPr>
                  <w:r>
                    <w:rPr>
                      <w:rFonts w:hint="eastAsia"/>
                      <w:color w:val="auto"/>
                      <w:highlight w:val="none"/>
                      <w:lang w:val="en-US" w:eastAsia="zh-CN"/>
                    </w:rPr>
                    <w:t>锻造工序</w:t>
                  </w:r>
                </w:p>
              </w:tc>
              <w:tc>
                <w:tcPr>
                  <w:tcW w:w="1970" w:type="pct"/>
                  <w:noWrap w:val="0"/>
                  <w:vAlign w:val="center"/>
                </w:tcPr>
                <w:p w14:paraId="7C9E0794">
                  <w:pPr>
                    <w:pStyle w:val="53"/>
                    <w:bidi w:val="0"/>
                    <w:spacing w:line="240" w:lineRule="auto"/>
                    <w:rPr>
                      <w:rFonts w:hint="default"/>
                      <w:color w:val="auto"/>
                      <w:highlight w:val="none"/>
                      <w:lang w:val="en-US" w:eastAsia="zh-CN"/>
                    </w:rPr>
                  </w:pPr>
                  <w:r>
                    <w:rPr>
                      <w:rFonts w:hint="eastAsia"/>
                      <w:color w:val="auto"/>
                      <w:highlight w:val="none"/>
                      <w:lang w:val="en-US" w:eastAsia="zh-CN"/>
                    </w:rPr>
                    <w:t>锻造废料</w:t>
                  </w:r>
                </w:p>
              </w:tc>
              <w:tc>
                <w:tcPr>
                  <w:tcW w:w="1257" w:type="pct"/>
                  <w:noWrap w:val="0"/>
                  <w:vAlign w:val="center"/>
                </w:tcPr>
                <w:p w14:paraId="014B7912">
                  <w:pPr>
                    <w:pStyle w:val="53"/>
                    <w:bidi w:val="0"/>
                    <w:spacing w:line="240" w:lineRule="auto"/>
                    <w:rPr>
                      <w:rFonts w:hint="default"/>
                      <w:color w:val="auto"/>
                      <w:highlight w:val="none"/>
                      <w:lang w:val="en-US" w:eastAsia="zh-CN"/>
                    </w:rPr>
                  </w:pPr>
                  <w:r>
                    <w:rPr>
                      <w:rFonts w:hint="eastAsia"/>
                      <w:color w:val="auto"/>
                      <w:highlight w:val="none"/>
                      <w:lang w:val="en-US" w:eastAsia="zh-CN"/>
                    </w:rPr>
                    <w:t>废料</w:t>
                  </w:r>
                </w:p>
              </w:tc>
            </w:tr>
            <w:tr w14:paraId="4D60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6A5695DF">
                  <w:pPr>
                    <w:pStyle w:val="53"/>
                    <w:bidi w:val="0"/>
                    <w:spacing w:line="240" w:lineRule="auto"/>
                    <w:rPr>
                      <w:rFonts w:hint="default"/>
                      <w:color w:val="auto"/>
                      <w:highlight w:val="none"/>
                      <w:lang w:eastAsia="zh-CN"/>
                    </w:rPr>
                  </w:pPr>
                </w:p>
              </w:tc>
              <w:tc>
                <w:tcPr>
                  <w:tcW w:w="421" w:type="pct"/>
                  <w:vMerge w:val="continue"/>
                  <w:noWrap w:val="0"/>
                  <w:vAlign w:val="center"/>
                </w:tcPr>
                <w:p w14:paraId="0EDAE006">
                  <w:pPr>
                    <w:pStyle w:val="53"/>
                    <w:bidi w:val="0"/>
                    <w:spacing w:line="240" w:lineRule="auto"/>
                    <w:rPr>
                      <w:rFonts w:hint="default"/>
                      <w:color w:val="auto"/>
                      <w:highlight w:val="none"/>
                      <w:lang w:eastAsia="zh-CN"/>
                    </w:rPr>
                  </w:pPr>
                </w:p>
              </w:tc>
              <w:tc>
                <w:tcPr>
                  <w:tcW w:w="824" w:type="pct"/>
                  <w:noWrap w:val="0"/>
                  <w:vAlign w:val="center"/>
                </w:tcPr>
                <w:p w14:paraId="4639B0A2">
                  <w:pPr>
                    <w:pStyle w:val="53"/>
                    <w:bidi w:val="0"/>
                    <w:spacing w:line="240" w:lineRule="auto"/>
                    <w:rPr>
                      <w:rFonts w:hint="default"/>
                      <w:color w:val="auto"/>
                      <w:highlight w:val="none"/>
                      <w:lang w:val="en-US" w:eastAsia="zh-CN"/>
                    </w:rPr>
                  </w:pPr>
                  <w:r>
                    <w:rPr>
                      <w:rFonts w:hint="eastAsia"/>
                      <w:color w:val="auto"/>
                      <w:highlight w:val="none"/>
                      <w:lang w:val="en-US" w:eastAsia="zh-CN"/>
                    </w:rPr>
                    <w:t>探伤工序</w:t>
                  </w:r>
                </w:p>
              </w:tc>
              <w:tc>
                <w:tcPr>
                  <w:tcW w:w="1970" w:type="pct"/>
                  <w:noWrap w:val="0"/>
                  <w:vAlign w:val="center"/>
                </w:tcPr>
                <w:p w14:paraId="062996AA">
                  <w:pPr>
                    <w:pStyle w:val="53"/>
                    <w:bidi w:val="0"/>
                    <w:spacing w:line="240" w:lineRule="auto"/>
                    <w:rPr>
                      <w:rFonts w:hint="default"/>
                      <w:color w:val="auto"/>
                      <w:highlight w:val="none"/>
                      <w:lang w:val="en-US" w:eastAsia="zh-CN"/>
                    </w:rPr>
                  </w:pPr>
                  <w:r>
                    <w:rPr>
                      <w:rFonts w:hint="eastAsia"/>
                      <w:color w:val="auto"/>
                      <w:highlight w:val="none"/>
                      <w:lang w:val="en-US" w:eastAsia="zh-CN"/>
                    </w:rPr>
                    <w:t>探伤废料</w:t>
                  </w:r>
                </w:p>
              </w:tc>
              <w:tc>
                <w:tcPr>
                  <w:tcW w:w="1257" w:type="pct"/>
                  <w:noWrap w:val="0"/>
                  <w:vAlign w:val="center"/>
                </w:tcPr>
                <w:p w14:paraId="1928F6D9">
                  <w:pPr>
                    <w:pStyle w:val="53"/>
                    <w:bidi w:val="0"/>
                    <w:spacing w:line="240" w:lineRule="auto"/>
                    <w:rPr>
                      <w:rFonts w:hint="eastAsia"/>
                      <w:color w:val="auto"/>
                      <w:highlight w:val="none"/>
                      <w:lang w:val="en-US" w:eastAsia="zh-CN"/>
                    </w:rPr>
                  </w:pPr>
                  <w:r>
                    <w:rPr>
                      <w:rFonts w:hint="eastAsia"/>
                      <w:color w:val="auto"/>
                      <w:highlight w:val="none"/>
                      <w:lang w:val="en-US" w:eastAsia="zh-CN"/>
                    </w:rPr>
                    <w:t>废磁粉液</w:t>
                  </w:r>
                </w:p>
              </w:tc>
            </w:tr>
            <w:tr w14:paraId="2280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57" w:hRule="atLeast"/>
                <w:jc w:val="center"/>
              </w:trPr>
              <w:tc>
                <w:tcPr>
                  <w:tcW w:w="525" w:type="pct"/>
                  <w:vMerge w:val="continue"/>
                  <w:noWrap w:val="0"/>
                  <w:vAlign w:val="center"/>
                </w:tcPr>
                <w:p w14:paraId="1C11CD44">
                  <w:pPr>
                    <w:pStyle w:val="53"/>
                    <w:bidi w:val="0"/>
                    <w:spacing w:line="240" w:lineRule="auto"/>
                    <w:rPr>
                      <w:rFonts w:hint="default"/>
                      <w:color w:val="auto"/>
                      <w:highlight w:val="none"/>
                      <w:lang w:eastAsia="zh-CN"/>
                    </w:rPr>
                  </w:pPr>
                </w:p>
              </w:tc>
              <w:tc>
                <w:tcPr>
                  <w:tcW w:w="421" w:type="pct"/>
                  <w:vMerge w:val="continue"/>
                  <w:noWrap w:val="0"/>
                  <w:vAlign w:val="center"/>
                </w:tcPr>
                <w:p w14:paraId="555E6704">
                  <w:pPr>
                    <w:pStyle w:val="53"/>
                    <w:bidi w:val="0"/>
                    <w:spacing w:line="240" w:lineRule="auto"/>
                    <w:rPr>
                      <w:rFonts w:hint="default"/>
                      <w:color w:val="auto"/>
                      <w:highlight w:val="none"/>
                      <w:lang w:eastAsia="zh-CN"/>
                    </w:rPr>
                  </w:pPr>
                </w:p>
              </w:tc>
              <w:tc>
                <w:tcPr>
                  <w:tcW w:w="824" w:type="pct"/>
                  <w:noWrap w:val="0"/>
                  <w:vAlign w:val="center"/>
                </w:tcPr>
                <w:p w14:paraId="06B8E427">
                  <w:pPr>
                    <w:pStyle w:val="53"/>
                    <w:bidi w:val="0"/>
                    <w:spacing w:line="240" w:lineRule="auto"/>
                    <w:rPr>
                      <w:rFonts w:hint="default"/>
                      <w:color w:val="auto"/>
                      <w:highlight w:val="none"/>
                      <w:lang w:val="en-US" w:eastAsia="zh-CN"/>
                    </w:rPr>
                  </w:pPr>
                  <w:r>
                    <w:rPr>
                      <w:rFonts w:hint="eastAsia"/>
                      <w:color w:val="auto"/>
                      <w:highlight w:val="none"/>
                      <w:lang w:val="en-US" w:eastAsia="zh-CN"/>
                    </w:rPr>
                    <w:t>设备维护</w:t>
                  </w:r>
                </w:p>
              </w:tc>
              <w:tc>
                <w:tcPr>
                  <w:tcW w:w="1970" w:type="pct"/>
                  <w:noWrap w:val="0"/>
                  <w:vAlign w:val="center"/>
                </w:tcPr>
                <w:p w14:paraId="671846AD">
                  <w:pPr>
                    <w:pStyle w:val="53"/>
                    <w:bidi w:val="0"/>
                    <w:spacing w:line="240" w:lineRule="auto"/>
                    <w:rPr>
                      <w:rFonts w:hint="default"/>
                      <w:color w:val="auto"/>
                      <w:highlight w:val="none"/>
                      <w:lang w:val="en-US" w:eastAsia="zh-CN"/>
                    </w:rPr>
                  </w:pPr>
                  <w:r>
                    <w:rPr>
                      <w:rFonts w:hint="eastAsia"/>
                      <w:color w:val="auto"/>
                      <w:highlight w:val="none"/>
                      <w:lang w:val="en-US" w:eastAsia="zh-CN"/>
                    </w:rPr>
                    <w:t>维护废物</w:t>
                  </w:r>
                </w:p>
              </w:tc>
              <w:tc>
                <w:tcPr>
                  <w:tcW w:w="1257" w:type="pct"/>
                  <w:noWrap w:val="0"/>
                  <w:vAlign w:val="center"/>
                </w:tcPr>
                <w:p w14:paraId="205B9D87">
                  <w:pPr>
                    <w:pStyle w:val="53"/>
                    <w:bidi w:val="0"/>
                    <w:spacing w:line="240" w:lineRule="auto"/>
                    <w:rPr>
                      <w:rFonts w:hint="eastAsia"/>
                      <w:color w:val="auto"/>
                      <w:highlight w:val="none"/>
                      <w:lang w:val="en-US" w:eastAsia="zh-CN"/>
                    </w:rPr>
                  </w:pPr>
                  <w:r>
                    <w:rPr>
                      <w:rFonts w:hint="eastAsia"/>
                      <w:color w:val="auto"/>
                      <w:highlight w:val="none"/>
                      <w:lang w:val="en-US" w:eastAsia="zh-CN"/>
                    </w:rPr>
                    <w:t>废润滑油、废液压油、废包装桶、废含油抹布</w:t>
                  </w:r>
                </w:p>
              </w:tc>
            </w:tr>
          </w:tbl>
          <w:p w14:paraId="17084079">
            <w:pPr>
              <w:pStyle w:val="58"/>
              <w:bidi w:val="0"/>
              <w:jc w:val="both"/>
              <w:rPr>
                <w:rFonts w:hint="default"/>
                <w:color w:val="auto"/>
                <w:highlight w:val="none"/>
                <w:lang w:val="en-US" w:eastAsia="zh-CN"/>
              </w:rPr>
            </w:pPr>
          </w:p>
        </w:tc>
      </w:tr>
      <w:tr w14:paraId="201C0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dxa"/>
            <w:noWrap w:val="0"/>
            <w:vAlign w:val="center"/>
          </w:tcPr>
          <w:p w14:paraId="2B77E8A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color w:val="auto"/>
                <w:highlight w:val="none"/>
              </w:rPr>
            </w:pPr>
            <w:r>
              <w:rPr>
                <w:rFonts w:hint="eastAsia"/>
                <w:color w:val="auto"/>
                <w:highlight w:val="none"/>
              </w:rPr>
              <w:t>与项目有关的原有环境污染问题</w:t>
            </w:r>
          </w:p>
        </w:tc>
        <w:tc>
          <w:tcPr>
            <w:tcW w:w="8481" w:type="dxa"/>
            <w:noWrap w:val="0"/>
            <w:vAlign w:val="top"/>
          </w:tcPr>
          <w:p w14:paraId="4F4F572C">
            <w:pPr>
              <w:autoSpaceDE w:val="0"/>
              <w:autoSpaceDN w:val="0"/>
              <w:adjustRightInd w:val="0"/>
              <w:snapToGrid/>
              <w:spacing w:line="360" w:lineRule="auto"/>
              <w:ind w:firstLine="480" w:firstLineChars="200"/>
              <w:rPr>
                <w:rFonts w:hint="eastAsia"/>
                <w:color w:val="auto"/>
                <w:lang w:val="en-US" w:eastAsia="zh-CN"/>
              </w:rPr>
            </w:pPr>
            <w:r>
              <w:rPr>
                <w:rFonts w:hint="default" w:ascii="Times New Roman" w:hAnsi="Times New Roman" w:eastAsia="宋体" w:cs="Times New Roman"/>
                <w:color w:val="auto"/>
                <w:sz w:val="24"/>
                <w:highlight w:val="none"/>
              </w:rPr>
              <w:t>本项目选址位于陕西省宝鸡市岐山县蔡家坡</w:t>
            </w:r>
            <w:r>
              <w:rPr>
                <w:rFonts w:hint="eastAsia" w:cs="Times New Roman"/>
                <w:color w:val="auto"/>
                <w:sz w:val="24"/>
                <w:highlight w:val="none"/>
                <w:lang w:val="en-US" w:eastAsia="zh-CN"/>
              </w:rPr>
              <w:t>经济技术开发区</w:t>
            </w:r>
            <w:r>
              <w:rPr>
                <w:rFonts w:hint="default" w:ascii="Times New Roman" w:hAnsi="Times New Roman" w:eastAsia="宋体" w:cs="Times New Roman"/>
                <w:color w:val="auto"/>
                <w:sz w:val="24"/>
                <w:highlight w:val="none"/>
              </w:rPr>
              <w:t>，具体坐落于</w:t>
            </w:r>
            <w:r>
              <w:rPr>
                <w:rFonts w:cs="宋体"/>
                <w:color w:val="auto"/>
                <w:sz w:val="24"/>
              </w:rPr>
              <w:t>陕西省蔡家坡经开区南环路百万平方米标</w:t>
            </w:r>
            <w:r>
              <w:rPr>
                <w:rFonts w:hint="eastAsia" w:cs="宋体"/>
                <w:color w:val="auto"/>
                <w:sz w:val="24"/>
              </w:rPr>
              <w:t>准</w:t>
            </w:r>
            <w:r>
              <w:rPr>
                <w:rFonts w:cs="宋体"/>
                <w:color w:val="auto"/>
                <w:sz w:val="24"/>
              </w:rPr>
              <w:t>化厂房</w:t>
            </w:r>
            <w:r>
              <w:rPr>
                <w:rFonts w:hint="default" w:ascii="Times New Roman" w:hAnsi="Times New Roman" w:eastAsia="宋体" w:cs="Times New Roman"/>
                <w:color w:val="auto"/>
                <w:sz w:val="24"/>
                <w:highlight w:val="none"/>
              </w:rPr>
              <w:t>。经现场勘查确认，原有厂房室内地面已完成硬化防渗处理，未发现与本项目相关的原有环境污染问题。</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6"/>
              <w:gridCol w:w="4128"/>
            </w:tblGrid>
            <w:tr w14:paraId="0859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7" w:type="dxa"/>
                  <w:vAlign w:val="center"/>
                </w:tcPr>
                <w:p w14:paraId="37117BCE">
                  <w:pPr>
                    <w:bidi w:val="0"/>
                    <w:ind w:left="0" w:leftChars="0" w:firstLine="0" w:firstLineChars="0"/>
                    <w:jc w:val="center"/>
                    <w:rPr>
                      <w:rFonts w:hint="eastAsia"/>
                      <w:color w:val="auto"/>
                      <w:vertAlign w:val="baseline"/>
                      <w:lang w:val="en-US" w:eastAsia="zh-CN"/>
                    </w:rPr>
                  </w:pPr>
                  <w:r>
                    <w:rPr>
                      <w:rFonts w:hint="eastAsia"/>
                      <w:color w:val="auto"/>
                      <w:vertAlign w:val="baseline"/>
                      <w:lang w:val="en-US" w:eastAsia="zh-CN"/>
                    </w:rPr>
                    <w:drawing>
                      <wp:inline distT="0" distB="0" distL="114300" distR="114300">
                        <wp:extent cx="2477135" cy="1857375"/>
                        <wp:effectExtent l="0" t="0" r="18415" b="952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8"/>
                                <a:stretch>
                                  <a:fillRect/>
                                </a:stretch>
                              </pic:blipFill>
                              <pic:spPr>
                                <a:xfrm>
                                  <a:off x="0" y="0"/>
                                  <a:ext cx="2477135" cy="1857375"/>
                                </a:xfrm>
                                <a:prstGeom prst="rect">
                                  <a:avLst/>
                                </a:prstGeom>
                              </pic:spPr>
                            </pic:pic>
                          </a:graphicData>
                        </a:graphic>
                      </wp:inline>
                    </w:drawing>
                  </w:r>
                </w:p>
              </w:tc>
              <w:tc>
                <w:tcPr>
                  <w:tcW w:w="4128" w:type="dxa"/>
                  <w:vAlign w:val="center"/>
                </w:tcPr>
                <w:p w14:paraId="67722274">
                  <w:pPr>
                    <w:bidi w:val="0"/>
                    <w:ind w:left="0" w:leftChars="0" w:firstLine="0" w:firstLineChars="0"/>
                    <w:jc w:val="center"/>
                    <w:rPr>
                      <w:rFonts w:hint="eastAsia"/>
                      <w:color w:val="auto"/>
                      <w:vertAlign w:val="baseline"/>
                      <w:lang w:val="en-US" w:eastAsia="zh-CN"/>
                    </w:rPr>
                  </w:pPr>
                  <w:r>
                    <w:rPr>
                      <w:rFonts w:hint="eastAsia"/>
                      <w:color w:val="auto"/>
                      <w:vertAlign w:val="baseline"/>
                      <w:lang w:val="en-US" w:eastAsia="zh-CN"/>
                    </w:rPr>
                    <w:drawing>
                      <wp:inline distT="0" distB="0" distL="114300" distR="114300">
                        <wp:extent cx="2454275" cy="1840865"/>
                        <wp:effectExtent l="0" t="0" r="3175" b="698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9"/>
                                <a:stretch>
                                  <a:fillRect/>
                                </a:stretch>
                              </pic:blipFill>
                              <pic:spPr>
                                <a:xfrm>
                                  <a:off x="0" y="0"/>
                                  <a:ext cx="2454275" cy="1840865"/>
                                </a:xfrm>
                                <a:prstGeom prst="rect">
                                  <a:avLst/>
                                </a:prstGeom>
                              </pic:spPr>
                            </pic:pic>
                          </a:graphicData>
                        </a:graphic>
                      </wp:inline>
                    </w:drawing>
                  </w:r>
                </w:p>
              </w:tc>
            </w:tr>
            <w:tr w14:paraId="48BA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5" w:type="dxa"/>
                  <w:gridSpan w:val="2"/>
                  <w:vAlign w:val="center"/>
                </w:tcPr>
                <w:p w14:paraId="3BC0CEE5">
                  <w:pPr>
                    <w:bidi w:val="0"/>
                    <w:spacing w:line="240" w:lineRule="auto"/>
                    <w:ind w:left="0" w:leftChars="0" w:firstLine="0" w:firstLineChars="0"/>
                    <w:jc w:val="center"/>
                    <w:rPr>
                      <w:rFonts w:hint="default"/>
                      <w:color w:val="auto"/>
                      <w:vertAlign w:val="baseline"/>
                      <w:lang w:val="en-US" w:eastAsia="zh-CN"/>
                    </w:rPr>
                  </w:pPr>
                  <w:r>
                    <w:rPr>
                      <w:rFonts w:hint="eastAsia"/>
                      <w:color w:val="auto"/>
                      <w:sz w:val="21"/>
                      <w:szCs w:val="21"/>
                      <w:vertAlign w:val="baseline"/>
                      <w:lang w:val="en-US" w:eastAsia="zh-CN"/>
                    </w:rPr>
                    <w:t>厂房现场照片</w:t>
                  </w:r>
                </w:p>
              </w:tc>
            </w:tr>
          </w:tbl>
          <w:p w14:paraId="2B48B079">
            <w:pPr>
              <w:bidi w:val="0"/>
              <w:rPr>
                <w:rFonts w:hint="default"/>
                <w:color w:val="auto"/>
                <w:lang w:val="en-US" w:eastAsia="zh-CN"/>
              </w:rPr>
            </w:pPr>
          </w:p>
        </w:tc>
      </w:tr>
    </w:tbl>
    <w:p w14:paraId="6ADE6C23">
      <w:pPr>
        <w:pStyle w:val="26"/>
        <w:jc w:val="center"/>
        <w:rPr>
          <w:rFonts w:ascii="黑体" w:hAnsi="黑体" w:eastAsia="黑体"/>
          <w:snapToGrid w:val="0"/>
          <w:color w:val="auto"/>
          <w:sz w:val="36"/>
          <w:szCs w:val="36"/>
          <w:highlight w:val="none"/>
        </w:rPr>
        <w:sectPr>
          <w:footerReference r:id="rId9" w:type="default"/>
          <w:pgSz w:w="11906" w:h="16838"/>
          <w:pgMar w:top="1701" w:right="1531" w:bottom="1701" w:left="1531" w:header="851" w:footer="851" w:gutter="0"/>
          <w:pgNumType w:fmt="decimal"/>
          <w:cols w:space="720" w:num="1"/>
          <w:docGrid w:linePitch="312" w:charSpace="0"/>
        </w:sectPr>
      </w:pPr>
    </w:p>
    <w:p w14:paraId="4E0D7D38">
      <w:pPr>
        <w:pStyle w:val="26"/>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highlight w:val="none"/>
        </w:rPr>
      </w:pPr>
    </w:p>
    <w:p w14:paraId="6C88326E">
      <w:pPr>
        <w:pStyle w:val="26"/>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40"/>
      </w:tblGrid>
      <w:tr w14:paraId="7FFED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790" w:hRule="atLeast"/>
          <w:jc w:val="center"/>
        </w:trPr>
        <w:tc>
          <w:tcPr>
            <w:tcW w:w="800" w:type="dxa"/>
            <w:noWrap w:val="0"/>
            <w:vAlign w:val="center"/>
          </w:tcPr>
          <w:p w14:paraId="4A7AD7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区域</w:t>
            </w:r>
          </w:p>
          <w:p w14:paraId="54304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14:paraId="45CE1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质量</w:t>
            </w:r>
          </w:p>
          <w:p w14:paraId="412F8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noWrap w:val="0"/>
            <w:vAlign w:val="center"/>
          </w:tcPr>
          <w:p w14:paraId="30283433">
            <w:pPr>
              <w:numPr>
                <w:ilvl w:val="0"/>
                <w:numId w:val="9"/>
              </w:numPr>
              <w:adjustRightInd w:val="0"/>
              <w:snapToGrid w:val="0"/>
              <w:ind w:left="-240" w:leftChars="0" w:firstLineChars="0"/>
              <w:jc w:val="left"/>
              <w:rPr>
                <w:rFonts w:hint="eastAsia"/>
                <w:b/>
                <w:bCs/>
                <w:color w:val="auto"/>
                <w:highlight w:val="none"/>
              </w:rPr>
            </w:pPr>
            <w:r>
              <w:rPr>
                <w:rFonts w:hint="eastAsia"/>
                <w:b/>
                <w:bCs/>
                <w:color w:val="auto"/>
                <w:highlight w:val="none"/>
              </w:rPr>
              <w:t>环境空气质量现状</w:t>
            </w:r>
          </w:p>
          <w:p w14:paraId="70211EB9">
            <w:pPr>
              <w:bidi w:val="0"/>
              <w:rPr>
                <w:rFonts w:hint="eastAsia"/>
                <w:color w:val="auto"/>
                <w:highlight w:val="none"/>
              </w:rPr>
            </w:pPr>
            <w:r>
              <w:rPr>
                <w:rFonts w:hint="eastAsia"/>
                <w:color w:val="auto"/>
                <w:highlight w:val="none"/>
              </w:rPr>
              <w:t>（1）基本污染物环境质量现状</w:t>
            </w:r>
          </w:p>
          <w:p w14:paraId="4B02BFC1">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位</w:t>
            </w:r>
            <w:r>
              <w:rPr>
                <w:rFonts w:hint="default" w:ascii="Times New Roman" w:hAnsi="Times New Roman" w:eastAsia="宋体" w:cs="Times New Roman"/>
                <w:color w:val="auto"/>
                <w:sz w:val="24"/>
                <w:szCs w:val="24"/>
                <w:highlight w:val="none"/>
                <w:lang w:val="en-US" w:eastAsia="zh-CN"/>
              </w:rPr>
              <w:t>于陕西省</w:t>
            </w:r>
            <w:r>
              <w:rPr>
                <w:rFonts w:hint="eastAsia" w:cs="Times New Roman"/>
                <w:color w:val="auto"/>
                <w:sz w:val="24"/>
                <w:szCs w:val="24"/>
                <w:highlight w:val="none"/>
                <w:lang w:val="en-US" w:eastAsia="zh-CN"/>
              </w:rPr>
              <w:t>宝鸡</w:t>
            </w:r>
            <w:r>
              <w:rPr>
                <w:rFonts w:hint="default" w:ascii="Times New Roman" w:hAnsi="Times New Roman" w:eastAsia="宋体" w:cs="Times New Roman"/>
                <w:color w:val="auto"/>
                <w:sz w:val="24"/>
                <w:szCs w:val="24"/>
                <w:highlight w:val="none"/>
                <w:lang w:val="en-US" w:eastAsia="zh-CN"/>
              </w:rPr>
              <w:t>市</w:t>
            </w:r>
            <w:r>
              <w:rPr>
                <w:rFonts w:hint="eastAsia" w:cs="Times New Roman"/>
                <w:color w:val="auto"/>
                <w:sz w:val="24"/>
                <w:szCs w:val="24"/>
                <w:highlight w:val="none"/>
                <w:lang w:val="en-US" w:eastAsia="zh-CN"/>
              </w:rPr>
              <w:t>岐山县蔡家坡镇</w:t>
            </w:r>
            <w:r>
              <w:rPr>
                <w:rFonts w:hint="default" w:ascii="Times New Roman" w:hAnsi="Times New Roman" w:cs="Times New Roman"/>
                <w:color w:val="auto"/>
                <w:sz w:val="24"/>
                <w:highlight w:val="none"/>
              </w:rPr>
              <w:t>，根据大气功能区划，本项目所在地为二类功能区，环境空气质量标准执行《环境</w:t>
            </w:r>
            <w:r>
              <w:rPr>
                <w:rFonts w:hint="default" w:ascii="Times New Roman" w:hAnsi="Times New Roman" w:cs="Times New Roman"/>
                <w:color w:val="auto"/>
                <w:sz w:val="24"/>
                <w:highlight w:val="none"/>
                <w:lang w:eastAsia="zh-CN"/>
              </w:rPr>
              <w:t>空气</w:t>
            </w:r>
            <w:r>
              <w:rPr>
                <w:rFonts w:hint="default" w:ascii="Times New Roman" w:hAnsi="Times New Roman" w:cs="Times New Roman"/>
                <w:color w:val="auto"/>
                <w:sz w:val="24"/>
                <w:highlight w:val="none"/>
              </w:rPr>
              <w:t>质量标准》（GB3095-20</w:t>
            </w:r>
            <w:r>
              <w:rPr>
                <w:rFonts w:hint="eastAsia" w:cs="Times New Roman"/>
                <w:color w:val="auto"/>
                <w:sz w:val="24"/>
                <w:highlight w:val="none"/>
                <w:lang w:val="en-US" w:eastAsia="zh-CN"/>
              </w:rPr>
              <w:t>26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w:t>
            </w:r>
            <w:r>
              <w:rPr>
                <w:rFonts w:hint="eastAsia" w:cs="Times New Roman"/>
                <w:color w:val="auto"/>
                <w:sz w:val="24"/>
                <w:highlight w:val="none"/>
                <w:lang w:val="en-US" w:eastAsia="zh-CN"/>
              </w:rPr>
              <w:t>过渡阶段</w:t>
            </w:r>
            <w:r>
              <w:rPr>
                <w:rFonts w:hint="default" w:ascii="Times New Roman" w:hAnsi="Times New Roman" w:cs="Times New Roman"/>
                <w:color w:val="auto"/>
                <w:sz w:val="24"/>
                <w:highlight w:val="none"/>
              </w:rPr>
              <w:t>二级</w:t>
            </w:r>
            <w:r>
              <w:rPr>
                <w:rFonts w:hint="eastAsia" w:cs="Times New Roman"/>
                <w:color w:val="auto"/>
                <w:sz w:val="24"/>
                <w:highlight w:val="none"/>
                <w:lang w:val="en-US" w:eastAsia="zh-CN"/>
              </w:rPr>
              <w:t>浓度限值</w:t>
            </w:r>
            <w:r>
              <w:rPr>
                <w:rFonts w:hint="default" w:ascii="Times New Roman" w:hAnsi="Times New Roman" w:cs="Times New Roman"/>
                <w:color w:val="auto"/>
                <w:sz w:val="24"/>
                <w:highlight w:val="none"/>
              </w:rPr>
              <w:t>。根据</w:t>
            </w:r>
            <w:r>
              <w:rPr>
                <w:rFonts w:hint="eastAsia" w:cs="Times New Roman"/>
                <w:color w:val="auto"/>
                <w:sz w:val="24"/>
                <w:highlight w:val="none"/>
                <w:lang w:val="en-US" w:eastAsia="zh-CN"/>
              </w:rPr>
              <w:t>陕西省生态环境厅</w:t>
            </w:r>
            <w:r>
              <w:rPr>
                <w:rFonts w:hint="default"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日</w:t>
            </w:r>
            <w:r>
              <w:rPr>
                <w:rFonts w:hint="default" w:ascii="Times New Roman" w:hAnsi="Times New Roman" w:cs="Times New Roman"/>
                <w:color w:val="auto"/>
                <w:sz w:val="24"/>
                <w:highlight w:val="none"/>
              </w:rPr>
              <w:t>发布的</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12月及</w:t>
            </w:r>
            <w:r>
              <w:rPr>
                <w:rFonts w:hint="default" w:ascii="Times New Roman" w:hAnsi="Times New Roman" w:cs="Times New Roman"/>
                <w:color w:val="auto"/>
                <w:sz w:val="24"/>
                <w:highlight w:val="none"/>
              </w:rPr>
              <w:t>1~12月全</w:t>
            </w:r>
            <w:r>
              <w:rPr>
                <w:rFonts w:hint="eastAsia" w:cs="Times New Roman"/>
                <w:color w:val="auto"/>
                <w:sz w:val="24"/>
                <w:highlight w:val="none"/>
                <w:lang w:val="en-US" w:eastAsia="zh-CN"/>
              </w:rPr>
              <w:t>省</w:t>
            </w:r>
            <w:r>
              <w:rPr>
                <w:rFonts w:hint="default" w:ascii="Times New Roman" w:hAnsi="Times New Roman" w:cs="Times New Roman"/>
                <w:color w:val="auto"/>
                <w:sz w:val="24"/>
                <w:highlight w:val="none"/>
              </w:rPr>
              <w:t>环境质量状况</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宝鸡市岐山县</w:t>
            </w: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年1~12月基本因子年均统计结果见</w:t>
            </w:r>
            <w:r>
              <w:rPr>
                <w:rFonts w:hint="default" w:ascii="Times New Roman" w:hAnsi="Times New Roman" w:cs="Times New Roman"/>
                <w:color w:val="auto"/>
                <w:sz w:val="24"/>
                <w:highlight w:val="none"/>
                <w:lang w:val="en-US" w:eastAsia="zh-CN"/>
              </w:rPr>
              <w:t>下表</w:t>
            </w:r>
            <w:r>
              <w:rPr>
                <w:rFonts w:hint="default" w:ascii="Times New Roman" w:hAnsi="Times New Roman" w:cs="Times New Roman"/>
                <w:color w:val="auto"/>
                <w:sz w:val="24"/>
                <w:highlight w:val="none"/>
              </w:rPr>
              <w:t>。</w:t>
            </w:r>
          </w:p>
          <w:p w14:paraId="77E5FD7B">
            <w:pPr>
              <w:pStyle w:val="58"/>
              <w:numPr>
                <w:ilvl w:val="0"/>
                <w:numId w:val="10"/>
              </w:numPr>
              <w:bidi w:val="0"/>
              <w:rPr>
                <w:rFonts w:hint="default"/>
                <w:color w:val="auto"/>
                <w:highlight w:val="none"/>
                <w:lang w:val="en-US" w:eastAsia="zh-CN"/>
              </w:rPr>
            </w:pPr>
            <w:r>
              <w:rPr>
                <w:rFonts w:hint="default"/>
                <w:color w:val="auto"/>
                <w:highlight w:val="none"/>
                <w:lang w:val="en-US" w:eastAsia="zh-CN"/>
              </w:rPr>
              <w:t xml:space="preserve"> 区域空气质量现状评价表</w:t>
            </w:r>
          </w:p>
          <w:tbl>
            <w:tblPr>
              <w:tblStyle w:val="30"/>
              <w:tblW w:w="8024" w:type="dxa"/>
              <w:jc w:val="center"/>
              <w:tblLayout w:type="autofit"/>
              <w:tblCellMar>
                <w:top w:w="0" w:type="dxa"/>
                <w:left w:w="108" w:type="dxa"/>
                <w:bottom w:w="0" w:type="dxa"/>
                <w:right w:w="108" w:type="dxa"/>
              </w:tblCellMar>
            </w:tblPr>
            <w:tblGrid>
              <w:gridCol w:w="906"/>
              <w:gridCol w:w="2850"/>
              <w:gridCol w:w="1277"/>
              <w:gridCol w:w="1130"/>
              <w:gridCol w:w="954"/>
              <w:gridCol w:w="907"/>
            </w:tblGrid>
            <w:tr w14:paraId="483A9822">
              <w:tblPrEx>
                <w:tblCellMar>
                  <w:top w:w="0" w:type="dxa"/>
                  <w:left w:w="108" w:type="dxa"/>
                  <w:bottom w:w="0" w:type="dxa"/>
                  <w:right w:w="108" w:type="dxa"/>
                </w:tblCellMar>
              </w:tblPrEx>
              <w:trPr>
                <w:trHeight w:val="2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724B84AA">
                  <w:pPr>
                    <w:pStyle w:val="53"/>
                    <w:bidi w:val="0"/>
                    <w:rPr>
                      <w:rFonts w:hint="default"/>
                      <w:b/>
                      <w:bCs/>
                      <w:color w:val="auto"/>
                      <w:highlight w:val="none"/>
                      <w:lang w:val="en-US" w:eastAsia="zh-CN"/>
                    </w:rPr>
                  </w:pPr>
                  <w:r>
                    <w:rPr>
                      <w:rFonts w:hint="default"/>
                      <w:b/>
                      <w:bCs/>
                      <w:color w:val="auto"/>
                      <w:highlight w:val="none"/>
                    </w:rPr>
                    <w:t>污染物</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5407A7E5">
                  <w:pPr>
                    <w:pStyle w:val="53"/>
                    <w:bidi w:val="0"/>
                    <w:rPr>
                      <w:rFonts w:hint="default"/>
                      <w:b/>
                      <w:bCs/>
                      <w:color w:val="auto"/>
                      <w:highlight w:val="none"/>
                      <w:lang w:val="en-US" w:eastAsia="zh-CN"/>
                    </w:rPr>
                  </w:pPr>
                  <w:r>
                    <w:rPr>
                      <w:rFonts w:hint="default"/>
                      <w:b/>
                      <w:bCs/>
                      <w:color w:val="auto"/>
                      <w:highlight w:val="none"/>
                    </w:rPr>
                    <w:t>年评价指标</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4EEF4342">
                  <w:pPr>
                    <w:pStyle w:val="53"/>
                    <w:bidi w:val="0"/>
                    <w:rPr>
                      <w:rFonts w:hint="eastAsia" w:eastAsia="宋体"/>
                      <w:b/>
                      <w:bCs/>
                      <w:color w:val="auto"/>
                      <w:highlight w:val="none"/>
                      <w:lang w:val="en-US" w:eastAsia="zh-CN"/>
                    </w:rPr>
                  </w:pPr>
                  <w:r>
                    <w:rPr>
                      <w:rFonts w:hint="default"/>
                      <w:b/>
                      <w:bCs/>
                      <w:color w:val="auto"/>
                      <w:highlight w:val="none"/>
                    </w:rPr>
                    <w:t>现状浓度</w:t>
                  </w:r>
                  <w:r>
                    <w:rPr>
                      <w:rFonts w:hint="eastAsia"/>
                      <w:b/>
                      <w:bCs/>
                      <w:color w:val="auto"/>
                      <w:highlight w:val="none"/>
                      <w:lang w:val="en-US" w:eastAsia="zh-CN"/>
                    </w:rPr>
                    <w:t>(</w:t>
                  </w:r>
                  <w:r>
                    <w:rPr>
                      <w:rFonts w:hint="default"/>
                      <w:b/>
                      <w:bCs/>
                      <w:color w:val="auto"/>
                      <w:highlight w:val="none"/>
                    </w:rPr>
                    <w:t>μg/m</w:t>
                  </w:r>
                  <w:r>
                    <w:rPr>
                      <w:rFonts w:hint="default"/>
                      <w:b/>
                      <w:bCs/>
                      <w:color w:val="auto"/>
                      <w:highlight w:val="none"/>
                      <w:vertAlign w:val="superscript"/>
                    </w:rPr>
                    <w:t>3</w:t>
                  </w:r>
                  <w:r>
                    <w:rPr>
                      <w:rFonts w:hint="eastAsia"/>
                      <w:b/>
                      <w:bCs/>
                      <w:color w:val="auto"/>
                      <w:highlight w:val="none"/>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28296C79">
                  <w:pPr>
                    <w:pStyle w:val="53"/>
                    <w:bidi w:val="0"/>
                    <w:rPr>
                      <w:rFonts w:hint="default"/>
                      <w:b/>
                      <w:bCs/>
                      <w:color w:val="auto"/>
                      <w:highlight w:val="none"/>
                      <w:lang w:val="en-US" w:eastAsia="zh-CN"/>
                    </w:rPr>
                  </w:pPr>
                  <w:r>
                    <w:rPr>
                      <w:rFonts w:hint="default"/>
                      <w:b/>
                      <w:bCs/>
                      <w:color w:val="auto"/>
                      <w:highlight w:val="none"/>
                    </w:rPr>
                    <w:t>标准值</w:t>
                  </w:r>
                  <w:r>
                    <w:rPr>
                      <w:rFonts w:hint="eastAsia"/>
                      <w:b/>
                      <w:bCs/>
                      <w:color w:val="auto"/>
                      <w:highlight w:val="none"/>
                      <w:lang w:val="en-US" w:eastAsia="zh-CN"/>
                    </w:rPr>
                    <w:t>(</w:t>
                  </w:r>
                  <w:r>
                    <w:rPr>
                      <w:rFonts w:hint="default"/>
                      <w:b/>
                      <w:bCs/>
                      <w:color w:val="auto"/>
                      <w:highlight w:val="none"/>
                    </w:rPr>
                    <w:t>μg/m</w:t>
                  </w:r>
                  <w:r>
                    <w:rPr>
                      <w:rFonts w:hint="default"/>
                      <w:b/>
                      <w:bCs/>
                      <w:color w:val="auto"/>
                      <w:highlight w:val="none"/>
                      <w:vertAlign w:val="superscript"/>
                    </w:rPr>
                    <w:t>3</w:t>
                  </w:r>
                  <w:r>
                    <w:rPr>
                      <w:rFonts w:hint="eastAsia"/>
                      <w:b/>
                      <w:bCs/>
                      <w:color w:val="auto"/>
                      <w:highlight w:val="none"/>
                      <w:lang w:val="en-US" w:eastAsia="zh-CN"/>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14:paraId="1E329A1E">
                  <w:pPr>
                    <w:pStyle w:val="53"/>
                    <w:bidi w:val="0"/>
                    <w:rPr>
                      <w:rFonts w:hint="eastAsia" w:eastAsia="宋体"/>
                      <w:b/>
                      <w:bCs/>
                      <w:color w:val="auto"/>
                      <w:highlight w:val="none"/>
                      <w:lang w:val="en-US" w:eastAsia="zh-CN"/>
                    </w:rPr>
                  </w:pPr>
                  <w:r>
                    <w:rPr>
                      <w:rFonts w:hint="default"/>
                      <w:b/>
                      <w:bCs/>
                      <w:color w:val="auto"/>
                      <w:highlight w:val="none"/>
                    </w:rPr>
                    <w:t>占标率</w:t>
                  </w:r>
                  <w:r>
                    <w:rPr>
                      <w:rFonts w:hint="eastAsia"/>
                      <w:b/>
                      <w:bCs/>
                      <w:color w:val="auto"/>
                      <w:highlight w:val="none"/>
                      <w:lang w:val="en-US" w:eastAsia="zh-CN"/>
                    </w:rPr>
                    <w:t>(</w:t>
                  </w:r>
                  <w:r>
                    <w:rPr>
                      <w:rFonts w:hint="default"/>
                      <w:b/>
                      <w:bCs/>
                      <w:color w:val="auto"/>
                      <w:highlight w:val="none"/>
                    </w:rPr>
                    <w:t>%</w:t>
                  </w:r>
                  <w:r>
                    <w:rPr>
                      <w:rFonts w:hint="eastAsia"/>
                      <w:b/>
                      <w:bCs/>
                      <w:color w:val="auto"/>
                      <w:highlight w:val="none"/>
                      <w:lang w:val="en-US" w:eastAsia="zh-CN"/>
                    </w:rPr>
                    <w:t>)</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0A68AD65">
                  <w:pPr>
                    <w:pStyle w:val="53"/>
                    <w:bidi w:val="0"/>
                    <w:rPr>
                      <w:rFonts w:hint="default"/>
                      <w:b/>
                      <w:bCs/>
                      <w:color w:val="auto"/>
                      <w:highlight w:val="none"/>
                      <w:lang w:val="en-US" w:eastAsia="zh-CN"/>
                    </w:rPr>
                  </w:pPr>
                  <w:r>
                    <w:rPr>
                      <w:rFonts w:hint="default"/>
                      <w:b/>
                      <w:bCs/>
                      <w:color w:val="auto"/>
                      <w:highlight w:val="none"/>
                    </w:rPr>
                    <w:t>达标情况</w:t>
                  </w:r>
                </w:p>
              </w:tc>
            </w:tr>
            <w:tr w14:paraId="18C8FF24">
              <w:tblPrEx>
                <w:tblCellMar>
                  <w:top w:w="0" w:type="dxa"/>
                  <w:left w:w="108" w:type="dxa"/>
                  <w:bottom w:w="0" w:type="dxa"/>
                  <w:right w:w="108" w:type="dxa"/>
                </w:tblCellMar>
              </w:tblPrEx>
              <w:trPr>
                <w:trHeight w:val="2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6078F4CB">
                  <w:pPr>
                    <w:pStyle w:val="53"/>
                    <w:bidi w:val="0"/>
                    <w:rPr>
                      <w:rFonts w:hint="default"/>
                      <w:color w:val="auto"/>
                      <w:highlight w:val="none"/>
                      <w:lang w:val="en-US" w:eastAsia="zh-CN"/>
                    </w:rPr>
                  </w:pPr>
                  <w:r>
                    <w:rPr>
                      <w:rFonts w:hint="default"/>
                      <w:color w:val="auto"/>
                      <w:highlight w:val="none"/>
                    </w:rPr>
                    <w:t>PM</w:t>
                  </w:r>
                  <w:r>
                    <w:rPr>
                      <w:rFonts w:hint="default"/>
                      <w:color w:val="auto"/>
                      <w:highlight w:val="none"/>
                      <w:vertAlign w:val="subscript"/>
                    </w:rPr>
                    <w:t>10</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40D170CE">
                  <w:pPr>
                    <w:pStyle w:val="53"/>
                    <w:bidi w:val="0"/>
                    <w:rPr>
                      <w:rFonts w:hint="default"/>
                      <w:color w:val="auto"/>
                      <w:highlight w:val="none"/>
                      <w:lang w:val="en-US" w:eastAsia="zh-CN"/>
                    </w:rPr>
                  </w:pPr>
                  <w:r>
                    <w:rPr>
                      <w:rFonts w:hint="default"/>
                      <w:color w:val="auto"/>
                      <w:highlight w:val="none"/>
                    </w:rPr>
                    <w:t>年平均质量浓度</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03AFB396">
                  <w:pPr>
                    <w:pStyle w:val="53"/>
                    <w:bidi w:val="0"/>
                    <w:rPr>
                      <w:rFonts w:hint="default"/>
                      <w:color w:val="auto"/>
                      <w:highlight w:val="none"/>
                      <w:lang w:val="en-US" w:eastAsia="zh-CN"/>
                    </w:rPr>
                  </w:pPr>
                  <w:r>
                    <w:rPr>
                      <w:rFonts w:hint="eastAsia"/>
                      <w:color w:val="auto"/>
                      <w:highlight w:val="none"/>
                      <w:lang w:val="en-US" w:eastAsia="zh-CN"/>
                    </w:rPr>
                    <w:t>53</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53822D23">
                  <w:pPr>
                    <w:pStyle w:val="53"/>
                    <w:bidi w:val="0"/>
                    <w:rPr>
                      <w:rFonts w:hint="default"/>
                      <w:color w:val="auto"/>
                      <w:highlight w:val="none"/>
                      <w:lang w:val="en-US" w:eastAsia="zh-CN"/>
                    </w:rPr>
                  </w:pPr>
                  <w:r>
                    <w:rPr>
                      <w:rFonts w:hint="eastAsia"/>
                      <w:color w:val="auto"/>
                      <w:highlight w:val="none"/>
                      <w:lang w:val="en-US" w:eastAsia="zh-CN"/>
                    </w:rPr>
                    <w:t>60</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5F3BE6E5">
                  <w:pPr>
                    <w:pStyle w:val="53"/>
                    <w:bidi w:val="0"/>
                    <w:rPr>
                      <w:rFonts w:hint="default"/>
                      <w:color w:val="auto"/>
                      <w:highlight w:val="none"/>
                      <w:lang w:val="en-US" w:eastAsia="zh-CN"/>
                    </w:rPr>
                  </w:pPr>
                  <w:r>
                    <w:rPr>
                      <w:rFonts w:hint="eastAsia"/>
                      <w:color w:val="auto"/>
                      <w:highlight w:val="none"/>
                      <w:lang w:val="en-US" w:eastAsia="zh-CN"/>
                    </w:rPr>
                    <w:t>88.3</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2340EA6E">
                  <w:pPr>
                    <w:pStyle w:val="53"/>
                    <w:bidi w:val="0"/>
                    <w:rPr>
                      <w:rFonts w:hint="default"/>
                      <w:color w:val="auto"/>
                      <w:highlight w:val="none"/>
                      <w:lang w:val="en-US" w:eastAsia="zh-CN"/>
                    </w:rPr>
                  </w:pPr>
                  <w:r>
                    <w:rPr>
                      <w:rFonts w:hint="default"/>
                      <w:color w:val="auto"/>
                      <w:highlight w:val="none"/>
                      <w:lang w:val="en-US" w:eastAsia="zh-CN"/>
                    </w:rPr>
                    <w:t>达标</w:t>
                  </w:r>
                </w:p>
              </w:tc>
            </w:tr>
            <w:tr w14:paraId="6BA7E2CB">
              <w:tblPrEx>
                <w:tblCellMar>
                  <w:top w:w="0" w:type="dxa"/>
                  <w:left w:w="108" w:type="dxa"/>
                  <w:bottom w:w="0" w:type="dxa"/>
                  <w:right w:w="108" w:type="dxa"/>
                </w:tblCellMar>
              </w:tblPrEx>
              <w:trPr>
                <w:trHeight w:val="2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1CE1DFCF">
                  <w:pPr>
                    <w:pStyle w:val="53"/>
                    <w:bidi w:val="0"/>
                    <w:rPr>
                      <w:rFonts w:hint="default"/>
                      <w:color w:val="auto"/>
                      <w:highlight w:val="none"/>
                      <w:lang w:val="en-US" w:eastAsia="zh-CN"/>
                    </w:rPr>
                  </w:pPr>
                  <w:r>
                    <w:rPr>
                      <w:rFonts w:hint="default"/>
                      <w:color w:val="auto"/>
                      <w:highlight w:val="none"/>
                    </w:rPr>
                    <w:t>PM</w:t>
                  </w:r>
                  <w:r>
                    <w:rPr>
                      <w:rFonts w:hint="default"/>
                      <w:color w:val="auto"/>
                      <w:highlight w:val="none"/>
                      <w:vertAlign w:val="subscript"/>
                    </w:rPr>
                    <w:t>2.5</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579815C7">
                  <w:pPr>
                    <w:pStyle w:val="53"/>
                    <w:bidi w:val="0"/>
                    <w:rPr>
                      <w:rFonts w:hint="default"/>
                      <w:color w:val="auto"/>
                      <w:highlight w:val="none"/>
                      <w:lang w:val="en-US" w:eastAsia="zh-CN"/>
                    </w:rPr>
                  </w:pPr>
                  <w:r>
                    <w:rPr>
                      <w:rFonts w:hint="default"/>
                      <w:color w:val="auto"/>
                      <w:highlight w:val="none"/>
                    </w:rPr>
                    <w:t>年平均质量浓度</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30133F14">
                  <w:pPr>
                    <w:pStyle w:val="53"/>
                    <w:bidi w:val="0"/>
                    <w:rPr>
                      <w:rFonts w:hint="default"/>
                      <w:color w:val="auto"/>
                      <w:highlight w:val="none"/>
                      <w:lang w:val="en-US" w:eastAsia="zh-CN"/>
                    </w:rPr>
                  </w:pPr>
                  <w:r>
                    <w:rPr>
                      <w:rFonts w:hint="eastAsia"/>
                      <w:color w:val="auto"/>
                      <w:highlight w:val="none"/>
                      <w:lang w:val="en-US" w:eastAsia="zh-CN"/>
                    </w:rPr>
                    <w:t>26.4</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5ECA111A">
                  <w:pPr>
                    <w:pStyle w:val="53"/>
                    <w:bidi w:val="0"/>
                    <w:rPr>
                      <w:rFonts w:hint="eastAsia" w:eastAsia="宋体"/>
                      <w:color w:val="auto"/>
                      <w:highlight w:val="none"/>
                      <w:lang w:val="en-US" w:eastAsia="zh-CN"/>
                    </w:rPr>
                  </w:pPr>
                  <w:r>
                    <w:rPr>
                      <w:rFonts w:hint="default"/>
                      <w:color w:val="auto"/>
                      <w:highlight w:val="none"/>
                    </w:rPr>
                    <w:t>3</w:t>
                  </w:r>
                  <w:r>
                    <w:rPr>
                      <w:rFonts w:hint="eastAsia"/>
                      <w:color w:val="auto"/>
                      <w:highlight w:val="none"/>
                      <w:lang w:val="en-US" w:eastAsia="zh-CN"/>
                    </w:rPr>
                    <w:t>0</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4D95AA17">
                  <w:pPr>
                    <w:pStyle w:val="53"/>
                    <w:bidi w:val="0"/>
                    <w:rPr>
                      <w:rFonts w:hint="default"/>
                      <w:color w:val="auto"/>
                      <w:highlight w:val="none"/>
                      <w:lang w:val="en-US" w:eastAsia="zh-CN"/>
                    </w:rPr>
                  </w:pPr>
                  <w:r>
                    <w:rPr>
                      <w:rFonts w:hint="eastAsia"/>
                      <w:color w:val="auto"/>
                      <w:highlight w:val="none"/>
                      <w:lang w:val="en-US" w:eastAsia="zh-CN"/>
                    </w:rPr>
                    <w:t>88.0</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07A6458E">
                  <w:pPr>
                    <w:pStyle w:val="53"/>
                    <w:bidi w:val="0"/>
                    <w:rPr>
                      <w:rFonts w:hint="default"/>
                      <w:color w:val="auto"/>
                      <w:highlight w:val="none"/>
                      <w:lang w:val="en-US" w:eastAsia="zh-CN"/>
                    </w:rPr>
                  </w:pPr>
                  <w:r>
                    <w:rPr>
                      <w:rFonts w:hint="default"/>
                      <w:color w:val="auto"/>
                      <w:highlight w:val="none"/>
                      <w:lang w:val="en-US" w:eastAsia="zh-CN"/>
                    </w:rPr>
                    <w:t>达标</w:t>
                  </w:r>
                </w:p>
              </w:tc>
            </w:tr>
            <w:tr w14:paraId="53A7E2C9">
              <w:tblPrEx>
                <w:tblCellMar>
                  <w:top w:w="0" w:type="dxa"/>
                  <w:left w:w="108" w:type="dxa"/>
                  <w:bottom w:w="0" w:type="dxa"/>
                  <w:right w:w="108" w:type="dxa"/>
                </w:tblCellMar>
              </w:tblPrEx>
              <w:trPr>
                <w:trHeight w:val="286"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0ADF0574">
                  <w:pPr>
                    <w:pStyle w:val="53"/>
                    <w:bidi w:val="0"/>
                    <w:rPr>
                      <w:rFonts w:hint="default"/>
                      <w:color w:val="auto"/>
                      <w:highlight w:val="none"/>
                      <w:lang w:val="en-US" w:eastAsia="zh-CN"/>
                    </w:rPr>
                  </w:pPr>
                  <w:r>
                    <w:rPr>
                      <w:rFonts w:hint="default"/>
                      <w:color w:val="auto"/>
                      <w:highlight w:val="none"/>
                    </w:rPr>
                    <w:t>SO</w:t>
                  </w:r>
                  <w:r>
                    <w:rPr>
                      <w:rFonts w:hint="default"/>
                      <w:color w:val="auto"/>
                      <w:highlight w:val="none"/>
                      <w:vertAlign w:val="subscript"/>
                    </w:rPr>
                    <w:t>2</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0EAB51E2">
                  <w:pPr>
                    <w:pStyle w:val="53"/>
                    <w:bidi w:val="0"/>
                    <w:rPr>
                      <w:rFonts w:hint="default"/>
                      <w:color w:val="auto"/>
                      <w:highlight w:val="none"/>
                      <w:lang w:val="en-US" w:eastAsia="zh-CN"/>
                    </w:rPr>
                  </w:pPr>
                  <w:r>
                    <w:rPr>
                      <w:rFonts w:hint="default"/>
                      <w:color w:val="auto"/>
                      <w:highlight w:val="none"/>
                    </w:rPr>
                    <w:t>年平均质量浓度</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6E120887">
                  <w:pPr>
                    <w:pStyle w:val="53"/>
                    <w:bidi w:val="0"/>
                    <w:rPr>
                      <w:rFonts w:hint="default"/>
                      <w:color w:val="auto"/>
                      <w:highlight w:val="none"/>
                      <w:lang w:val="en-US" w:eastAsia="zh-CN"/>
                    </w:rPr>
                  </w:pPr>
                  <w:r>
                    <w:rPr>
                      <w:rFonts w:hint="eastAsia"/>
                      <w:color w:val="auto"/>
                      <w:highlight w:val="none"/>
                      <w:lang w:val="en-US" w:eastAsia="zh-CN"/>
                    </w:rPr>
                    <w:t>6</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64047173">
                  <w:pPr>
                    <w:pStyle w:val="53"/>
                    <w:bidi w:val="0"/>
                    <w:rPr>
                      <w:rFonts w:hint="default"/>
                      <w:color w:val="auto"/>
                      <w:highlight w:val="none"/>
                      <w:lang w:val="en-US" w:eastAsia="zh-CN"/>
                    </w:rPr>
                  </w:pPr>
                  <w:r>
                    <w:rPr>
                      <w:rFonts w:hint="default"/>
                      <w:color w:val="auto"/>
                      <w:highlight w:val="none"/>
                    </w:rPr>
                    <w:t>60</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587FC18C">
                  <w:pPr>
                    <w:pStyle w:val="53"/>
                    <w:bidi w:val="0"/>
                    <w:rPr>
                      <w:rFonts w:hint="default"/>
                      <w:color w:val="auto"/>
                      <w:highlight w:val="none"/>
                      <w:lang w:val="en-US" w:eastAsia="zh-CN"/>
                    </w:rPr>
                  </w:pPr>
                  <w:r>
                    <w:rPr>
                      <w:rFonts w:hint="eastAsia"/>
                      <w:color w:val="auto"/>
                      <w:highlight w:val="none"/>
                      <w:lang w:val="en-US" w:eastAsia="zh-CN"/>
                    </w:rPr>
                    <w:t>10.0</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55A1C2CC">
                  <w:pPr>
                    <w:pStyle w:val="53"/>
                    <w:bidi w:val="0"/>
                    <w:rPr>
                      <w:rFonts w:hint="default"/>
                      <w:color w:val="auto"/>
                      <w:highlight w:val="none"/>
                      <w:lang w:val="en-US" w:eastAsia="zh-CN"/>
                    </w:rPr>
                  </w:pPr>
                  <w:r>
                    <w:rPr>
                      <w:rFonts w:hint="default"/>
                      <w:color w:val="auto"/>
                      <w:highlight w:val="none"/>
                    </w:rPr>
                    <w:t>达标</w:t>
                  </w:r>
                </w:p>
              </w:tc>
            </w:tr>
            <w:tr w14:paraId="72F4E8CA">
              <w:tblPrEx>
                <w:tblCellMar>
                  <w:top w:w="0" w:type="dxa"/>
                  <w:left w:w="108" w:type="dxa"/>
                  <w:bottom w:w="0" w:type="dxa"/>
                  <w:right w:w="108" w:type="dxa"/>
                </w:tblCellMar>
              </w:tblPrEx>
              <w:trPr>
                <w:trHeight w:val="2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62659649">
                  <w:pPr>
                    <w:pStyle w:val="53"/>
                    <w:bidi w:val="0"/>
                    <w:rPr>
                      <w:rFonts w:hint="default"/>
                      <w:color w:val="auto"/>
                      <w:highlight w:val="none"/>
                      <w:lang w:val="en-US" w:eastAsia="zh-CN"/>
                    </w:rPr>
                  </w:pPr>
                  <w:r>
                    <w:rPr>
                      <w:rFonts w:hint="default"/>
                      <w:color w:val="auto"/>
                      <w:highlight w:val="none"/>
                    </w:rPr>
                    <w:t>NO</w:t>
                  </w:r>
                  <w:r>
                    <w:rPr>
                      <w:rFonts w:hint="default"/>
                      <w:color w:val="auto"/>
                      <w:highlight w:val="none"/>
                      <w:vertAlign w:val="subscript"/>
                    </w:rPr>
                    <w:t>2</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0F75D880">
                  <w:pPr>
                    <w:pStyle w:val="53"/>
                    <w:bidi w:val="0"/>
                    <w:rPr>
                      <w:rFonts w:hint="default"/>
                      <w:color w:val="auto"/>
                      <w:highlight w:val="none"/>
                      <w:lang w:val="en-US" w:eastAsia="zh-CN"/>
                    </w:rPr>
                  </w:pPr>
                  <w:r>
                    <w:rPr>
                      <w:rFonts w:hint="default"/>
                      <w:color w:val="auto"/>
                      <w:highlight w:val="none"/>
                    </w:rPr>
                    <w:t>年平均质量浓度</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719785FB">
                  <w:pPr>
                    <w:pStyle w:val="53"/>
                    <w:bidi w:val="0"/>
                    <w:rPr>
                      <w:rFonts w:hint="default"/>
                      <w:color w:val="auto"/>
                      <w:highlight w:val="none"/>
                      <w:lang w:val="en-US" w:eastAsia="zh-CN"/>
                    </w:rPr>
                  </w:pPr>
                  <w:r>
                    <w:rPr>
                      <w:rFonts w:hint="eastAsia"/>
                      <w:color w:val="auto"/>
                      <w:highlight w:val="none"/>
                      <w:lang w:val="en-US" w:eastAsia="zh-CN"/>
                    </w:rPr>
                    <w:t>15</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0650D102">
                  <w:pPr>
                    <w:pStyle w:val="53"/>
                    <w:bidi w:val="0"/>
                    <w:rPr>
                      <w:rFonts w:hint="default"/>
                      <w:color w:val="auto"/>
                      <w:highlight w:val="none"/>
                      <w:lang w:val="en-US" w:eastAsia="zh-CN"/>
                    </w:rPr>
                  </w:pPr>
                  <w:r>
                    <w:rPr>
                      <w:rFonts w:hint="default"/>
                      <w:color w:val="auto"/>
                      <w:highlight w:val="none"/>
                    </w:rPr>
                    <w:t>40</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5F700B5D">
                  <w:pPr>
                    <w:pStyle w:val="53"/>
                    <w:bidi w:val="0"/>
                    <w:rPr>
                      <w:rFonts w:hint="default"/>
                      <w:color w:val="auto"/>
                      <w:highlight w:val="none"/>
                      <w:lang w:val="en-US" w:eastAsia="zh-CN"/>
                    </w:rPr>
                  </w:pPr>
                  <w:r>
                    <w:rPr>
                      <w:rFonts w:hint="eastAsia"/>
                      <w:color w:val="auto"/>
                      <w:highlight w:val="none"/>
                      <w:lang w:val="en-US" w:eastAsia="zh-CN"/>
                    </w:rPr>
                    <w:t>37.5</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28FCFC79">
                  <w:pPr>
                    <w:pStyle w:val="53"/>
                    <w:bidi w:val="0"/>
                    <w:rPr>
                      <w:rFonts w:hint="default"/>
                      <w:color w:val="auto"/>
                      <w:highlight w:val="none"/>
                      <w:lang w:val="en-US" w:eastAsia="zh-CN"/>
                    </w:rPr>
                  </w:pPr>
                  <w:r>
                    <w:rPr>
                      <w:rFonts w:hint="default"/>
                      <w:color w:val="auto"/>
                      <w:highlight w:val="none"/>
                    </w:rPr>
                    <w:t>达标</w:t>
                  </w:r>
                </w:p>
              </w:tc>
            </w:tr>
            <w:tr w14:paraId="69588E0D">
              <w:tblPrEx>
                <w:tblCellMar>
                  <w:top w:w="0" w:type="dxa"/>
                  <w:left w:w="108" w:type="dxa"/>
                  <w:bottom w:w="0" w:type="dxa"/>
                  <w:right w:w="108" w:type="dxa"/>
                </w:tblCellMar>
              </w:tblPrEx>
              <w:trPr>
                <w:trHeight w:val="2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3617BB1F">
                  <w:pPr>
                    <w:pStyle w:val="53"/>
                    <w:bidi w:val="0"/>
                    <w:rPr>
                      <w:rFonts w:hint="default"/>
                      <w:color w:val="auto"/>
                      <w:highlight w:val="none"/>
                      <w:lang w:val="en-US" w:eastAsia="zh-CN"/>
                    </w:rPr>
                  </w:pPr>
                  <w:r>
                    <w:rPr>
                      <w:rFonts w:hint="default"/>
                      <w:color w:val="auto"/>
                      <w:highlight w:val="none"/>
                    </w:rPr>
                    <w:t>CO</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18FA4800">
                  <w:pPr>
                    <w:pStyle w:val="53"/>
                    <w:bidi w:val="0"/>
                    <w:rPr>
                      <w:rFonts w:hint="default"/>
                      <w:color w:val="auto"/>
                      <w:highlight w:val="none"/>
                      <w:lang w:val="en-US" w:eastAsia="zh-CN"/>
                    </w:rPr>
                  </w:pPr>
                  <w:r>
                    <w:rPr>
                      <w:rFonts w:hint="default"/>
                      <w:color w:val="auto"/>
                      <w:highlight w:val="none"/>
                    </w:rPr>
                    <w:t>95百分位</w:t>
                  </w:r>
                  <w:r>
                    <w:rPr>
                      <w:rFonts w:hint="default"/>
                      <w:color w:val="auto"/>
                      <w:highlight w:val="none"/>
                      <w:lang w:val="en-US" w:eastAsia="zh-CN"/>
                    </w:rPr>
                    <w:t>数</w:t>
                  </w:r>
                  <w:r>
                    <w:rPr>
                      <w:rFonts w:hint="default"/>
                      <w:color w:val="auto"/>
                      <w:highlight w:val="none"/>
                    </w:rPr>
                    <w:t>日平均</w:t>
                  </w:r>
                  <w:r>
                    <w:rPr>
                      <w:rFonts w:hint="default"/>
                      <w:color w:val="auto"/>
                      <w:highlight w:val="none"/>
                      <w:lang w:val="en-US" w:eastAsia="zh-CN"/>
                    </w:rPr>
                    <w:t>质量</w:t>
                  </w:r>
                  <w:r>
                    <w:rPr>
                      <w:rFonts w:hint="default"/>
                      <w:color w:val="auto"/>
                      <w:highlight w:val="none"/>
                    </w:rPr>
                    <w:t>浓度</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3F9714B0">
                  <w:pPr>
                    <w:pStyle w:val="53"/>
                    <w:bidi w:val="0"/>
                    <w:rPr>
                      <w:rFonts w:hint="default"/>
                      <w:color w:val="auto"/>
                      <w:highlight w:val="none"/>
                      <w:lang w:val="en-US" w:eastAsia="zh-CN"/>
                    </w:rPr>
                  </w:pPr>
                  <w:r>
                    <w:rPr>
                      <w:rFonts w:hint="eastAsia"/>
                      <w:color w:val="auto"/>
                      <w:highlight w:val="none"/>
                      <w:lang w:val="en-US" w:eastAsia="zh-CN"/>
                    </w:rPr>
                    <w:t>800</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34306BD5">
                  <w:pPr>
                    <w:pStyle w:val="53"/>
                    <w:bidi w:val="0"/>
                    <w:rPr>
                      <w:rFonts w:hint="default"/>
                      <w:color w:val="auto"/>
                      <w:highlight w:val="none"/>
                      <w:lang w:val="en-US" w:eastAsia="zh-CN"/>
                    </w:rPr>
                  </w:pPr>
                  <w:r>
                    <w:rPr>
                      <w:rFonts w:hint="default"/>
                      <w:color w:val="auto"/>
                      <w:highlight w:val="none"/>
                      <w:lang w:val="en-US" w:eastAsia="zh-CN"/>
                    </w:rPr>
                    <w:t>4000</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4D332E54">
                  <w:pPr>
                    <w:pStyle w:val="53"/>
                    <w:bidi w:val="0"/>
                    <w:rPr>
                      <w:rFonts w:hint="default"/>
                      <w:color w:val="auto"/>
                      <w:highlight w:val="none"/>
                      <w:lang w:val="en-US" w:eastAsia="zh-CN"/>
                    </w:rPr>
                  </w:pPr>
                  <w:r>
                    <w:rPr>
                      <w:rFonts w:hint="eastAsia"/>
                      <w:color w:val="auto"/>
                      <w:highlight w:val="none"/>
                      <w:lang w:val="en-US" w:eastAsia="zh-CN"/>
                    </w:rPr>
                    <w:t>25.0</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3041E98C">
                  <w:pPr>
                    <w:pStyle w:val="53"/>
                    <w:bidi w:val="0"/>
                    <w:rPr>
                      <w:rFonts w:hint="default"/>
                      <w:color w:val="auto"/>
                      <w:highlight w:val="none"/>
                      <w:lang w:val="en-US" w:eastAsia="zh-CN"/>
                    </w:rPr>
                  </w:pPr>
                  <w:r>
                    <w:rPr>
                      <w:rFonts w:hint="default"/>
                      <w:color w:val="auto"/>
                      <w:highlight w:val="none"/>
                    </w:rPr>
                    <w:t>达标</w:t>
                  </w:r>
                </w:p>
              </w:tc>
            </w:tr>
            <w:tr w14:paraId="0BE237BE">
              <w:tblPrEx>
                <w:tblCellMar>
                  <w:top w:w="0" w:type="dxa"/>
                  <w:left w:w="108" w:type="dxa"/>
                  <w:bottom w:w="0" w:type="dxa"/>
                  <w:right w:w="108" w:type="dxa"/>
                </w:tblCellMar>
              </w:tblPrEx>
              <w:trPr>
                <w:trHeight w:val="2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6EA0B396">
                  <w:pPr>
                    <w:pStyle w:val="53"/>
                    <w:bidi w:val="0"/>
                    <w:rPr>
                      <w:rFonts w:hint="default"/>
                      <w:color w:val="auto"/>
                      <w:highlight w:val="none"/>
                      <w:lang w:val="en-US" w:eastAsia="zh-CN"/>
                    </w:rPr>
                  </w:pPr>
                  <w:r>
                    <w:rPr>
                      <w:rFonts w:hint="default"/>
                      <w:color w:val="auto"/>
                      <w:highlight w:val="none"/>
                    </w:rPr>
                    <w:t>O</w:t>
                  </w:r>
                  <w:r>
                    <w:rPr>
                      <w:rFonts w:hint="default"/>
                      <w:color w:val="auto"/>
                      <w:highlight w:val="none"/>
                      <w:vertAlign w:val="subscript"/>
                    </w:rPr>
                    <w:t>3</w:t>
                  </w:r>
                </w:p>
              </w:tc>
              <w:tc>
                <w:tcPr>
                  <w:tcW w:w="1775" w:type="pct"/>
                  <w:tcBorders>
                    <w:top w:val="single" w:color="auto" w:sz="4" w:space="0"/>
                    <w:left w:val="single" w:color="auto" w:sz="4" w:space="0"/>
                    <w:bottom w:val="single" w:color="auto" w:sz="4" w:space="0"/>
                    <w:right w:val="single" w:color="auto" w:sz="4" w:space="0"/>
                  </w:tcBorders>
                  <w:noWrap w:val="0"/>
                  <w:vAlign w:val="center"/>
                </w:tcPr>
                <w:p w14:paraId="537CBA8F">
                  <w:pPr>
                    <w:pStyle w:val="53"/>
                    <w:bidi w:val="0"/>
                    <w:rPr>
                      <w:rFonts w:hint="default"/>
                      <w:color w:val="auto"/>
                      <w:highlight w:val="none"/>
                      <w:lang w:val="en-US" w:eastAsia="zh-CN"/>
                    </w:rPr>
                  </w:pPr>
                  <w:r>
                    <w:rPr>
                      <w:rFonts w:hint="default"/>
                      <w:color w:val="auto"/>
                      <w:highlight w:val="none"/>
                    </w:rPr>
                    <w:t>90百分位</w:t>
                  </w:r>
                  <w:r>
                    <w:rPr>
                      <w:rFonts w:hint="default"/>
                      <w:color w:val="auto"/>
                      <w:highlight w:val="none"/>
                      <w:lang w:val="en-US" w:eastAsia="zh-CN"/>
                    </w:rPr>
                    <w:t>数最大</w:t>
                  </w:r>
                  <w:r>
                    <w:rPr>
                      <w:rFonts w:hint="default"/>
                      <w:color w:val="auto"/>
                      <w:highlight w:val="none"/>
                    </w:rPr>
                    <w:t>8h平均质量浓度</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6C465B75">
                  <w:pPr>
                    <w:pStyle w:val="53"/>
                    <w:bidi w:val="0"/>
                    <w:rPr>
                      <w:rFonts w:hint="default"/>
                      <w:color w:val="auto"/>
                      <w:highlight w:val="none"/>
                      <w:lang w:val="en-US" w:eastAsia="zh-CN"/>
                    </w:rPr>
                  </w:pPr>
                  <w:r>
                    <w:rPr>
                      <w:rFonts w:hint="eastAsia"/>
                      <w:color w:val="auto"/>
                      <w:highlight w:val="none"/>
                      <w:lang w:val="en-US" w:eastAsia="zh-CN"/>
                    </w:rPr>
                    <w:t>138</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2C05B6A8">
                  <w:pPr>
                    <w:pStyle w:val="53"/>
                    <w:bidi w:val="0"/>
                    <w:rPr>
                      <w:rFonts w:hint="default"/>
                      <w:color w:val="auto"/>
                      <w:highlight w:val="none"/>
                      <w:lang w:val="en-US" w:eastAsia="zh-CN"/>
                    </w:rPr>
                  </w:pPr>
                  <w:r>
                    <w:rPr>
                      <w:rFonts w:hint="default"/>
                      <w:color w:val="auto"/>
                      <w:highlight w:val="none"/>
                    </w:rPr>
                    <w:t>160</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48B6920D">
                  <w:pPr>
                    <w:pStyle w:val="53"/>
                    <w:bidi w:val="0"/>
                    <w:rPr>
                      <w:rFonts w:hint="default"/>
                      <w:color w:val="auto"/>
                      <w:highlight w:val="none"/>
                      <w:lang w:val="en-US" w:eastAsia="zh-CN"/>
                    </w:rPr>
                  </w:pPr>
                  <w:r>
                    <w:rPr>
                      <w:rFonts w:hint="eastAsia"/>
                      <w:color w:val="auto"/>
                      <w:highlight w:val="none"/>
                      <w:lang w:val="en-US" w:eastAsia="zh-CN"/>
                    </w:rPr>
                    <w:t>86.3</w:t>
                  </w:r>
                </w:p>
              </w:tc>
              <w:tc>
                <w:tcPr>
                  <w:tcW w:w="565" w:type="pct"/>
                  <w:tcBorders>
                    <w:top w:val="single" w:color="auto" w:sz="4" w:space="0"/>
                    <w:left w:val="single" w:color="auto" w:sz="4" w:space="0"/>
                    <w:bottom w:val="single" w:color="auto" w:sz="4" w:space="0"/>
                    <w:right w:val="single" w:color="auto" w:sz="4" w:space="0"/>
                  </w:tcBorders>
                  <w:noWrap w:val="0"/>
                  <w:vAlign w:val="center"/>
                </w:tcPr>
                <w:p w14:paraId="794058BA">
                  <w:pPr>
                    <w:pStyle w:val="53"/>
                    <w:bidi w:val="0"/>
                    <w:rPr>
                      <w:rFonts w:hint="default"/>
                      <w:color w:val="auto"/>
                      <w:highlight w:val="none"/>
                      <w:lang w:val="en-US" w:eastAsia="zh-CN"/>
                    </w:rPr>
                  </w:pPr>
                  <w:r>
                    <w:rPr>
                      <w:rFonts w:hint="default"/>
                      <w:color w:val="auto"/>
                      <w:highlight w:val="none"/>
                    </w:rPr>
                    <w:t>达标</w:t>
                  </w:r>
                </w:p>
              </w:tc>
            </w:tr>
          </w:tbl>
          <w:p w14:paraId="1D8E64B8">
            <w:pPr>
              <w:bidi w:val="0"/>
              <w:rPr>
                <w:rFonts w:hint="default"/>
                <w:color w:val="auto"/>
                <w:highlight w:val="none"/>
                <w:lang w:val="en-US" w:eastAsia="zh-CN"/>
              </w:rPr>
            </w:pPr>
            <w:r>
              <w:rPr>
                <w:rFonts w:hint="eastAsia"/>
                <w:color w:val="auto"/>
                <w:highlight w:val="none"/>
                <w:lang w:val="en-US" w:eastAsia="zh-CN"/>
              </w:rPr>
              <w:t>根据上表内容，本项目所在区域</w:t>
            </w:r>
            <w:r>
              <w:rPr>
                <w:color w:val="auto"/>
                <w:sz w:val="24"/>
                <w:szCs w:val="24"/>
                <w:highlight w:val="none"/>
              </w:rPr>
              <w:t>202</w:t>
            </w:r>
            <w:r>
              <w:rPr>
                <w:rFonts w:hint="eastAsia"/>
                <w:color w:val="auto"/>
                <w:sz w:val="24"/>
                <w:szCs w:val="24"/>
                <w:highlight w:val="none"/>
                <w:lang w:val="en-US" w:eastAsia="zh-CN"/>
              </w:rPr>
              <w:t>5</w:t>
            </w:r>
            <w:r>
              <w:rPr>
                <w:color w:val="auto"/>
                <w:sz w:val="24"/>
                <w:szCs w:val="24"/>
                <w:highlight w:val="none"/>
              </w:rPr>
              <w:t>年</w:t>
            </w:r>
            <w:r>
              <w:rPr>
                <w:rFonts w:hint="eastAsia"/>
                <w:color w:val="auto"/>
                <w:sz w:val="24"/>
                <w:szCs w:val="24"/>
                <w:highlight w:val="none"/>
              </w:rPr>
              <w:t>1~12月</w:t>
            </w:r>
            <w:r>
              <w:rPr>
                <w:color w:val="auto"/>
                <w:sz w:val="24"/>
                <w:szCs w:val="24"/>
                <w:highlight w:val="none"/>
              </w:rPr>
              <w:t>环境空气中PM</w:t>
            </w:r>
            <w:r>
              <w:rPr>
                <w:color w:val="auto"/>
                <w:sz w:val="24"/>
                <w:szCs w:val="24"/>
                <w:highlight w:val="none"/>
                <w:vertAlign w:val="subscript"/>
              </w:rPr>
              <w:t>10</w:t>
            </w:r>
            <w:r>
              <w:rPr>
                <w:color w:val="auto"/>
                <w:sz w:val="24"/>
                <w:szCs w:val="24"/>
                <w:highlight w:val="none"/>
              </w:rPr>
              <w:t>、PM</w:t>
            </w:r>
            <w:r>
              <w:rPr>
                <w:color w:val="auto"/>
                <w:sz w:val="24"/>
                <w:szCs w:val="24"/>
                <w:highlight w:val="none"/>
                <w:vertAlign w:val="subscript"/>
              </w:rPr>
              <w:t>2.5</w:t>
            </w:r>
            <w:r>
              <w:rPr>
                <w:color w:val="auto"/>
                <w:sz w:val="24"/>
                <w:szCs w:val="24"/>
                <w:highlight w:val="none"/>
              </w:rPr>
              <w:t>年平均质量浓度</w:t>
            </w:r>
            <w:r>
              <w:rPr>
                <w:rFonts w:hint="eastAsia"/>
                <w:color w:val="auto"/>
                <w:sz w:val="24"/>
                <w:szCs w:val="24"/>
                <w:highlight w:val="none"/>
              </w:rPr>
              <w:t>、</w:t>
            </w:r>
            <w:r>
              <w:rPr>
                <w:color w:val="auto"/>
                <w:sz w:val="24"/>
                <w:szCs w:val="24"/>
                <w:highlight w:val="none"/>
              </w:rPr>
              <w:t>SO</w:t>
            </w:r>
            <w:r>
              <w:rPr>
                <w:color w:val="auto"/>
                <w:sz w:val="24"/>
                <w:szCs w:val="24"/>
                <w:highlight w:val="none"/>
                <w:vertAlign w:val="subscript"/>
              </w:rPr>
              <w:t>2</w:t>
            </w:r>
            <w:r>
              <w:rPr>
                <w:color w:val="auto"/>
                <w:sz w:val="24"/>
                <w:szCs w:val="24"/>
                <w:highlight w:val="none"/>
              </w:rPr>
              <w:t>、NO</w:t>
            </w:r>
            <w:r>
              <w:rPr>
                <w:color w:val="auto"/>
                <w:sz w:val="24"/>
                <w:szCs w:val="24"/>
                <w:highlight w:val="none"/>
                <w:vertAlign w:val="subscript"/>
              </w:rPr>
              <w:t>2</w:t>
            </w:r>
            <w:r>
              <w:rPr>
                <w:color w:val="auto"/>
                <w:sz w:val="24"/>
                <w:szCs w:val="24"/>
                <w:highlight w:val="none"/>
              </w:rPr>
              <w:t>年平均质量浓度、CO24小时平均质量浓度第95百分位现状浓度、O</w:t>
            </w:r>
            <w:r>
              <w:rPr>
                <w:color w:val="auto"/>
                <w:sz w:val="24"/>
                <w:szCs w:val="24"/>
                <w:highlight w:val="none"/>
                <w:vertAlign w:val="subscript"/>
              </w:rPr>
              <w:t>3</w:t>
            </w:r>
            <w:r>
              <w:rPr>
                <w:color w:val="auto"/>
                <w:sz w:val="24"/>
                <w:szCs w:val="24"/>
                <w:highlight w:val="none"/>
              </w:rPr>
              <w:t>最大8小时平均值的第90百分位数现状浓度均</w:t>
            </w:r>
            <w:r>
              <w:rPr>
                <w:rFonts w:hint="default"/>
                <w:color w:val="auto"/>
                <w:highlight w:val="none"/>
                <w:lang w:val="en-US" w:eastAsia="zh-CN"/>
              </w:rPr>
              <w:t>符合《环境空气质量标准》（GB3095-</w:t>
            </w:r>
            <w:r>
              <w:rPr>
                <w:rFonts w:hint="eastAsia"/>
                <w:color w:val="auto"/>
                <w:highlight w:val="none"/>
                <w:lang w:val="en-US" w:eastAsia="zh-CN"/>
              </w:rPr>
              <w:t>2026</w:t>
            </w:r>
            <w:r>
              <w:rPr>
                <w:rFonts w:hint="default"/>
                <w:color w:val="auto"/>
                <w:highlight w:val="none"/>
                <w:lang w:val="en-US" w:eastAsia="zh-CN"/>
              </w:rPr>
              <w:t>）</w:t>
            </w:r>
            <w:r>
              <w:rPr>
                <w:rFonts w:hint="eastAsia" w:cs="Times New Roman"/>
                <w:color w:val="auto"/>
                <w:sz w:val="24"/>
                <w:highlight w:val="none"/>
                <w:lang w:val="en-US" w:eastAsia="zh-CN"/>
              </w:rPr>
              <w:t>过渡阶段</w:t>
            </w:r>
            <w:r>
              <w:rPr>
                <w:rFonts w:hint="default"/>
                <w:color w:val="auto"/>
                <w:highlight w:val="none"/>
                <w:lang w:val="en-US" w:eastAsia="zh-CN"/>
              </w:rPr>
              <w:t>二级标准限值要求。因此，本项目所在区域为环境空气质量达标区。</w:t>
            </w:r>
          </w:p>
          <w:p w14:paraId="3B2DFE98">
            <w:pPr>
              <w:bidi w:val="0"/>
              <w:rPr>
                <w:rFonts w:hint="default"/>
                <w:color w:val="auto"/>
                <w:highlight w:val="none"/>
                <w:lang w:val="en-US" w:eastAsia="zh-CN"/>
              </w:rPr>
            </w:pPr>
            <w:r>
              <w:rPr>
                <w:rFonts w:hint="eastAsia"/>
                <w:color w:val="auto"/>
                <w:highlight w:val="none"/>
                <w:lang w:val="en-US" w:eastAsia="zh-CN"/>
              </w:rPr>
              <w:t>（2）特征污染物</w:t>
            </w:r>
          </w:p>
          <w:p w14:paraId="3B941E8A">
            <w:pPr>
              <w:tabs>
                <w:tab w:val="left" w:pos="4266"/>
              </w:tabs>
              <w:spacing w:line="360" w:lineRule="auto"/>
              <w:ind w:firstLine="480" w:firstLineChars="200"/>
              <w:contextualSpacing/>
              <w:rPr>
                <w:color w:val="auto"/>
                <w:sz w:val="24"/>
              </w:rPr>
            </w:pPr>
            <w:r>
              <w:rPr>
                <w:rFonts w:hint="eastAsia"/>
                <w:color w:val="auto"/>
                <w:sz w:val="24"/>
              </w:rPr>
              <w:t>本项目特征污染物为NOx。本次评价引用陕西珈迈森环境检测有限公司于2024年4月28日-5月1日对陕西新海和铝业科技有限责任公司所在地的环境质量现状监测数据，监测点位于本项目西南</w:t>
            </w:r>
            <w:r>
              <w:rPr>
                <w:rFonts w:hint="eastAsia"/>
                <w:color w:val="auto"/>
                <w:sz w:val="24"/>
                <w:lang w:val="en-US" w:eastAsia="zh-CN"/>
              </w:rPr>
              <w:t>3434</w:t>
            </w:r>
            <w:r>
              <w:rPr>
                <w:rFonts w:hint="eastAsia"/>
                <w:color w:val="auto"/>
                <w:sz w:val="24"/>
              </w:rPr>
              <w:t>m处。</w:t>
            </w:r>
            <w:r>
              <w:rPr>
                <w:color w:val="auto"/>
                <w:sz w:val="24"/>
              </w:rPr>
              <w:t>符合</w:t>
            </w:r>
            <w:r>
              <w:rPr>
                <w:rFonts w:hint="eastAsia"/>
                <w:color w:val="auto"/>
                <w:sz w:val="24"/>
              </w:rPr>
              <w:t>“排放国家、地方环境空气质量标准中有标准限值要求的特征污染物时，引用建设项目周边5千米范围内近3年的现有监测数据”的要求</w:t>
            </w:r>
            <w:r>
              <w:rPr>
                <w:color w:val="auto"/>
                <w:sz w:val="24"/>
              </w:rPr>
              <w:t>。监测数据</w:t>
            </w:r>
            <w:r>
              <w:rPr>
                <w:rFonts w:hint="eastAsia"/>
                <w:color w:val="auto"/>
                <w:sz w:val="24"/>
              </w:rPr>
              <w:t>见表3-2</w:t>
            </w:r>
            <w:r>
              <w:rPr>
                <w:color w:val="auto"/>
                <w:sz w:val="24"/>
              </w:rPr>
              <w:t>。</w:t>
            </w:r>
          </w:p>
          <w:p w14:paraId="7CC15550">
            <w:pPr>
              <w:jc w:val="center"/>
              <w:rPr>
                <w:rFonts w:hint="eastAsia"/>
                <w:b/>
                <w:color w:val="auto"/>
                <w:szCs w:val="21"/>
              </w:rPr>
            </w:pPr>
          </w:p>
          <w:p w14:paraId="2BCE8650">
            <w:pPr>
              <w:spacing w:line="240" w:lineRule="auto"/>
              <w:jc w:val="center"/>
              <w:rPr>
                <w:b/>
                <w:color w:val="auto"/>
                <w:sz w:val="21"/>
                <w:szCs w:val="18"/>
              </w:rPr>
            </w:pPr>
            <w:r>
              <w:rPr>
                <w:rFonts w:hint="eastAsia"/>
                <w:b/>
                <w:color w:val="auto"/>
                <w:sz w:val="21"/>
                <w:szCs w:val="18"/>
              </w:rPr>
              <w:t>表3-2特征污染物环境质量现状监测数据统计表</w:t>
            </w:r>
          </w:p>
          <w:tbl>
            <w:tblPr>
              <w:tblStyle w:val="8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021"/>
              <w:gridCol w:w="1983"/>
              <w:gridCol w:w="2026"/>
              <w:gridCol w:w="1989"/>
            </w:tblGrid>
            <w:tr w14:paraId="49EEF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279" w:type="dxa"/>
                  <w:vMerge w:val="restart"/>
                  <w:vAlign w:val="center"/>
                </w:tcPr>
                <w:p w14:paraId="539B221E">
                  <w:pPr>
                    <w:pStyle w:val="85"/>
                    <w:rPr>
                      <w:color w:val="auto"/>
                    </w:rPr>
                  </w:pPr>
                  <w:r>
                    <w:rPr>
                      <w:color w:val="auto"/>
                    </w:rPr>
                    <w:t>监测日期</w:t>
                  </w:r>
                </w:p>
              </w:tc>
              <w:tc>
                <w:tcPr>
                  <w:tcW w:w="2183" w:type="dxa"/>
                  <w:vAlign w:val="center"/>
                </w:tcPr>
                <w:p w14:paraId="5126F3B2">
                  <w:pPr>
                    <w:pStyle w:val="85"/>
                    <w:rPr>
                      <w:color w:val="auto"/>
                    </w:rPr>
                  </w:pPr>
                  <w:r>
                    <w:rPr>
                      <w:color w:val="auto"/>
                    </w:rPr>
                    <w:t>监测结果</w:t>
                  </w:r>
                </w:p>
              </w:tc>
              <w:tc>
                <w:tcPr>
                  <w:tcW w:w="2183" w:type="dxa"/>
                  <w:vMerge w:val="restart"/>
                  <w:vAlign w:val="center"/>
                </w:tcPr>
                <w:p w14:paraId="37CC705C">
                  <w:pPr>
                    <w:pStyle w:val="85"/>
                    <w:rPr>
                      <w:color w:val="auto"/>
                    </w:rPr>
                  </w:pPr>
                  <w:r>
                    <w:rPr>
                      <w:color w:val="auto"/>
                    </w:rPr>
                    <w:t>标准限值</w:t>
                  </w:r>
                </w:p>
              </w:tc>
              <w:tc>
                <w:tcPr>
                  <w:tcW w:w="2210" w:type="dxa"/>
                  <w:vMerge w:val="restart"/>
                  <w:vAlign w:val="center"/>
                </w:tcPr>
                <w:p w14:paraId="3148B339">
                  <w:pPr>
                    <w:pStyle w:val="85"/>
                    <w:rPr>
                      <w:color w:val="auto"/>
                    </w:rPr>
                  </w:pPr>
                  <w:r>
                    <w:rPr>
                      <w:color w:val="auto"/>
                    </w:rPr>
                    <w:t>占标率</w:t>
                  </w:r>
                </w:p>
              </w:tc>
            </w:tr>
            <w:tr w14:paraId="681D1C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279" w:type="dxa"/>
                  <w:vMerge w:val="continue"/>
                  <w:vAlign w:val="center"/>
                </w:tcPr>
                <w:p w14:paraId="231224C7">
                  <w:pPr>
                    <w:pStyle w:val="85"/>
                    <w:rPr>
                      <w:b w:val="0"/>
                      <w:bCs/>
                      <w:color w:val="auto"/>
                    </w:rPr>
                  </w:pPr>
                </w:p>
              </w:tc>
              <w:tc>
                <w:tcPr>
                  <w:tcW w:w="2183" w:type="dxa"/>
                  <w:vAlign w:val="center"/>
                </w:tcPr>
                <w:p w14:paraId="3F15B990">
                  <w:pPr>
                    <w:pStyle w:val="85"/>
                    <w:rPr>
                      <w:color w:val="auto"/>
                    </w:rPr>
                  </w:pPr>
                  <w:r>
                    <w:rPr>
                      <w:color w:val="auto"/>
                    </w:rPr>
                    <w:t>NOx  mg/m³</w:t>
                  </w:r>
                </w:p>
              </w:tc>
              <w:tc>
                <w:tcPr>
                  <w:tcW w:w="2183" w:type="dxa"/>
                  <w:vMerge w:val="continue"/>
                  <w:vAlign w:val="center"/>
                </w:tcPr>
                <w:p w14:paraId="43C55EB9">
                  <w:pPr>
                    <w:pStyle w:val="85"/>
                    <w:rPr>
                      <w:b w:val="0"/>
                      <w:bCs/>
                      <w:color w:val="auto"/>
                    </w:rPr>
                  </w:pPr>
                </w:p>
              </w:tc>
              <w:tc>
                <w:tcPr>
                  <w:tcW w:w="2210" w:type="dxa"/>
                  <w:vMerge w:val="continue"/>
                  <w:vAlign w:val="center"/>
                </w:tcPr>
                <w:p w14:paraId="14B433F3">
                  <w:pPr>
                    <w:pStyle w:val="85"/>
                    <w:rPr>
                      <w:b w:val="0"/>
                      <w:bCs/>
                      <w:color w:val="auto"/>
                    </w:rPr>
                  </w:pPr>
                </w:p>
              </w:tc>
            </w:tr>
            <w:tr w14:paraId="32064B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279" w:type="dxa"/>
                  <w:vAlign w:val="center"/>
                </w:tcPr>
                <w:p w14:paraId="6153A973">
                  <w:pPr>
                    <w:pStyle w:val="85"/>
                    <w:rPr>
                      <w:b w:val="0"/>
                      <w:bCs/>
                      <w:color w:val="auto"/>
                    </w:rPr>
                  </w:pPr>
                  <w:r>
                    <w:rPr>
                      <w:b w:val="0"/>
                      <w:bCs/>
                      <w:color w:val="auto"/>
                    </w:rPr>
                    <w:t>4月28日</w:t>
                  </w:r>
                </w:p>
              </w:tc>
              <w:tc>
                <w:tcPr>
                  <w:tcW w:w="2183" w:type="dxa"/>
                  <w:vAlign w:val="center"/>
                </w:tcPr>
                <w:p w14:paraId="7BEF725B">
                  <w:pPr>
                    <w:pStyle w:val="85"/>
                    <w:rPr>
                      <w:b w:val="0"/>
                      <w:bCs/>
                      <w:color w:val="auto"/>
                    </w:rPr>
                  </w:pPr>
                  <w:r>
                    <w:rPr>
                      <w:b w:val="0"/>
                      <w:bCs/>
                      <w:color w:val="auto"/>
                    </w:rPr>
                    <w:t>0.012</w:t>
                  </w:r>
                </w:p>
              </w:tc>
              <w:tc>
                <w:tcPr>
                  <w:tcW w:w="2183" w:type="dxa"/>
                  <w:vMerge w:val="restart"/>
                  <w:vAlign w:val="center"/>
                </w:tcPr>
                <w:p w14:paraId="30E4CDD9">
                  <w:pPr>
                    <w:pStyle w:val="85"/>
                    <w:rPr>
                      <w:rFonts w:hint="eastAsia" w:eastAsia="宋体"/>
                      <w:b w:val="0"/>
                      <w:bCs/>
                      <w:color w:val="auto"/>
                      <w:lang w:val="en-US" w:eastAsia="zh-CN"/>
                    </w:rPr>
                  </w:pPr>
                  <w:r>
                    <w:rPr>
                      <w:b w:val="0"/>
                      <w:bCs/>
                      <w:color w:val="auto"/>
                    </w:rPr>
                    <w:t>0.25mg/m</w:t>
                  </w:r>
                  <w:r>
                    <w:rPr>
                      <w:rFonts w:hint="eastAsia"/>
                      <w:b w:val="0"/>
                      <w:bCs/>
                      <w:color w:val="auto"/>
                      <w:vertAlign w:val="superscript"/>
                      <w:lang w:val="en-US" w:eastAsia="zh-CN"/>
                    </w:rPr>
                    <w:t>3</w:t>
                  </w:r>
                </w:p>
              </w:tc>
              <w:tc>
                <w:tcPr>
                  <w:tcW w:w="2210" w:type="dxa"/>
                  <w:vAlign w:val="center"/>
                </w:tcPr>
                <w:p w14:paraId="0C53DB1B">
                  <w:pPr>
                    <w:pStyle w:val="85"/>
                    <w:rPr>
                      <w:b w:val="0"/>
                      <w:bCs/>
                      <w:color w:val="auto"/>
                    </w:rPr>
                  </w:pPr>
                  <w:r>
                    <w:rPr>
                      <w:b w:val="0"/>
                      <w:bCs/>
                      <w:color w:val="auto"/>
                    </w:rPr>
                    <w:t>4.8%</w:t>
                  </w:r>
                </w:p>
              </w:tc>
            </w:tr>
            <w:tr w14:paraId="1484BB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279" w:type="dxa"/>
                  <w:vAlign w:val="center"/>
                </w:tcPr>
                <w:p w14:paraId="0B48F96F">
                  <w:pPr>
                    <w:pStyle w:val="85"/>
                    <w:rPr>
                      <w:b w:val="0"/>
                      <w:bCs/>
                      <w:color w:val="auto"/>
                    </w:rPr>
                  </w:pPr>
                  <w:r>
                    <w:rPr>
                      <w:b w:val="0"/>
                      <w:bCs/>
                      <w:color w:val="auto"/>
                    </w:rPr>
                    <w:t>4月29日</w:t>
                  </w:r>
                </w:p>
              </w:tc>
              <w:tc>
                <w:tcPr>
                  <w:tcW w:w="2183" w:type="dxa"/>
                  <w:vAlign w:val="center"/>
                </w:tcPr>
                <w:p w14:paraId="2741AD43">
                  <w:pPr>
                    <w:pStyle w:val="85"/>
                    <w:rPr>
                      <w:b w:val="0"/>
                      <w:bCs/>
                      <w:color w:val="auto"/>
                    </w:rPr>
                  </w:pPr>
                  <w:r>
                    <w:rPr>
                      <w:b w:val="0"/>
                      <w:bCs/>
                      <w:color w:val="auto"/>
                    </w:rPr>
                    <w:t>0.008</w:t>
                  </w:r>
                </w:p>
              </w:tc>
              <w:tc>
                <w:tcPr>
                  <w:tcW w:w="2183" w:type="dxa"/>
                  <w:vMerge w:val="continue"/>
                  <w:vAlign w:val="center"/>
                </w:tcPr>
                <w:p w14:paraId="54443471">
                  <w:pPr>
                    <w:pStyle w:val="85"/>
                    <w:rPr>
                      <w:b w:val="0"/>
                      <w:bCs/>
                      <w:color w:val="auto"/>
                    </w:rPr>
                  </w:pPr>
                </w:p>
              </w:tc>
              <w:tc>
                <w:tcPr>
                  <w:tcW w:w="2210" w:type="dxa"/>
                  <w:vAlign w:val="center"/>
                </w:tcPr>
                <w:p w14:paraId="756D7423">
                  <w:pPr>
                    <w:pStyle w:val="85"/>
                    <w:rPr>
                      <w:b w:val="0"/>
                      <w:bCs/>
                      <w:color w:val="auto"/>
                    </w:rPr>
                  </w:pPr>
                  <w:r>
                    <w:rPr>
                      <w:b w:val="0"/>
                      <w:bCs/>
                      <w:color w:val="auto"/>
                    </w:rPr>
                    <w:t>3.2%</w:t>
                  </w:r>
                </w:p>
              </w:tc>
            </w:tr>
            <w:tr w14:paraId="542426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279" w:type="dxa"/>
                  <w:vAlign w:val="center"/>
                </w:tcPr>
                <w:p w14:paraId="59379637">
                  <w:pPr>
                    <w:pStyle w:val="85"/>
                    <w:rPr>
                      <w:b w:val="0"/>
                      <w:bCs/>
                      <w:color w:val="auto"/>
                    </w:rPr>
                  </w:pPr>
                  <w:r>
                    <w:rPr>
                      <w:b w:val="0"/>
                      <w:bCs/>
                      <w:color w:val="auto"/>
                    </w:rPr>
                    <w:t>4月30日</w:t>
                  </w:r>
                </w:p>
              </w:tc>
              <w:tc>
                <w:tcPr>
                  <w:tcW w:w="2183" w:type="dxa"/>
                  <w:vAlign w:val="center"/>
                </w:tcPr>
                <w:p w14:paraId="52F729CF">
                  <w:pPr>
                    <w:pStyle w:val="85"/>
                    <w:rPr>
                      <w:b w:val="0"/>
                      <w:bCs/>
                      <w:color w:val="auto"/>
                    </w:rPr>
                  </w:pPr>
                  <w:r>
                    <w:rPr>
                      <w:b w:val="0"/>
                      <w:bCs/>
                      <w:color w:val="auto"/>
                    </w:rPr>
                    <w:t>0.017</w:t>
                  </w:r>
                </w:p>
              </w:tc>
              <w:tc>
                <w:tcPr>
                  <w:tcW w:w="2183" w:type="dxa"/>
                  <w:vMerge w:val="continue"/>
                  <w:vAlign w:val="center"/>
                </w:tcPr>
                <w:p w14:paraId="208AFE46">
                  <w:pPr>
                    <w:pStyle w:val="85"/>
                    <w:rPr>
                      <w:b w:val="0"/>
                      <w:bCs/>
                      <w:color w:val="auto"/>
                    </w:rPr>
                  </w:pPr>
                </w:p>
              </w:tc>
              <w:tc>
                <w:tcPr>
                  <w:tcW w:w="2210" w:type="dxa"/>
                  <w:vAlign w:val="center"/>
                </w:tcPr>
                <w:p w14:paraId="049BE41E">
                  <w:pPr>
                    <w:pStyle w:val="85"/>
                    <w:rPr>
                      <w:b w:val="0"/>
                      <w:bCs/>
                      <w:color w:val="auto"/>
                    </w:rPr>
                  </w:pPr>
                  <w:r>
                    <w:rPr>
                      <w:b w:val="0"/>
                      <w:bCs/>
                      <w:color w:val="auto"/>
                    </w:rPr>
                    <w:t>6.8%</w:t>
                  </w:r>
                </w:p>
              </w:tc>
            </w:tr>
          </w:tbl>
          <w:p w14:paraId="643009EE">
            <w:pPr>
              <w:tabs>
                <w:tab w:val="left" w:pos="4266"/>
              </w:tabs>
              <w:spacing w:line="360" w:lineRule="auto"/>
              <w:ind w:firstLine="480" w:firstLineChars="200"/>
              <w:contextualSpacing/>
              <w:rPr>
                <w:color w:val="auto"/>
                <w:sz w:val="24"/>
              </w:rPr>
            </w:pPr>
            <w:r>
              <w:rPr>
                <w:color w:val="auto"/>
                <w:sz w:val="24"/>
              </w:rPr>
              <w:t>由上表数据可知，</w:t>
            </w:r>
            <w:r>
              <w:rPr>
                <w:rFonts w:hint="eastAsia"/>
                <w:color w:val="auto"/>
                <w:sz w:val="24"/>
              </w:rPr>
              <w:t>项目</w:t>
            </w:r>
            <w:r>
              <w:rPr>
                <w:color w:val="auto"/>
                <w:sz w:val="24"/>
              </w:rPr>
              <w:t>所在区域</w:t>
            </w:r>
            <w:r>
              <w:rPr>
                <w:rFonts w:hint="eastAsia"/>
                <w:color w:val="auto"/>
                <w:sz w:val="24"/>
              </w:rPr>
              <w:t>NOx 监测浓度值符合《环境空气质量标准》（</w:t>
            </w:r>
            <w:r>
              <w:rPr>
                <w:color w:val="auto"/>
                <w:sz w:val="24"/>
              </w:rPr>
              <w:t>GB3095-20</w:t>
            </w:r>
            <w:r>
              <w:rPr>
                <w:rFonts w:hint="eastAsia"/>
                <w:color w:val="auto"/>
                <w:sz w:val="24"/>
                <w:lang w:val="en-US" w:eastAsia="zh-CN"/>
              </w:rPr>
              <w:t>26</w:t>
            </w:r>
            <w:r>
              <w:rPr>
                <w:rFonts w:hint="eastAsia"/>
                <w:color w:val="auto"/>
                <w:sz w:val="24"/>
              </w:rPr>
              <w:t>）二级标准限值。</w:t>
            </w:r>
          </w:p>
          <w:p w14:paraId="367F847C">
            <w:pPr>
              <w:pStyle w:val="85"/>
              <w:rPr>
                <w:color w:val="auto"/>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1910715</wp:posOffset>
                      </wp:positionH>
                      <wp:positionV relativeFrom="paragraph">
                        <wp:posOffset>851535</wp:posOffset>
                      </wp:positionV>
                      <wp:extent cx="687705" cy="307340"/>
                      <wp:effectExtent l="0" t="0" r="0" b="0"/>
                      <wp:wrapNone/>
                      <wp:docPr id="20" name="文本框 20"/>
                      <wp:cNvGraphicFramePr/>
                      <a:graphic xmlns:a="http://schemas.openxmlformats.org/drawingml/2006/main">
                        <a:graphicData uri="http://schemas.microsoft.com/office/word/2010/wordprocessingShape">
                          <wps:wsp>
                            <wps:cNvSpPr txBox="1"/>
                            <wps:spPr>
                              <a:xfrm>
                                <a:off x="3639820" y="3801110"/>
                                <a:ext cx="687705"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8881E">
                                  <w:pPr>
                                    <w:ind w:left="0" w:leftChars="0" w:firstLine="0" w:firstLineChars="0"/>
                                    <w:rPr>
                                      <w:rFonts w:hint="default" w:eastAsia="宋体"/>
                                      <w:b/>
                                      <w:bCs/>
                                      <w:color w:val="FF0000"/>
                                      <w:lang w:val="en-US" w:eastAsia="zh-CN"/>
                                    </w:rPr>
                                  </w:pPr>
                                  <w:r>
                                    <w:rPr>
                                      <w:rFonts w:hint="eastAsia"/>
                                      <w:b/>
                                      <w:bCs/>
                                      <w:color w:val="000000" w:themeColor="text1"/>
                                      <w:lang w:val="en-US" w:eastAsia="zh-CN"/>
                                      <w14:textFill>
                                        <w14:solidFill>
                                          <w14:schemeClr w14:val="tx1"/>
                                        </w14:solidFill>
                                      </w14:textFill>
                                    </w:rPr>
                                    <w:t>3434m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45pt;margin-top:67.05pt;height:24.2pt;width:54.15pt;z-index:251659264;mso-width-relative:page;mso-height-relative:page;" filled="f" stroked="f" coordsize="21600,21600" o:gfxdata="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WQNsAAAALAQAADwAAAAAAAAAB&#10;ACAAAAAiAAAAZHJzL2Rvd25yZXYueG1sUEsBAhQAFAAAAAgAh07iQCMWjUZGAgAAcwQAAA4AAAAA&#10;AAAAAQAgAAAAKgEAAGRycy9lMm9Eb2MueG1sUEsFBgAAAAAGAAYAWQEAAOIFAAAAAA==&#10;">
                      <v:fill on="f" focussize="0,0"/>
                      <v:stroke on="f" weight="0.5pt"/>
                      <v:imagedata o:title=""/>
                      <o:lock v:ext="edit" aspectratio="f"/>
                      <v:textbox>
                        <w:txbxContent>
                          <w:p w14:paraId="5278881E">
                            <w:pPr>
                              <w:ind w:left="0" w:leftChars="0" w:firstLine="0" w:firstLineChars="0"/>
                              <w:rPr>
                                <w:rFonts w:hint="default" w:eastAsia="宋体"/>
                                <w:b/>
                                <w:bCs/>
                                <w:color w:val="FF0000"/>
                                <w:lang w:val="en-US" w:eastAsia="zh-CN"/>
                              </w:rPr>
                            </w:pPr>
                            <w:r>
                              <w:rPr>
                                <w:rFonts w:hint="eastAsia"/>
                                <w:b/>
                                <w:bCs/>
                                <w:color w:val="000000" w:themeColor="text1"/>
                                <w:lang w:val="en-US" w:eastAsia="zh-CN"/>
                                <w14:textFill>
                                  <w14:solidFill>
                                    <w14:schemeClr w14:val="tx1"/>
                                  </w14:solidFill>
                                </w14:textFill>
                              </w:rPr>
                              <w:t>3434m</w:t>
                            </w:r>
                          </w:p>
                        </w:txbxContent>
                      </v:textbox>
                    </v:shape>
                  </w:pict>
                </mc:Fallback>
              </mc:AlternateContent>
            </w:r>
            <w:r>
              <w:rPr>
                <w:color w:val="auto"/>
              </w:rPr>
              <w:drawing>
                <wp:inline distT="0" distB="0" distL="114300" distR="114300">
                  <wp:extent cx="5060950" cy="3218180"/>
                  <wp:effectExtent l="0" t="0" r="635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0"/>
                          <a:stretch>
                            <a:fillRect/>
                          </a:stretch>
                        </pic:blipFill>
                        <pic:spPr>
                          <a:xfrm>
                            <a:off x="0" y="0"/>
                            <a:ext cx="5060950" cy="3218180"/>
                          </a:xfrm>
                          <a:prstGeom prst="rect">
                            <a:avLst/>
                          </a:prstGeom>
                          <a:noFill/>
                          <a:ln>
                            <a:noFill/>
                          </a:ln>
                        </pic:spPr>
                      </pic:pic>
                    </a:graphicData>
                  </a:graphic>
                </wp:inline>
              </w:drawing>
            </w:r>
          </w:p>
          <w:p w14:paraId="2EF4B60A">
            <w:pPr>
              <w:pStyle w:val="85"/>
              <w:rPr>
                <w:rFonts w:hint="default"/>
                <w:color w:val="auto"/>
                <w:highlight w:val="none"/>
                <w:lang w:val="en-US" w:eastAsia="zh-CN"/>
              </w:rPr>
            </w:pPr>
            <w:r>
              <w:rPr>
                <w:rFonts w:hint="eastAsia"/>
                <w:color w:val="auto"/>
                <w:lang w:val="en-US" w:eastAsia="zh-CN"/>
              </w:rPr>
              <w:t>图3-1</w:t>
            </w:r>
            <w:r>
              <w:rPr>
                <w:rFonts w:hint="eastAsia"/>
                <w:color w:val="auto"/>
                <w:lang w:val="en-US"/>
              </w:rPr>
              <w:t>引用监测点位</w:t>
            </w:r>
            <w:r>
              <w:rPr>
                <w:rFonts w:hint="eastAsia"/>
                <w:color w:val="auto"/>
                <w:lang w:val="en-US" w:eastAsia="zh-CN"/>
              </w:rPr>
              <w:t>示意</w:t>
            </w:r>
            <w:r>
              <w:rPr>
                <w:rFonts w:hint="eastAsia"/>
                <w:color w:val="auto"/>
                <w:lang w:val="en-US"/>
              </w:rPr>
              <w:t>图</w:t>
            </w:r>
          </w:p>
          <w:p w14:paraId="6B9C3354">
            <w:pPr>
              <w:bidi w:val="0"/>
              <w:rPr>
                <w:rFonts w:hint="eastAsia"/>
                <w:color w:val="auto"/>
                <w:highlight w:val="none"/>
                <w:lang w:val="en-US" w:eastAsia="zh-CN"/>
              </w:rPr>
            </w:pPr>
          </w:p>
          <w:p w14:paraId="5909C19F">
            <w:pPr>
              <w:numPr>
                <w:ilvl w:val="0"/>
                <w:numId w:val="9"/>
              </w:numPr>
              <w:adjustRightInd w:val="0"/>
              <w:snapToGrid w:val="0"/>
              <w:ind w:left="-240" w:leftChars="0" w:firstLineChars="0"/>
              <w:jc w:val="left"/>
              <w:rPr>
                <w:rFonts w:hint="eastAsia"/>
                <w:b/>
                <w:bCs/>
                <w:color w:val="auto"/>
                <w:highlight w:val="none"/>
              </w:rPr>
            </w:pPr>
            <w:r>
              <w:rPr>
                <w:rFonts w:hint="eastAsia" w:ascii="宋体" w:hAnsi="宋体" w:cs="宋体"/>
                <w:b/>
                <w:bCs/>
                <w:color w:val="auto"/>
                <w:kern w:val="0"/>
                <w:szCs w:val="21"/>
                <w:highlight w:val="none"/>
                <w:lang w:val="en-US" w:eastAsia="zh-CN"/>
              </w:rPr>
              <w:t>声环境质量现状</w:t>
            </w:r>
          </w:p>
          <w:p w14:paraId="3638A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olor w:val="auto"/>
                <w:highlight w:val="none"/>
              </w:rPr>
            </w:pPr>
            <w:r>
              <w:rPr>
                <w:rFonts w:hint="default" w:ascii="Times New Roman" w:hAnsi="Times New Roman" w:eastAsia="宋体" w:cs="Times New Roman"/>
                <w:color w:val="auto"/>
                <w:kern w:val="0"/>
                <w:sz w:val="24"/>
                <w:szCs w:val="24"/>
                <w:highlight w:val="none"/>
                <w:lang w:val="en-US" w:eastAsia="zh-CN" w:bidi="ar"/>
              </w:rPr>
              <w:t>经现场勘查，项目厂界外周边50米范围内不存在声环境保护目标，本次评价不进行声环境质量现状监测与评价。</w:t>
            </w:r>
          </w:p>
          <w:p w14:paraId="5038E8F8">
            <w:pPr>
              <w:numPr>
                <w:ilvl w:val="0"/>
                <w:numId w:val="9"/>
              </w:numPr>
              <w:adjustRightInd w:val="0"/>
              <w:snapToGrid w:val="0"/>
              <w:ind w:left="-240" w:leftChars="0" w:firstLineChars="0"/>
              <w:jc w:val="left"/>
              <w:rPr>
                <w:rFonts w:hint="eastAsia"/>
                <w:b/>
                <w:bCs/>
                <w:color w:val="auto"/>
                <w:highlight w:val="none"/>
              </w:rPr>
            </w:pPr>
            <w:r>
              <w:rPr>
                <w:rFonts w:hint="eastAsia"/>
                <w:b/>
                <w:bCs/>
                <w:color w:val="auto"/>
                <w:highlight w:val="none"/>
                <w:lang w:val="en-US" w:eastAsia="zh-CN"/>
              </w:rPr>
              <w:t>地下水、土壤环境质量现状</w:t>
            </w:r>
          </w:p>
          <w:p w14:paraId="04CF66B5">
            <w:pPr>
              <w:bidi w:val="0"/>
              <w:rPr>
                <w:rFonts w:hint="eastAsia"/>
                <w:color w:val="auto"/>
                <w:highlight w:val="none"/>
              </w:rPr>
            </w:pPr>
            <w:r>
              <w:rPr>
                <w:rFonts w:hint="default"/>
                <w:color w:val="auto"/>
                <w:highlight w:val="none"/>
              </w:rPr>
              <w:t>本项目评价范围内不涉及地下水环境、土壤环境保护目标</w:t>
            </w:r>
            <w:r>
              <w:rPr>
                <w:rFonts w:hint="eastAsia"/>
                <w:color w:val="auto"/>
                <w:highlight w:val="none"/>
                <w:lang w:eastAsia="zh-CN"/>
              </w:rPr>
              <w:t>，</w:t>
            </w:r>
            <w:r>
              <w:rPr>
                <w:rFonts w:hint="eastAsia"/>
                <w:color w:val="auto"/>
                <w:highlight w:val="none"/>
                <w:lang w:val="en-US" w:eastAsia="zh-CN"/>
              </w:rPr>
              <w:t>运营期无废水直接排放，且车间内均已做防渗处理，对地下水和土壤不存在污染途径，</w:t>
            </w:r>
            <w:r>
              <w:rPr>
                <w:rFonts w:hint="default"/>
                <w:color w:val="auto"/>
                <w:highlight w:val="none"/>
              </w:rPr>
              <w:t>根据《建设项目环境影响报告表编制技术指南（污染影响类）（试行）》，可不开展地下水、土壤环境质量现状调查。</w:t>
            </w:r>
          </w:p>
          <w:p w14:paraId="1A0FF7C3">
            <w:pPr>
              <w:numPr>
                <w:ilvl w:val="0"/>
                <w:numId w:val="9"/>
              </w:numPr>
              <w:adjustRightInd w:val="0"/>
              <w:snapToGrid w:val="0"/>
              <w:ind w:left="-240" w:leftChars="0" w:firstLineChars="0"/>
              <w:jc w:val="left"/>
              <w:rPr>
                <w:rFonts w:hint="eastAsia"/>
                <w:b/>
                <w:bCs/>
                <w:color w:val="auto"/>
                <w:highlight w:val="none"/>
              </w:rPr>
            </w:pPr>
            <w:r>
              <w:rPr>
                <w:rFonts w:hint="eastAsia" w:ascii="宋体" w:hAnsi="宋体" w:cs="宋体"/>
                <w:b/>
                <w:bCs/>
                <w:color w:val="auto"/>
                <w:kern w:val="0"/>
                <w:szCs w:val="21"/>
                <w:highlight w:val="none"/>
                <w:lang w:val="en-US" w:eastAsia="zh-CN"/>
              </w:rPr>
              <w:t>生态环境</w:t>
            </w:r>
          </w:p>
          <w:p w14:paraId="18A458AD">
            <w:pPr>
              <w:adjustRightInd w:val="0"/>
              <w:snapToGrid w:val="0"/>
              <w:jc w:val="left"/>
              <w:rPr>
                <w:rFonts w:ascii="宋体" w:hAnsi="宋体" w:cs="宋体"/>
                <w:color w:val="auto"/>
                <w:kern w:val="0"/>
                <w:szCs w:val="21"/>
                <w:highlight w:val="none"/>
              </w:rPr>
            </w:pPr>
            <w:r>
              <w:rPr>
                <w:rFonts w:hint="eastAsia" w:ascii="宋体" w:hAnsi="宋体" w:cs="宋体"/>
                <w:color w:val="auto"/>
                <w:kern w:val="0"/>
                <w:szCs w:val="21"/>
                <w:highlight w:val="none"/>
              </w:rPr>
              <w:t>本项目</w:t>
            </w:r>
            <w:r>
              <w:rPr>
                <w:rFonts w:hint="eastAsia" w:ascii="宋体" w:hAnsi="宋体" w:cs="宋体"/>
                <w:color w:val="auto"/>
                <w:kern w:val="0"/>
                <w:szCs w:val="21"/>
                <w:highlight w:val="none"/>
                <w:lang w:val="en-US" w:eastAsia="zh-CN"/>
              </w:rPr>
              <w:t>租赁陕西华开置业有限公司已建成工业化厂房，不新增占地，</w:t>
            </w:r>
            <w:r>
              <w:rPr>
                <w:rFonts w:hint="eastAsia" w:ascii="宋体" w:hAnsi="宋体" w:cs="宋体"/>
                <w:color w:val="auto"/>
                <w:kern w:val="0"/>
                <w:szCs w:val="21"/>
                <w:highlight w:val="none"/>
              </w:rPr>
              <w:t>评价区内无历史文物古迹和人文景观，无国家珍稀动、植物物种和群落，用地范围内不涉及生态保护目标，因此可不需进行生态环境现状调查。</w:t>
            </w:r>
          </w:p>
        </w:tc>
      </w:tr>
      <w:tr w14:paraId="2CC9D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14:paraId="7B550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14:paraId="41EC6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保护</w:t>
            </w:r>
          </w:p>
          <w:p w14:paraId="78163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noWrap w:val="0"/>
            <w:vAlign w:val="center"/>
          </w:tcPr>
          <w:p w14:paraId="76C6E23B">
            <w:pPr>
              <w:bidi w:val="0"/>
              <w:rPr>
                <w:color w:val="auto"/>
              </w:rPr>
            </w:pPr>
            <w:r>
              <w:rPr>
                <w:rFonts w:hint="eastAsia"/>
                <w:color w:val="auto"/>
                <w:lang w:val="en-US" w:eastAsia="zh-CN"/>
              </w:rPr>
              <w:t>据现场勘查，确定环境保护目标见下表。项目环境保护目标分布图见附图。</w:t>
            </w:r>
          </w:p>
          <w:p w14:paraId="3085960A">
            <w:pPr>
              <w:pStyle w:val="58"/>
              <w:bidi w:val="0"/>
              <w:rPr>
                <w:rFonts w:hint="eastAsia"/>
                <w:color w:val="auto"/>
                <w:lang w:val="en-US" w:eastAsia="zh-CN"/>
              </w:rPr>
            </w:pPr>
            <w:r>
              <w:rPr>
                <w:rFonts w:hint="eastAsia"/>
                <w:color w:val="auto"/>
                <w:lang w:val="en-US" w:eastAsia="zh-CN"/>
              </w:rPr>
              <w:t>表3-4    主要环境保护目标</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35"/>
              <w:gridCol w:w="1906"/>
              <w:gridCol w:w="727"/>
              <w:gridCol w:w="795"/>
              <w:gridCol w:w="658"/>
              <w:gridCol w:w="840"/>
              <w:gridCol w:w="1558"/>
            </w:tblGrid>
            <w:tr w14:paraId="1157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5" w:type="dxa"/>
                  <w:vMerge w:val="restart"/>
                  <w:noWrap w:val="0"/>
                  <w:vAlign w:val="center"/>
                </w:tcPr>
                <w:p w14:paraId="66F80FC7">
                  <w:pPr>
                    <w:pStyle w:val="53"/>
                    <w:bidi w:val="0"/>
                    <w:rPr>
                      <w:rFonts w:hint="default"/>
                      <w:b/>
                      <w:bCs/>
                      <w:color w:val="auto"/>
                      <w:highlight w:val="none"/>
                      <w:lang w:val="en-US" w:eastAsia="zh-CN"/>
                    </w:rPr>
                  </w:pPr>
                  <w:r>
                    <w:rPr>
                      <w:rFonts w:hint="eastAsia"/>
                      <w:b/>
                      <w:bCs/>
                      <w:color w:val="auto"/>
                      <w:highlight w:val="none"/>
                      <w:lang w:val="en-US" w:eastAsia="zh-CN"/>
                    </w:rPr>
                    <w:t>环境要素</w:t>
                  </w:r>
                </w:p>
              </w:tc>
              <w:tc>
                <w:tcPr>
                  <w:tcW w:w="4290" w:type="dxa"/>
                  <w:gridSpan w:val="4"/>
                  <w:noWrap w:val="0"/>
                  <w:vAlign w:val="center"/>
                </w:tcPr>
                <w:p w14:paraId="67FE8D31">
                  <w:pPr>
                    <w:pStyle w:val="53"/>
                    <w:bidi w:val="0"/>
                    <w:rPr>
                      <w:rFonts w:hint="default"/>
                      <w:b/>
                      <w:bCs/>
                      <w:color w:val="auto"/>
                      <w:highlight w:val="none"/>
                      <w:lang w:val="en-US" w:eastAsia="zh-CN"/>
                    </w:rPr>
                  </w:pPr>
                  <w:r>
                    <w:rPr>
                      <w:rFonts w:hint="eastAsia"/>
                      <w:b/>
                      <w:bCs/>
                      <w:color w:val="auto"/>
                      <w:highlight w:val="none"/>
                      <w:lang w:val="en-US" w:eastAsia="zh-CN"/>
                    </w:rPr>
                    <w:t>保护目标</w:t>
                  </w:r>
                </w:p>
              </w:tc>
              <w:tc>
                <w:tcPr>
                  <w:tcW w:w="1500" w:type="dxa"/>
                  <w:gridSpan w:val="2"/>
                  <w:noWrap w:val="0"/>
                  <w:vAlign w:val="center"/>
                </w:tcPr>
                <w:p w14:paraId="5570DC96">
                  <w:pPr>
                    <w:pStyle w:val="53"/>
                    <w:bidi w:val="0"/>
                    <w:rPr>
                      <w:rFonts w:hint="default"/>
                      <w:b/>
                      <w:bCs/>
                      <w:color w:val="auto"/>
                      <w:highlight w:val="none"/>
                      <w:lang w:val="en-US" w:eastAsia="zh-CN"/>
                    </w:rPr>
                  </w:pPr>
                  <w:r>
                    <w:rPr>
                      <w:rFonts w:hint="eastAsia"/>
                      <w:b/>
                      <w:bCs/>
                      <w:color w:val="auto"/>
                      <w:highlight w:val="none"/>
                      <w:lang w:val="en-US" w:eastAsia="zh-CN"/>
                    </w:rPr>
                    <w:t>相对厂界</w:t>
                  </w:r>
                </w:p>
              </w:tc>
              <w:tc>
                <w:tcPr>
                  <w:tcW w:w="1473" w:type="dxa"/>
                  <w:vMerge w:val="restart"/>
                  <w:noWrap w:val="0"/>
                  <w:vAlign w:val="center"/>
                </w:tcPr>
                <w:p w14:paraId="01C7047D">
                  <w:pPr>
                    <w:pStyle w:val="53"/>
                    <w:bidi w:val="0"/>
                    <w:rPr>
                      <w:rFonts w:hint="default"/>
                      <w:color w:val="auto"/>
                      <w:highlight w:val="none"/>
                      <w:lang w:val="en-US" w:eastAsia="zh-CN"/>
                    </w:rPr>
                  </w:pPr>
                  <w:r>
                    <w:rPr>
                      <w:rFonts w:hint="eastAsia"/>
                      <w:b/>
                      <w:bCs/>
                      <w:color w:val="auto"/>
                      <w:highlight w:val="none"/>
                      <w:lang w:val="en-US" w:eastAsia="zh-CN"/>
                    </w:rPr>
                    <w:t>环境功能区</w:t>
                  </w:r>
                </w:p>
              </w:tc>
            </w:tr>
            <w:tr w14:paraId="7CA5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5" w:type="dxa"/>
                  <w:vMerge w:val="continue"/>
                  <w:noWrap w:val="0"/>
                  <w:vAlign w:val="center"/>
                </w:tcPr>
                <w:p w14:paraId="1B886AF1">
                  <w:pPr>
                    <w:pStyle w:val="53"/>
                    <w:bidi w:val="0"/>
                    <w:rPr>
                      <w:rFonts w:hint="default"/>
                      <w:b/>
                      <w:bCs/>
                      <w:color w:val="auto"/>
                      <w:highlight w:val="none"/>
                      <w:lang w:val="en-US" w:eastAsia="zh-CN"/>
                    </w:rPr>
                  </w:pPr>
                </w:p>
              </w:tc>
              <w:tc>
                <w:tcPr>
                  <w:tcW w:w="842" w:type="dxa"/>
                  <w:noWrap w:val="0"/>
                  <w:vAlign w:val="center"/>
                </w:tcPr>
                <w:p w14:paraId="4A56F022">
                  <w:pPr>
                    <w:pStyle w:val="53"/>
                    <w:bidi w:val="0"/>
                    <w:rPr>
                      <w:rFonts w:hint="default"/>
                      <w:b/>
                      <w:bCs/>
                      <w:color w:val="auto"/>
                      <w:highlight w:val="none"/>
                      <w:lang w:val="en-US" w:eastAsia="zh-CN"/>
                    </w:rPr>
                  </w:pPr>
                  <w:r>
                    <w:rPr>
                      <w:rFonts w:hint="eastAsia"/>
                      <w:b/>
                      <w:bCs/>
                      <w:color w:val="auto"/>
                      <w:highlight w:val="none"/>
                      <w:lang w:val="en-US" w:eastAsia="zh-CN"/>
                    </w:rPr>
                    <w:t>保护对象</w:t>
                  </w:r>
                </w:p>
              </w:tc>
              <w:tc>
                <w:tcPr>
                  <w:tcW w:w="1918" w:type="dxa"/>
                  <w:noWrap w:val="0"/>
                  <w:vAlign w:val="center"/>
                </w:tcPr>
                <w:p w14:paraId="6808CE5C">
                  <w:pPr>
                    <w:pStyle w:val="53"/>
                    <w:bidi w:val="0"/>
                    <w:rPr>
                      <w:rFonts w:hint="default"/>
                      <w:b/>
                      <w:bCs/>
                      <w:color w:val="auto"/>
                      <w:highlight w:val="none"/>
                      <w:lang w:val="en-US" w:eastAsia="zh-CN"/>
                    </w:rPr>
                  </w:pPr>
                  <w:r>
                    <w:rPr>
                      <w:rFonts w:hint="eastAsia"/>
                      <w:b/>
                      <w:bCs/>
                      <w:color w:val="auto"/>
                      <w:highlight w:val="none"/>
                      <w:lang w:val="en-US" w:eastAsia="zh-CN"/>
                    </w:rPr>
                    <w:t>中心坐标</w:t>
                  </w:r>
                </w:p>
              </w:tc>
              <w:tc>
                <w:tcPr>
                  <w:tcW w:w="730" w:type="dxa"/>
                  <w:noWrap w:val="0"/>
                  <w:vAlign w:val="center"/>
                </w:tcPr>
                <w:p w14:paraId="6B3FC886">
                  <w:pPr>
                    <w:pStyle w:val="53"/>
                    <w:bidi w:val="0"/>
                    <w:rPr>
                      <w:rFonts w:hint="default"/>
                      <w:b/>
                      <w:bCs/>
                      <w:color w:val="auto"/>
                      <w:highlight w:val="none"/>
                      <w:lang w:val="en-US" w:eastAsia="zh-CN"/>
                    </w:rPr>
                  </w:pPr>
                  <w:r>
                    <w:rPr>
                      <w:rFonts w:hint="eastAsia"/>
                      <w:b/>
                      <w:bCs/>
                      <w:color w:val="auto"/>
                      <w:highlight w:val="none"/>
                      <w:lang w:val="en-US" w:eastAsia="zh-CN"/>
                    </w:rPr>
                    <w:t>户数</w:t>
                  </w:r>
                </w:p>
              </w:tc>
              <w:tc>
                <w:tcPr>
                  <w:tcW w:w="800" w:type="dxa"/>
                  <w:noWrap w:val="0"/>
                  <w:vAlign w:val="center"/>
                </w:tcPr>
                <w:p w14:paraId="57920522">
                  <w:pPr>
                    <w:pStyle w:val="53"/>
                    <w:bidi w:val="0"/>
                    <w:rPr>
                      <w:rFonts w:hint="default"/>
                      <w:b/>
                      <w:bCs/>
                      <w:color w:val="auto"/>
                      <w:highlight w:val="none"/>
                      <w:lang w:val="en-US" w:eastAsia="zh-CN"/>
                    </w:rPr>
                  </w:pPr>
                  <w:r>
                    <w:rPr>
                      <w:rFonts w:hint="eastAsia"/>
                      <w:b/>
                      <w:bCs/>
                      <w:color w:val="auto"/>
                      <w:highlight w:val="none"/>
                      <w:lang w:val="en-US" w:eastAsia="zh-CN"/>
                    </w:rPr>
                    <w:t>人数</w:t>
                  </w:r>
                </w:p>
              </w:tc>
              <w:tc>
                <w:tcPr>
                  <w:tcW w:w="660" w:type="dxa"/>
                  <w:noWrap w:val="0"/>
                  <w:vAlign w:val="center"/>
                </w:tcPr>
                <w:p w14:paraId="051F1A75">
                  <w:pPr>
                    <w:pStyle w:val="53"/>
                    <w:bidi w:val="0"/>
                    <w:rPr>
                      <w:rFonts w:hint="default"/>
                      <w:b/>
                      <w:bCs/>
                      <w:color w:val="auto"/>
                      <w:highlight w:val="none"/>
                      <w:lang w:val="en-US" w:eastAsia="zh-CN"/>
                    </w:rPr>
                  </w:pPr>
                  <w:r>
                    <w:rPr>
                      <w:rFonts w:hint="eastAsia"/>
                      <w:b/>
                      <w:bCs/>
                      <w:color w:val="auto"/>
                      <w:highlight w:val="none"/>
                      <w:lang w:val="en-US" w:eastAsia="zh-CN"/>
                    </w:rPr>
                    <w:t>方位</w:t>
                  </w:r>
                </w:p>
              </w:tc>
              <w:tc>
                <w:tcPr>
                  <w:tcW w:w="840" w:type="dxa"/>
                  <w:noWrap w:val="0"/>
                  <w:vAlign w:val="center"/>
                </w:tcPr>
                <w:p w14:paraId="7C22E9E5">
                  <w:pPr>
                    <w:pStyle w:val="53"/>
                    <w:bidi w:val="0"/>
                    <w:rPr>
                      <w:rFonts w:hint="default"/>
                      <w:b/>
                      <w:bCs/>
                      <w:color w:val="auto"/>
                      <w:highlight w:val="none"/>
                      <w:lang w:val="en-US" w:eastAsia="zh-CN"/>
                    </w:rPr>
                  </w:pPr>
                  <w:r>
                    <w:rPr>
                      <w:rFonts w:hint="eastAsia"/>
                      <w:b/>
                      <w:bCs/>
                      <w:color w:val="auto"/>
                      <w:highlight w:val="none"/>
                      <w:lang w:val="en-US" w:eastAsia="zh-CN"/>
                    </w:rPr>
                    <w:t>距离（m）</w:t>
                  </w:r>
                </w:p>
              </w:tc>
              <w:tc>
                <w:tcPr>
                  <w:tcW w:w="1473" w:type="dxa"/>
                  <w:vMerge w:val="continue"/>
                  <w:noWrap w:val="0"/>
                  <w:vAlign w:val="center"/>
                </w:tcPr>
                <w:p w14:paraId="3E949D6D">
                  <w:pPr>
                    <w:pStyle w:val="53"/>
                    <w:bidi w:val="0"/>
                    <w:rPr>
                      <w:rFonts w:hint="default"/>
                      <w:color w:val="auto"/>
                      <w:highlight w:val="none"/>
                      <w:lang w:val="en-US" w:eastAsia="zh-CN"/>
                    </w:rPr>
                  </w:pPr>
                </w:p>
              </w:tc>
            </w:tr>
            <w:tr w14:paraId="3937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5" w:type="dxa"/>
                  <w:vMerge w:val="restart"/>
                  <w:noWrap w:val="0"/>
                  <w:vAlign w:val="center"/>
                </w:tcPr>
                <w:p w14:paraId="11CAB8A3">
                  <w:pPr>
                    <w:pStyle w:val="53"/>
                    <w:bidi w:val="0"/>
                    <w:rPr>
                      <w:rFonts w:hint="default"/>
                      <w:color w:val="auto"/>
                      <w:highlight w:val="none"/>
                      <w:lang w:val="en-US" w:eastAsia="zh-CN"/>
                    </w:rPr>
                  </w:pPr>
                  <w:r>
                    <w:rPr>
                      <w:rFonts w:hint="eastAsia"/>
                      <w:color w:val="auto"/>
                      <w:highlight w:val="none"/>
                      <w:lang w:val="en-US" w:eastAsia="zh-CN"/>
                    </w:rPr>
                    <w:t>环境空气</w:t>
                  </w:r>
                </w:p>
              </w:tc>
              <w:tc>
                <w:tcPr>
                  <w:tcW w:w="842" w:type="dxa"/>
                  <w:noWrap w:val="0"/>
                  <w:vAlign w:val="center"/>
                </w:tcPr>
                <w:p w14:paraId="061DD305">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红星村</w:t>
                  </w:r>
                </w:p>
              </w:tc>
              <w:tc>
                <w:tcPr>
                  <w:tcW w:w="1918" w:type="dxa"/>
                  <w:noWrap w:val="0"/>
                  <w:vAlign w:val="center"/>
                </w:tcPr>
                <w:p w14:paraId="6E6D8D24">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经度</w:t>
                  </w:r>
                  <w:r>
                    <w:rPr>
                      <w:rFonts w:hint="default" w:ascii="Times New Roman" w:hAnsi="Times New Roman" w:eastAsia="宋体" w:cs="Times New Roman"/>
                      <w:color w:val="auto"/>
                      <w:highlight w:val="none"/>
                      <w:lang w:val="en-US" w:eastAsia="zh-CN"/>
                    </w:rPr>
                    <w:t>107.596749</w:t>
                  </w:r>
                </w:p>
                <w:p w14:paraId="3A5742C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纬度</w:t>
                  </w:r>
                  <w:r>
                    <w:rPr>
                      <w:rFonts w:hint="default" w:ascii="Times New Roman" w:hAnsi="Times New Roman" w:eastAsia="宋体" w:cs="Times New Roman"/>
                      <w:color w:val="auto"/>
                      <w:highlight w:val="none"/>
                      <w:lang w:val="en-US" w:eastAsia="zh-CN"/>
                    </w:rPr>
                    <w:t>34.272638</w:t>
                  </w:r>
                </w:p>
              </w:tc>
              <w:tc>
                <w:tcPr>
                  <w:tcW w:w="730" w:type="dxa"/>
                  <w:noWrap w:val="0"/>
                  <w:vAlign w:val="center"/>
                </w:tcPr>
                <w:p w14:paraId="3E59C332">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100</w:t>
                  </w:r>
                </w:p>
              </w:tc>
              <w:tc>
                <w:tcPr>
                  <w:tcW w:w="800" w:type="dxa"/>
                  <w:noWrap w:val="0"/>
                  <w:vAlign w:val="center"/>
                </w:tcPr>
                <w:p w14:paraId="1F26C3CC">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400</w:t>
                  </w:r>
                </w:p>
              </w:tc>
              <w:tc>
                <w:tcPr>
                  <w:tcW w:w="660" w:type="dxa"/>
                  <w:noWrap w:val="0"/>
                  <w:vAlign w:val="center"/>
                </w:tcPr>
                <w:p w14:paraId="6FBAF076">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SE</w:t>
                  </w:r>
                </w:p>
              </w:tc>
              <w:tc>
                <w:tcPr>
                  <w:tcW w:w="840" w:type="dxa"/>
                  <w:noWrap w:val="0"/>
                  <w:vAlign w:val="center"/>
                </w:tcPr>
                <w:p w14:paraId="41B0136E">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70</w:t>
                  </w:r>
                </w:p>
              </w:tc>
              <w:tc>
                <w:tcPr>
                  <w:tcW w:w="1473" w:type="dxa"/>
                  <w:vMerge w:val="restart"/>
                  <w:noWrap w:val="0"/>
                  <w:vAlign w:val="center"/>
                </w:tcPr>
                <w:p w14:paraId="62801538">
                  <w:pPr>
                    <w:pStyle w:val="53"/>
                    <w:bidi w:val="0"/>
                    <w:rPr>
                      <w:rFonts w:hint="default"/>
                      <w:color w:val="auto"/>
                      <w:highlight w:val="none"/>
                      <w:lang w:val="en-US" w:eastAsia="zh-CN"/>
                    </w:rPr>
                  </w:pPr>
                  <w:r>
                    <w:rPr>
                      <w:rFonts w:hint="default"/>
                      <w:color w:val="auto"/>
                      <w:highlight w:val="none"/>
                      <w:lang w:val="en-US" w:eastAsia="zh-CN"/>
                    </w:rPr>
                    <w:t>《环境空气质量标准》(GB3095-2012</w:t>
                  </w:r>
                  <w:r>
                    <w:rPr>
                      <w:rFonts w:hint="eastAsia"/>
                      <w:color w:val="auto"/>
                      <w:highlight w:val="none"/>
                      <w:lang w:val="en-US" w:eastAsia="zh-CN"/>
                    </w:rPr>
                    <w:t>)</w:t>
                  </w:r>
                  <w:r>
                    <w:rPr>
                      <w:rFonts w:hint="default"/>
                      <w:color w:val="auto"/>
                      <w:highlight w:val="none"/>
                      <w:lang w:val="en-US" w:eastAsia="zh-CN"/>
                    </w:rPr>
                    <w:t>二级标准</w:t>
                  </w:r>
                </w:p>
              </w:tc>
            </w:tr>
            <w:tr w14:paraId="2A52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5" w:type="dxa"/>
                  <w:vMerge w:val="continue"/>
                  <w:noWrap w:val="0"/>
                  <w:vAlign w:val="center"/>
                </w:tcPr>
                <w:p w14:paraId="24948CA5">
                  <w:pPr>
                    <w:pStyle w:val="53"/>
                    <w:bidi w:val="0"/>
                    <w:rPr>
                      <w:rFonts w:hint="eastAsia"/>
                      <w:color w:val="auto"/>
                      <w:highlight w:val="none"/>
                      <w:lang w:val="en-US" w:eastAsia="zh-CN"/>
                    </w:rPr>
                  </w:pPr>
                </w:p>
              </w:tc>
              <w:tc>
                <w:tcPr>
                  <w:tcW w:w="842" w:type="dxa"/>
                  <w:noWrap w:val="0"/>
                  <w:vAlign w:val="center"/>
                </w:tcPr>
                <w:p w14:paraId="47D8E672">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红星小学</w:t>
                  </w:r>
                </w:p>
              </w:tc>
              <w:tc>
                <w:tcPr>
                  <w:tcW w:w="1918" w:type="dxa"/>
                  <w:noWrap w:val="0"/>
                  <w:vAlign w:val="center"/>
                </w:tcPr>
                <w:p w14:paraId="5B36C3CF">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经度</w:t>
                  </w:r>
                  <w:r>
                    <w:rPr>
                      <w:rFonts w:hint="default" w:ascii="Times New Roman" w:hAnsi="Times New Roman" w:eastAsia="宋体" w:cs="Times New Roman"/>
                      <w:color w:val="auto"/>
                      <w:highlight w:val="none"/>
                      <w:lang w:val="en-US" w:eastAsia="zh-CN"/>
                    </w:rPr>
                    <w:t>107.597178</w:t>
                  </w:r>
                </w:p>
                <w:p w14:paraId="49FB5C1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纬度34.270878</w:t>
                  </w:r>
                </w:p>
              </w:tc>
              <w:tc>
                <w:tcPr>
                  <w:tcW w:w="730" w:type="dxa"/>
                  <w:noWrap w:val="0"/>
                  <w:vAlign w:val="center"/>
                </w:tcPr>
                <w:p w14:paraId="5C4FF7AB">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w:t>
                  </w:r>
                </w:p>
              </w:tc>
              <w:tc>
                <w:tcPr>
                  <w:tcW w:w="800" w:type="dxa"/>
                  <w:noWrap w:val="0"/>
                  <w:vAlign w:val="center"/>
                </w:tcPr>
                <w:p w14:paraId="53093F89">
                  <w:pPr>
                    <w:pStyle w:val="53"/>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教师30人</w:t>
                  </w:r>
                </w:p>
                <w:p w14:paraId="0B80DB7B">
                  <w:pPr>
                    <w:pStyle w:val="53"/>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学生200人</w:t>
                  </w:r>
                </w:p>
              </w:tc>
              <w:tc>
                <w:tcPr>
                  <w:tcW w:w="660" w:type="dxa"/>
                  <w:noWrap w:val="0"/>
                  <w:vAlign w:val="center"/>
                </w:tcPr>
                <w:p w14:paraId="241E3F3B">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SE</w:t>
                  </w:r>
                </w:p>
              </w:tc>
              <w:tc>
                <w:tcPr>
                  <w:tcW w:w="840" w:type="dxa"/>
                  <w:noWrap w:val="0"/>
                  <w:vAlign w:val="center"/>
                </w:tcPr>
                <w:p w14:paraId="2F1F1203">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310</w:t>
                  </w:r>
                </w:p>
              </w:tc>
              <w:tc>
                <w:tcPr>
                  <w:tcW w:w="1473" w:type="dxa"/>
                  <w:vMerge w:val="continue"/>
                  <w:noWrap w:val="0"/>
                  <w:vAlign w:val="center"/>
                </w:tcPr>
                <w:p w14:paraId="57425047">
                  <w:pPr>
                    <w:pStyle w:val="53"/>
                    <w:bidi w:val="0"/>
                    <w:rPr>
                      <w:rFonts w:hint="default"/>
                      <w:color w:val="auto"/>
                      <w:highlight w:val="none"/>
                      <w:lang w:val="en-US" w:eastAsia="zh-CN"/>
                    </w:rPr>
                  </w:pPr>
                </w:p>
              </w:tc>
            </w:tr>
            <w:tr w14:paraId="3FB9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5" w:type="dxa"/>
                  <w:vMerge w:val="continue"/>
                  <w:noWrap w:val="0"/>
                  <w:vAlign w:val="center"/>
                </w:tcPr>
                <w:p w14:paraId="062FE9EF">
                  <w:pPr>
                    <w:pStyle w:val="53"/>
                    <w:bidi w:val="0"/>
                    <w:rPr>
                      <w:rFonts w:hint="eastAsia"/>
                      <w:color w:val="auto"/>
                      <w:highlight w:val="none"/>
                      <w:lang w:val="en-US" w:eastAsia="zh-CN"/>
                    </w:rPr>
                  </w:pPr>
                </w:p>
              </w:tc>
              <w:tc>
                <w:tcPr>
                  <w:tcW w:w="842" w:type="dxa"/>
                  <w:noWrap w:val="0"/>
                  <w:vAlign w:val="center"/>
                </w:tcPr>
                <w:p w14:paraId="63ACF645">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 xml:space="preserve">             </w:t>
                  </w:r>
                </w:p>
              </w:tc>
              <w:tc>
                <w:tcPr>
                  <w:tcW w:w="1918" w:type="dxa"/>
                  <w:noWrap w:val="0"/>
                  <w:vAlign w:val="center"/>
                </w:tcPr>
                <w:p w14:paraId="4181E47F">
                  <w:pPr>
                    <w:pStyle w:val="53"/>
                    <w:bidi w:val="0"/>
                    <w:rPr>
                      <w:rFonts w:hint="default"/>
                      <w:color w:val="auto"/>
                      <w:highlight w:val="none"/>
                      <w:lang w:val="en-US" w:eastAsia="zh-CN"/>
                    </w:rPr>
                  </w:pPr>
                  <w:r>
                    <w:rPr>
                      <w:rFonts w:hint="eastAsia"/>
                      <w:color w:val="auto"/>
                      <w:highlight w:val="none"/>
                      <w:lang w:val="en-US" w:eastAsia="zh-CN"/>
                    </w:rPr>
                    <w:t>经度</w:t>
                  </w:r>
                  <w:r>
                    <w:rPr>
                      <w:rFonts w:hint="default"/>
                      <w:color w:val="auto"/>
                      <w:highlight w:val="none"/>
                      <w:lang w:val="en-US" w:eastAsia="zh-CN"/>
                    </w:rPr>
                    <w:t>107.592136</w:t>
                  </w:r>
                </w:p>
                <w:p w14:paraId="126F975F">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纬度</w:t>
                  </w:r>
                  <w:r>
                    <w:rPr>
                      <w:rFonts w:hint="default"/>
                      <w:color w:val="auto"/>
                      <w:highlight w:val="none"/>
                      <w:lang w:val="en-US" w:eastAsia="zh-CN"/>
                    </w:rPr>
                    <w:t>34.273324</w:t>
                  </w:r>
                </w:p>
              </w:tc>
              <w:tc>
                <w:tcPr>
                  <w:tcW w:w="730" w:type="dxa"/>
                  <w:noWrap w:val="0"/>
                  <w:vAlign w:val="center"/>
                </w:tcPr>
                <w:p w14:paraId="28C2FEE8">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50</w:t>
                  </w:r>
                </w:p>
              </w:tc>
              <w:tc>
                <w:tcPr>
                  <w:tcW w:w="800" w:type="dxa"/>
                  <w:noWrap w:val="0"/>
                  <w:vAlign w:val="center"/>
                </w:tcPr>
                <w:p w14:paraId="445954C8">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200</w:t>
                  </w:r>
                </w:p>
              </w:tc>
              <w:tc>
                <w:tcPr>
                  <w:tcW w:w="660" w:type="dxa"/>
                  <w:noWrap w:val="0"/>
                  <w:vAlign w:val="center"/>
                </w:tcPr>
                <w:p w14:paraId="59723F15">
                  <w:pPr>
                    <w:pStyle w:val="53"/>
                    <w:bidi w:val="0"/>
                    <w:ind w:left="0" w:leftChars="0" w:firstLine="0" w:firstLineChars="0"/>
                    <w:jc w:val="center"/>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SW</w:t>
                  </w:r>
                </w:p>
              </w:tc>
              <w:tc>
                <w:tcPr>
                  <w:tcW w:w="840" w:type="dxa"/>
                  <w:noWrap w:val="0"/>
                  <w:vAlign w:val="center"/>
                </w:tcPr>
                <w:p w14:paraId="1A47E594">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250</w:t>
                  </w:r>
                </w:p>
              </w:tc>
              <w:tc>
                <w:tcPr>
                  <w:tcW w:w="1473" w:type="dxa"/>
                  <w:vMerge w:val="continue"/>
                  <w:noWrap w:val="0"/>
                  <w:vAlign w:val="center"/>
                </w:tcPr>
                <w:p w14:paraId="790F079A">
                  <w:pPr>
                    <w:pStyle w:val="53"/>
                    <w:bidi w:val="0"/>
                    <w:rPr>
                      <w:rFonts w:hint="default"/>
                      <w:color w:val="auto"/>
                      <w:highlight w:val="none"/>
                      <w:lang w:val="en-US" w:eastAsia="zh-CN"/>
                    </w:rPr>
                  </w:pPr>
                </w:p>
              </w:tc>
            </w:tr>
            <w:tr w14:paraId="3870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5" w:type="dxa"/>
                  <w:vMerge w:val="continue"/>
                  <w:noWrap w:val="0"/>
                  <w:vAlign w:val="center"/>
                </w:tcPr>
                <w:p w14:paraId="079B8445">
                  <w:pPr>
                    <w:pStyle w:val="53"/>
                    <w:bidi w:val="0"/>
                    <w:rPr>
                      <w:rFonts w:hint="eastAsia"/>
                      <w:color w:val="auto"/>
                      <w:highlight w:val="none"/>
                      <w:lang w:val="en-US" w:eastAsia="zh-CN"/>
                    </w:rPr>
                  </w:pPr>
                </w:p>
              </w:tc>
              <w:tc>
                <w:tcPr>
                  <w:tcW w:w="842" w:type="dxa"/>
                  <w:noWrap w:val="0"/>
                  <w:vAlign w:val="center"/>
                </w:tcPr>
                <w:p w14:paraId="3F094057">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处寺沟</w:t>
                  </w:r>
                </w:p>
              </w:tc>
              <w:tc>
                <w:tcPr>
                  <w:tcW w:w="1918" w:type="dxa"/>
                  <w:noWrap w:val="0"/>
                  <w:vAlign w:val="center"/>
                </w:tcPr>
                <w:p w14:paraId="6CB3AA72">
                  <w:pPr>
                    <w:pStyle w:val="53"/>
                    <w:bidi w:val="0"/>
                    <w:rPr>
                      <w:rFonts w:hint="default"/>
                      <w:color w:val="auto"/>
                      <w:highlight w:val="none"/>
                      <w:lang w:val="en-US" w:eastAsia="zh-CN"/>
                    </w:rPr>
                  </w:pPr>
                  <w:r>
                    <w:rPr>
                      <w:rFonts w:hint="eastAsia"/>
                      <w:color w:val="auto"/>
                      <w:highlight w:val="none"/>
                      <w:lang w:val="en-US" w:eastAsia="zh-CN"/>
                    </w:rPr>
                    <w:t>经度</w:t>
                  </w:r>
                  <w:r>
                    <w:rPr>
                      <w:rFonts w:hint="default"/>
                      <w:color w:val="auto"/>
                      <w:highlight w:val="none"/>
                      <w:lang w:val="en-US" w:eastAsia="zh-CN"/>
                    </w:rPr>
                    <w:t>107.594024</w:t>
                  </w:r>
                </w:p>
                <w:p w14:paraId="2791B158">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纬度</w:t>
                  </w:r>
                  <w:r>
                    <w:rPr>
                      <w:rFonts w:hint="default"/>
                      <w:color w:val="auto"/>
                      <w:highlight w:val="none"/>
                      <w:lang w:val="en-US" w:eastAsia="zh-CN"/>
                    </w:rPr>
                    <w:t>34.271994</w:t>
                  </w:r>
                </w:p>
              </w:tc>
              <w:tc>
                <w:tcPr>
                  <w:tcW w:w="730" w:type="dxa"/>
                  <w:noWrap w:val="0"/>
                  <w:vAlign w:val="center"/>
                </w:tcPr>
                <w:p w14:paraId="781D0E06">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40</w:t>
                  </w:r>
                </w:p>
              </w:tc>
              <w:tc>
                <w:tcPr>
                  <w:tcW w:w="800" w:type="dxa"/>
                  <w:noWrap w:val="0"/>
                  <w:vAlign w:val="center"/>
                </w:tcPr>
                <w:p w14:paraId="60B8C74C">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160</w:t>
                  </w:r>
                </w:p>
              </w:tc>
              <w:tc>
                <w:tcPr>
                  <w:tcW w:w="660" w:type="dxa"/>
                  <w:noWrap w:val="0"/>
                  <w:vAlign w:val="center"/>
                </w:tcPr>
                <w:p w14:paraId="1B84C77D">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N</w:t>
                  </w:r>
                </w:p>
              </w:tc>
              <w:tc>
                <w:tcPr>
                  <w:tcW w:w="840" w:type="dxa"/>
                  <w:noWrap w:val="0"/>
                  <w:vAlign w:val="center"/>
                </w:tcPr>
                <w:p w14:paraId="483CB739">
                  <w:pPr>
                    <w:pStyle w:val="53"/>
                    <w:bidi w:val="0"/>
                    <w:ind w:left="0" w:leftChars="0" w:firstLine="0" w:firstLineChars="0"/>
                    <w:rPr>
                      <w:rFonts w:hint="default" w:ascii="Times New Roman" w:hAnsi="Times New Roman" w:eastAsia="宋体"/>
                      <w:color w:val="auto"/>
                      <w:kern w:val="0"/>
                      <w:sz w:val="21"/>
                      <w:szCs w:val="20"/>
                      <w:highlight w:val="none"/>
                      <w:lang w:val="en-US" w:eastAsia="zh-CN" w:bidi="ar-SA"/>
                    </w:rPr>
                  </w:pPr>
                  <w:r>
                    <w:rPr>
                      <w:rFonts w:hint="eastAsia"/>
                      <w:color w:val="auto"/>
                      <w:kern w:val="0"/>
                      <w:sz w:val="21"/>
                      <w:szCs w:val="20"/>
                      <w:highlight w:val="none"/>
                      <w:lang w:val="en-US" w:eastAsia="zh-CN" w:bidi="ar-SA"/>
                    </w:rPr>
                    <w:t>200</w:t>
                  </w:r>
                </w:p>
              </w:tc>
              <w:tc>
                <w:tcPr>
                  <w:tcW w:w="1473" w:type="dxa"/>
                  <w:vMerge w:val="continue"/>
                  <w:noWrap w:val="0"/>
                  <w:vAlign w:val="center"/>
                </w:tcPr>
                <w:p w14:paraId="2FAD5310">
                  <w:pPr>
                    <w:pStyle w:val="53"/>
                    <w:bidi w:val="0"/>
                    <w:rPr>
                      <w:rFonts w:hint="default"/>
                      <w:color w:val="auto"/>
                      <w:highlight w:val="none"/>
                      <w:lang w:val="en-US" w:eastAsia="zh-CN"/>
                    </w:rPr>
                  </w:pPr>
                </w:p>
              </w:tc>
            </w:tr>
          </w:tbl>
          <w:p w14:paraId="3B586861">
            <w:pPr>
              <w:bidi w:val="0"/>
              <w:ind w:left="0" w:leftChars="0" w:firstLine="0" w:firstLineChars="0"/>
              <w:rPr>
                <w:color w:val="auto"/>
                <w:highlight w:val="none"/>
              </w:rPr>
            </w:pPr>
          </w:p>
        </w:tc>
      </w:tr>
      <w:tr w14:paraId="23EC8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tcMar>
              <w:left w:w="28" w:type="dxa"/>
              <w:right w:w="28" w:type="dxa"/>
            </w:tcMar>
            <w:vAlign w:val="center"/>
          </w:tcPr>
          <w:p w14:paraId="2BC62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污染</w:t>
            </w:r>
          </w:p>
          <w:p w14:paraId="7B13B2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物排</w:t>
            </w:r>
          </w:p>
          <w:p w14:paraId="28EF3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放控</w:t>
            </w:r>
          </w:p>
          <w:p w14:paraId="43C0CA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制标</w:t>
            </w:r>
          </w:p>
          <w:p w14:paraId="1062DA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noWrap w:val="0"/>
            <w:vAlign w:val="center"/>
          </w:tcPr>
          <w:p w14:paraId="52B9519A">
            <w:pPr>
              <w:bidi w:val="0"/>
              <w:rPr>
                <w:rFonts w:hint="eastAsia"/>
                <w:b/>
                <w:bCs/>
                <w:color w:val="auto"/>
                <w:highlight w:val="none"/>
                <w:lang w:val="en-US" w:eastAsia="zh-CN"/>
              </w:rPr>
            </w:pPr>
            <w:r>
              <w:rPr>
                <w:rFonts w:hint="eastAsia"/>
                <w:b/>
                <w:bCs/>
                <w:color w:val="auto"/>
                <w:highlight w:val="none"/>
              </w:rPr>
              <w:t>1</w:t>
            </w:r>
            <w:r>
              <w:rPr>
                <w:b/>
                <w:bCs/>
                <w:color w:val="auto"/>
                <w:highlight w:val="none"/>
              </w:rPr>
              <w:t>、废气</w:t>
            </w:r>
            <w:r>
              <w:rPr>
                <w:rFonts w:hint="eastAsia"/>
                <w:b/>
                <w:bCs/>
                <w:color w:val="auto"/>
                <w:highlight w:val="none"/>
                <w:lang w:val="en-US" w:eastAsia="zh-CN"/>
              </w:rPr>
              <w:t>排放标准</w:t>
            </w:r>
          </w:p>
          <w:p w14:paraId="3A7EC168">
            <w:pPr>
              <w:bidi w:val="0"/>
              <w:rPr>
                <w:rFonts w:hint="default"/>
                <w:color w:val="auto"/>
                <w:highlight w:val="none"/>
                <w:lang w:val="en-US" w:eastAsia="zh-CN"/>
              </w:rPr>
            </w:pPr>
            <w:r>
              <w:rPr>
                <w:rFonts w:hint="eastAsia"/>
                <w:color w:val="auto"/>
                <w:highlight w:val="none"/>
              </w:rPr>
              <w:t>施工期场界扬尘执行《陕西省施工场界扬尘排放限值》（DB61/1078-2017）；运营期</w:t>
            </w:r>
            <w:r>
              <w:rPr>
                <w:rFonts w:hint="eastAsia"/>
                <w:color w:val="auto"/>
                <w:highlight w:val="none"/>
                <w:lang w:val="en-US" w:eastAsia="zh-CN"/>
              </w:rPr>
              <w:t>热处理废气排气筒出口颗粒物、二氧化硫、氮氧化物排放浓度执行《陕西省工业炉窑大气污染物综合治理实施方案》（陕环函〔2019〕247号）中的限值要求；布袋除尘器排气筒出口颗粒物的排放浓度执行《大气污染物综合排放标准》（GB16297-1996）表2中的限值要求；无组织废气颗粒物的排放浓度执行《大气污染物综合排放标准》（GB16297-1996）表2中的限值要求</w:t>
            </w:r>
            <w:r>
              <w:rPr>
                <w:rFonts w:hint="eastAsia"/>
                <w:color w:val="auto"/>
                <w:highlight w:val="none"/>
              </w:rPr>
              <w:t>。</w:t>
            </w:r>
            <w:r>
              <w:rPr>
                <w:rFonts w:hint="eastAsia"/>
                <w:color w:val="auto"/>
                <w:highlight w:val="none"/>
                <w:lang w:val="en-US" w:eastAsia="zh-CN"/>
              </w:rPr>
              <w:t>具体见下表。</w:t>
            </w:r>
          </w:p>
          <w:p w14:paraId="270FA455">
            <w:pPr>
              <w:pStyle w:val="58"/>
              <w:bidi w:val="0"/>
              <w:rPr>
                <w:rFonts w:hint="default"/>
                <w:color w:val="auto"/>
                <w:highlight w:val="none"/>
              </w:rPr>
            </w:pPr>
            <w:r>
              <w:rPr>
                <w:rFonts w:hint="default"/>
                <w:color w:val="auto"/>
                <w:highlight w:val="none"/>
              </w:rPr>
              <w:t>表</w:t>
            </w:r>
            <w:r>
              <w:rPr>
                <w:rFonts w:hint="default"/>
                <w:color w:val="auto"/>
                <w:highlight w:val="none"/>
                <w:lang w:val="en-US" w:eastAsia="zh-CN"/>
              </w:rPr>
              <w:t>3-5</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 xml:space="preserve"> </w:t>
            </w:r>
            <w:r>
              <w:rPr>
                <w:rFonts w:hint="eastAsia"/>
                <w:color w:val="auto"/>
                <w:highlight w:val="none"/>
                <w:lang w:eastAsia="zh-CN"/>
              </w:rPr>
              <w:t>陕</w:t>
            </w:r>
            <w:r>
              <w:rPr>
                <w:rFonts w:hint="default"/>
                <w:color w:val="auto"/>
                <w:highlight w:val="none"/>
              </w:rPr>
              <w:t>西省施工场界扬尘排放限值</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2017"/>
              <w:gridCol w:w="1917"/>
              <w:gridCol w:w="3134"/>
            </w:tblGrid>
            <w:tr w14:paraId="4A86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941" w:type="dxa"/>
                  <w:noWrap w:val="0"/>
                  <w:vAlign w:val="center"/>
                </w:tcPr>
                <w:p w14:paraId="3DF42963">
                  <w:pPr>
                    <w:pStyle w:val="53"/>
                    <w:bidi w:val="0"/>
                    <w:rPr>
                      <w:rFonts w:hint="eastAsia"/>
                      <w:b/>
                      <w:bCs/>
                      <w:color w:val="auto"/>
                      <w:highlight w:val="none"/>
                      <w:lang w:eastAsia="zh-CN"/>
                    </w:rPr>
                  </w:pPr>
                  <w:r>
                    <w:rPr>
                      <w:rFonts w:hint="eastAsia"/>
                      <w:b/>
                      <w:bCs/>
                      <w:color w:val="auto"/>
                      <w:highlight w:val="none"/>
                      <w:lang w:eastAsia="zh-CN"/>
                    </w:rPr>
                    <w:t>类别</w:t>
                  </w:r>
                </w:p>
              </w:tc>
              <w:tc>
                <w:tcPr>
                  <w:tcW w:w="2004" w:type="dxa"/>
                  <w:noWrap w:val="0"/>
                  <w:vAlign w:val="center"/>
                </w:tcPr>
                <w:p w14:paraId="1FF8FA63">
                  <w:pPr>
                    <w:pStyle w:val="53"/>
                    <w:bidi w:val="0"/>
                    <w:rPr>
                      <w:rFonts w:hint="default"/>
                      <w:b/>
                      <w:bCs/>
                      <w:color w:val="auto"/>
                      <w:highlight w:val="none"/>
                      <w:lang w:eastAsia="zh-CN"/>
                    </w:rPr>
                  </w:pPr>
                  <w:r>
                    <w:rPr>
                      <w:rFonts w:hint="default"/>
                      <w:b/>
                      <w:bCs/>
                      <w:color w:val="auto"/>
                      <w:highlight w:val="none"/>
                      <w:lang w:eastAsia="zh-CN"/>
                    </w:rPr>
                    <w:t>污染物</w:t>
                  </w:r>
                </w:p>
              </w:tc>
              <w:tc>
                <w:tcPr>
                  <w:tcW w:w="1905" w:type="dxa"/>
                  <w:noWrap w:val="0"/>
                  <w:vAlign w:val="center"/>
                </w:tcPr>
                <w:p w14:paraId="652A52FF">
                  <w:pPr>
                    <w:pStyle w:val="53"/>
                    <w:bidi w:val="0"/>
                    <w:rPr>
                      <w:rFonts w:hint="default"/>
                      <w:b/>
                      <w:bCs/>
                      <w:color w:val="auto"/>
                      <w:highlight w:val="none"/>
                      <w:lang w:eastAsia="zh-CN"/>
                    </w:rPr>
                  </w:pPr>
                  <w:r>
                    <w:rPr>
                      <w:rFonts w:hint="default"/>
                      <w:b/>
                      <w:bCs/>
                      <w:color w:val="auto"/>
                      <w:highlight w:val="none"/>
                      <w:lang w:eastAsia="zh-CN"/>
                    </w:rPr>
                    <w:t>排放限值（</w:t>
                  </w:r>
                  <w:r>
                    <w:rPr>
                      <w:rFonts w:hint="default"/>
                      <w:b/>
                      <w:bCs/>
                      <w:color w:val="auto"/>
                      <w:highlight w:val="none"/>
                      <w:lang w:val="en-US" w:eastAsia="zh-CN"/>
                    </w:rPr>
                    <w:t>mg/m</w:t>
                  </w:r>
                  <w:r>
                    <w:rPr>
                      <w:rFonts w:hint="default"/>
                      <w:b/>
                      <w:bCs/>
                      <w:color w:val="auto"/>
                      <w:highlight w:val="none"/>
                      <w:vertAlign w:val="superscript"/>
                      <w:lang w:val="en-US" w:eastAsia="zh-CN"/>
                    </w:rPr>
                    <w:t>3</w:t>
                  </w:r>
                  <w:r>
                    <w:rPr>
                      <w:rFonts w:hint="default"/>
                      <w:b/>
                      <w:bCs/>
                      <w:color w:val="auto"/>
                      <w:highlight w:val="none"/>
                      <w:lang w:eastAsia="zh-CN"/>
                    </w:rPr>
                    <w:t>）</w:t>
                  </w:r>
                </w:p>
              </w:tc>
              <w:tc>
                <w:tcPr>
                  <w:tcW w:w="3114" w:type="dxa"/>
                  <w:noWrap w:val="0"/>
                  <w:vAlign w:val="center"/>
                </w:tcPr>
                <w:p w14:paraId="63D3C73F">
                  <w:pPr>
                    <w:pStyle w:val="53"/>
                    <w:bidi w:val="0"/>
                    <w:rPr>
                      <w:rFonts w:hint="default"/>
                      <w:b/>
                      <w:bCs/>
                      <w:color w:val="auto"/>
                      <w:highlight w:val="none"/>
                      <w:lang w:val="en-US" w:eastAsia="zh-CN"/>
                    </w:rPr>
                  </w:pPr>
                  <w:r>
                    <w:rPr>
                      <w:rFonts w:hint="eastAsia"/>
                      <w:b/>
                      <w:bCs/>
                      <w:color w:val="auto"/>
                      <w:highlight w:val="none"/>
                      <w:lang w:val="en-US" w:eastAsia="zh-CN"/>
                    </w:rPr>
                    <w:t>施工阶段</w:t>
                  </w:r>
                </w:p>
              </w:tc>
            </w:tr>
            <w:tr w14:paraId="382C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941" w:type="dxa"/>
                  <w:vMerge w:val="restart"/>
                  <w:noWrap w:val="0"/>
                  <w:vAlign w:val="center"/>
                </w:tcPr>
                <w:p w14:paraId="0A9CD896">
                  <w:pPr>
                    <w:pStyle w:val="53"/>
                    <w:bidi w:val="0"/>
                    <w:rPr>
                      <w:rFonts w:hint="default"/>
                      <w:color w:val="auto"/>
                      <w:highlight w:val="none"/>
                      <w:lang w:eastAsia="zh-CN"/>
                    </w:rPr>
                  </w:pPr>
                  <w:r>
                    <w:rPr>
                      <w:rFonts w:hint="eastAsia"/>
                      <w:color w:val="auto"/>
                      <w:highlight w:val="none"/>
                      <w:lang w:eastAsia="zh-CN"/>
                    </w:rPr>
                    <w:t>施工扬尘</w:t>
                  </w:r>
                </w:p>
              </w:tc>
              <w:tc>
                <w:tcPr>
                  <w:tcW w:w="2004" w:type="dxa"/>
                  <w:vMerge w:val="restart"/>
                  <w:noWrap w:val="0"/>
                  <w:vAlign w:val="center"/>
                </w:tcPr>
                <w:p w14:paraId="7753961B">
                  <w:pPr>
                    <w:pStyle w:val="53"/>
                    <w:bidi w:val="0"/>
                    <w:rPr>
                      <w:rFonts w:hint="default"/>
                      <w:color w:val="auto"/>
                      <w:highlight w:val="none"/>
                      <w:lang w:val="en-US" w:eastAsia="zh-CN"/>
                    </w:rPr>
                  </w:pPr>
                  <w:r>
                    <w:rPr>
                      <w:rFonts w:hint="eastAsia"/>
                      <w:color w:val="auto"/>
                      <w:highlight w:val="none"/>
                      <w:lang w:val="en-US" w:eastAsia="zh-CN"/>
                    </w:rPr>
                    <w:t>TSP（周界外浓度最高点）</w:t>
                  </w:r>
                </w:p>
              </w:tc>
              <w:tc>
                <w:tcPr>
                  <w:tcW w:w="1905" w:type="dxa"/>
                  <w:noWrap w:val="0"/>
                  <w:vAlign w:val="center"/>
                </w:tcPr>
                <w:p w14:paraId="304CF5A9">
                  <w:pPr>
                    <w:pStyle w:val="53"/>
                    <w:bidi w:val="0"/>
                    <w:rPr>
                      <w:rFonts w:hint="default"/>
                      <w:color w:val="auto"/>
                      <w:highlight w:val="none"/>
                      <w:lang w:val="en-US" w:eastAsia="zh-CN"/>
                    </w:rPr>
                  </w:pPr>
                  <w:r>
                    <w:rPr>
                      <w:rFonts w:hint="eastAsia"/>
                      <w:color w:val="auto"/>
                      <w:highlight w:val="none"/>
                      <w:lang w:val="en-US" w:eastAsia="zh-CN"/>
                    </w:rPr>
                    <w:t>0.8</w:t>
                  </w:r>
                </w:p>
              </w:tc>
              <w:tc>
                <w:tcPr>
                  <w:tcW w:w="3114" w:type="dxa"/>
                  <w:noWrap w:val="0"/>
                  <w:vAlign w:val="center"/>
                </w:tcPr>
                <w:p w14:paraId="0A7ABF9A">
                  <w:pPr>
                    <w:pStyle w:val="53"/>
                    <w:bidi w:val="0"/>
                    <w:rPr>
                      <w:rFonts w:hint="default"/>
                      <w:color w:val="auto"/>
                      <w:highlight w:val="none"/>
                      <w:lang w:val="en-US" w:eastAsia="zh-CN"/>
                    </w:rPr>
                  </w:pPr>
                  <w:r>
                    <w:rPr>
                      <w:rFonts w:hint="eastAsia"/>
                      <w:color w:val="auto"/>
                      <w:highlight w:val="none"/>
                      <w:lang w:val="en-US" w:eastAsia="zh-CN"/>
                    </w:rPr>
                    <w:t>拆除、土方及地基处理工程</w:t>
                  </w:r>
                </w:p>
              </w:tc>
            </w:tr>
            <w:tr w14:paraId="71BF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941" w:type="dxa"/>
                  <w:vMerge w:val="continue"/>
                  <w:noWrap w:val="0"/>
                  <w:vAlign w:val="center"/>
                </w:tcPr>
                <w:p w14:paraId="3EDF72DC">
                  <w:pPr>
                    <w:pStyle w:val="53"/>
                    <w:bidi w:val="0"/>
                    <w:rPr>
                      <w:rFonts w:hint="default"/>
                      <w:color w:val="auto"/>
                      <w:highlight w:val="none"/>
                      <w:lang w:eastAsia="zh-CN"/>
                    </w:rPr>
                  </w:pPr>
                </w:p>
              </w:tc>
              <w:tc>
                <w:tcPr>
                  <w:tcW w:w="2004" w:type="dxa"/>
                  <w:vMerge w:val="continue"/>
                  <w:noWrap w:val="0"/>
                  <w:vAlign w:val="center"/>
                </w:tcPr>
                <w:p w14:paraId="2DABE2B2">
                  <w:pPr>
                    <w:pStyle w:val="53"/>
                    <w:bidi w:val="0"/>
                    <w:rPr>
                      <w:rFonts w:hint="default"/>
                      <w:color w:val="auto"/>
                      <w:highlight w:val="none"/>
                      <w:lang w:val="en-US" w:eastAsia="zh-CN"/>
                    </w:rPr>
                  </w:pPr>
                </w:p>
              </w:tc>
              <w:tc>
                <w:tcPr>
                  <w:tcW w:w="1905" w:type="dxa"/>
                  <w:noWrap w:val="0"/>
                  <w:vAlign w:val="center"/>
                </w:tcPr>
                <w:p w14:paraId="54665DD4">
                  <w:pPr>
                    <w:pStyle w:val="53"/>
                    <w:bidi w:val="0"/>
                    <w:rPr>
                      <w:rFonts w:hint="default"/>
                      <w:color w:val="auto"/>
                      <w:highlight w:val="none"/>
                      <w:lang w:val="en-US" w:eastAsia="zh-CN"/>
                    </w:rPr>
                  </w:pPr>
                  <w:r>
                    <w:rPr>
                      <w:rFonts w:hint="eastAsia"/>
                      <w:color w:val="auto"/>
                      <w:highlight w:val="none"/>
                      <w:lang w:val="en-US" w:eastAsia="zh-CN"/>
                    </w:rPr>
                    <w:t>0.7</w:t>
                  </w:r>
                </w:p>
              </w:tc>
              <w:tc>
                <w:tcPr>
                  <w:tcW w:w="3114" w:type="dxa"/>
                  <w:noWrap w:val="0"/>
                  <w:vAlign w:val="center"/>
                </w:tcPr>
                <w:p w14:paraId="3DA6B98E">
                  <w:pPr>
                    <w:pStyle w:val="53"/>
                    <w:bidi w:val="0"/>
                    <w:rPr>
                      <w:rFonts w:hint="default"/>
                      <w:color w:val="auto"/>
                      <w:highlight w:val="none"/>
                      <w:lang w:val="en-US" w:eastAsia="zh-CN"/>
                    </w:rPr>
                  </w:pPr>
                  <w:r>
                    <w:rPr>
                      <w:rFonts w:hint="eastAsia"/>
                      <w:color w:val="auto"/>
                      <w:highlight w:val="none"/>
                      <w:lang w:val="en-US" w:eastAsia="zh-CN"/>
                    </w:rPr>
                    <w:t>基础、主体结构及装饰工程</w:t>
                  </w:r>
                </w:p>
              </w:tc>
            </w:tr>
          </w:tbl>
          <w:p w14:paraId="08304482">
            <w:pPr>
              <w:pStyle w:val="58"/>
              <w:bidi w:val="0"/>
              <w:rPr>
                <w:rFonts w:hint="default"/>
                <w:color w:val="auto"/>
                <w:highlight w:val="none"/>
              </w:rPr>
            </w:pPr>
          </w:p>
          <w:p w14:paraId="26789115">
            <w:pPr>
              <w:pStyle w:val="58"/>
              <w:bidi w:val="0"/>
              <w:rPr>
                <w:rFonts w:hint="default"/>
                <w:color w:val="auto"/>
                <w:highlight w:val="none"/>
              </w:rPr>
            </w:pPr>
          </w:p>
          <w:p w14:paraId="03BFCDEA">
            <w:pPr>
              <w:pStyle w:val="58"/>
              <w:bidi w:val="0"/>
              <w:rPr>
                <w:rFonts w:hint="eastAsia"/>
                <w:color w:val="auto"/>
                <w:highlight w:val="none"/>
                <w:lang w:eastAsia="zh-CN"/>
              </w:rPr>
            </w:pPr>
            <w:r>
              <w:rPr>
                <w:rFonts w:hint="default"/>
                <w:color w:val="auto"/>
                <w:highlight w:val="none"/>
              </w:rPr>
              <w:t>表</w:t>
            </w:r>
            <w:r>
              <w:rPr>
                <w:rFonts w:hint="default"/>
                <w:color w:val="auto"/>
                <w:highlight w:val="none"/>
                <w:lang w:val="en-US" w:eastAsia="zh-CN"/>
              </w:rPr>
              <w:t>3-</w:t>
            </w:r>
            <w:r>
              <w:rPr>
                <w:rFonts w:hint="eastAsia"/>
                <w:color w:val="auto"/>
                <w:highlight w:val="none"/>
                <w:lang w:val="en-US" w:eastAsia="zh-CN"/>
              </w:rPr>
              <w:t>6</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 xml:space="preserve"> </w:t>
            </w:r>
            <w:r>
              <w:rPr>
                <w:rFonts w:hint="eastAsia"/>
                <w:color w:val="auto"/>
                <w:highlight w:val="none"/>
                <w:lang w:val="en-US" w:eastAsia="zh-CN"/>
              </w:rPr>
              <w:t>运营期固定源废气</w:t>
            </w:r>
            <w:r>
              <w:rPr>
                <w:rFonts w:hint="eastAsia"/>
                <w:color w:val="auto"/>
                <w:highlight w:val="none"/>
                <w:lang w:eastAsia="zh-CN"/>
              </w:rPr>
              <w:t>排放标准限值</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245"/>
              <w:gridCol w:w="2877"/>
              <w:gridCol w:w="3004"/>
            </w:tblGrid>
            <w:tr w14:paraId="4DC0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552" w:type="pct"/>
                  <w:noWrap w:val="0"/>
                  <w:vAlign w:val="center"/>
                </w:tcPr>
                <w:p w14:paraId="3CC75722">
                  <w:pPr>
                    <w:pStyle w:val="53"/>
                    <w:bidi w:val="0"/>
                    <w:rPr>
                      <w:rFonts w:hint="default" w:eastAsia="宋体"/>
                      <w:b/>
                      <w:bCs/>
                      <w:color w:val="auto"/>
                      <w:highlight w:val="none"/>
                      <w:lang w:val="en-US" w:eastAsia="zh-CN"/>
                    </w:rPr>
                  </w:pPr>
                  <w:r>
                    <w:rPr>
                      <w:rFonts w:hint="eastAsia"/>
                      <w:b/>
                      <w:bCs/>
                      <w:color w:val="auto"/>
                      <w:highlight w:val="none"/>
                      <w:lang w:val="en-US" w:eastAsia="zh-CN"/>
                    </w:rPr>
                    <w:t>类别</w:t>
                  </w:r>
                </w:p>
              </w:tc>
              <w:tc>
                <w:tcPr>
                  <w:tcW w:w="777" w:type="pct"/>
                  <w:noWrap w:val="0"/>
                  <w:vAlign w:val="center"/>
                </w:tcPr>
                <w:p w14:paraId="133DF9F5">
                  <w:pPr>
                    <w:pStyle w:val="53"/>
                    <w:bidi w:val="0"/>
                    <w:rPr>
                      <w:rFonts w:hint="default"/>
                      <w:b/>
                      <w:bCs/>
                      <w:color w:val="auto"/>
                      <w:highlight w:val="none"/>
                    </w:rPr>
                  </w:pPr>
                  <w:r>
                    <w:rPr>
                      <w:rFonts w:hint="default"/>
                      <w:b/>
                      <w:bCs/>
                      <w:color w:val="auto"/>
                      <w:highlight w:val="none"/>
                    </w:rPr>
                    <w:t>污染物</w:t>
                  </w:r>
                </w:p>
              </w:tc>
              <w:tc>
                <w:tcPr>
                  <w:tcW w:w="1795" w:type="pct"/>
                  <w:noWrap w:val="0"/>
                  <w:vAlign w:val="center"/>
                </w:tcPr>
                <w:p w14:paraId="15282072">
                  <w:pPr>
                    <w:pStyle w:val="53"/>
                    <w:bidi w:val="0"/>
                    <w:rPr>
                      <w:rFonts w:hint="default"/>
                      <w:b/>
                      <w:bCs/>
                      <w:color w:val="auto"/>
                      <w:highlight w:val="none"/>
                      <w:lang w:val="en-US" w:eastAsia="zh-CN"/>
                    </w:rPr>
                  </w:pPr>
                  <w:r>
                    <w:rPr>
                      <w:rFonts w:hint="eastAsia"/>
                      <w:b/>
                      <w:bCs/>
                      <w:color w:val="auto"/>
                      <w:highlight w:val="none"/>
                      <w:lang w:val="en-US" w:eastAsia="zh-CN"/>
                    </w:rPr>
                    <w:t>执行标准</w:t>
                  </w:r>
                </w:p>
              </w:tc>
              <w:tc>
                <w:tcPr>
                  <w:tcW w:w="1874" w:type="pct"/>
                  <w:noWrap w:val="0"/>
                  <w:vAlign w:val="center"/>
                </w:tcPr>
                <w:p w14:paraId="09A6356A">
                  <w:pPr>
                    <w:pStyle w:val="53"/>
                    <w:bidi w:val="0"/>
                    <w:ind w:left="0" w:leftChars="0" w:firstLine="0" w:firstLineChars="0"/>
                    <w:rPr>
                      <w:rFonts w:hint="eastAsia" w:ascii="Times New Roman" w:hAnsi="Times New Roman" w:eastAsia="宋体" w:cs="Times New Roman"/>
                      <w:b/>
                      <w:bCs/>
                      <w:color w:val="auto"/>
                      <w:kern w:val="0"/>
                      <w:sz w:val="21"/>
                      <w:szCs w:val="20"/>
                      <w:highlight w:val="none"/>
                      <w:lang w:val="en-US" w:eastAsia="zh-CN" w:bidi="ar-SA"/>
                    </w:rPr>
                  </w:pPr>
                  <w:r>
                    <w:rPr>
                      <w:rFonts w:hint="eastAsia"/>
                      <w:b/>
                      <w:bCs/>
                      <w:color w:val="auto"/>
                      <w:highlight w:val="none"/>
                      <w:lang w:val="en-US" w:eastAsia="zh-CN"/>
                    </w:rPr>
                    <w:t>最高允许排放浓度</w:t>
                  </w:r>
                  <w:r>
                    <w:rPr>
                      <w:rFonts w:hint="default"/>
                      <w:b/>
                      <w:bCs/>
                      <w:color w:val="auto"/>
                      <w:highlight w:val="none"/>
                      <w:lang w:eastAsia="zh-CN"/>
                    </w:rPr>
                    <w:t>（</w:t>
                  </w:r>
                  <w:r>
                    <w:rPr>
                      <w:rFonts w:hint="default"/>
                      <w:b/>
                      <w:bCs/>
                      <w:color w:val="auto"/>
                      <w:highlight w:val="none"/>
                      <w:lang w:val="en-US" w:eastAsia="zh-CN"/>
                    </w:rPr>
                    <w:t>mg/m</w:t>
                  </w:r>
                  <w:r>
                    <w:rPr>
                      <w:rFonts w:hint="default"/>
                      <w:b/>
                      <w:bCs/>
                      <w:color w:val="auto"/>
                      <w:highlight w:val="none"/>
                      <w:vertAlign w:val="superscript"/>
                      <w:lang w:val="en-US" w:eastAsia="zh-CN"/>
                    </w:rPr>
                    <w:t>3</w:t>
                  </w:r>
                  <w:r>
                    <w:rPr>
                      <w:rFonts w:hint="default"/>
                      <w:b/>
                      <w:bCs/>
                      <w:color w:val="auto"/>
                      <w:highlight w:val="none"/>
                      <w:lang w:eastAsia="zh-CN"/>
                    </w:rPr>
                    <w:t>）</w:t>
                  </w:r>
                </w:p>
              </w:tc>
            </w:tr>
            <w:tr w14:paraId="5DB2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552" w:type="pct"/>
                  <w:vMerge w:val="restart"/>
                  <w:noWrap w:val="0"/>
                  <w:vAlign w:val="center"/>
                </w:tcPr>
                <w:p w14:paraId="31ED6B3E">
                  <w:pPr>
                    <w:pStyle w:val="53"/>
                    <w:bidi w:val="0"/>
                    <w:rPr>
                      <w:rFonts w:hint="default"/>
                      <w:color w:val="auto"/>
                      <w:highlight w:val="none"/>
                      <w:lang w:val="en-US" w:eastAsia="zh-CN"/>
                    </w:rPr>
                  </w:pPr>
                  <w:r>
                    <w:rPr>
                      <w:rFonts w:hint="eastAsia"/>
                      <w:color w:val="auto"/>
                      <w:highlight w:val="none"/>
                      <w:lang w:val="en-US" w:eastAsia="zh-CN"/>
                    </w:rPr>
                    <w:t>热处理燃烧废气</w:t>
                  </w:r>
                </w:p>
              </w:tc>
              <w:tc>
                <w:tcPr>
                  <w:tcW w:w="777" w:type="pct"/>
                  <w:noWrap w:val="0"/>
                  <w:vAlign w:val="center"/>
                </w:tcPr>
                <w:p w14:paraId="71FB4286">
                  <w:pPr>
                    <w:pStyle w:val="53"/>
                    <w:bidi w:val="0"/>
                    <w:rPr>
                      <w:rFonts w:hint="default"/>
                      <w:color w:val="auto"/>
                      <w:highlight w:val="none"/>
                      <w:lang w:val="en-US" w:eastAsia="zh-CN"/>
                    </w:rPr>
                  </w:pPr>
                  <w:r>
                    <w:rPr>
                      <w:rFonts w:hint="eastAsia"/>
                      <w:color w:val="auto"/>
                      <w:highlight w:val="none"/>
                      <w:lang w:val="en-US" w:eastAsia="zh-CN"/>
                    </w:rPr>
                    <w:t>颗粒物</w:t>
                  </w:r>
                </w:p>
              </w:tc>
              <w:tc>
                <w:tcPr>
                  <w:tcW w:w="1795" w:type="pct"/>
                  <w:vMerge w:val="restart"/>
                  <w:noWrap w:val="0"/>
                  <w:vAlign w:val="center"/>
                </w:tcPr>
                <w:p w14:paraId="16C033EE">
                  <w:pPr>
                    <w:pStyle w:val="53"/>
                    <w:bidi w:val="0"/>
                    <w:rPr>
                      <w:rFonts w:hint="default"/>
                      <w:color w:val="auto"/>
                      <w:highlight w:val="none"/>
                      <w:lang w:val="en-US" w:eastAsia="zh-CN"/>
                    </w:rPr>
                  </w:pPr>
                  <w:r>
                    <w:rPr>
                      <w:rFonts w:hint="default"/>
                      <w:color w:val="auto"/>
                      <w:highlight w:val="none"/>
                      <w:lang w:val="en-US" w:eastAsia="zh-CN"/>
                    </w:rPr>
                    <w:t>《陕西省工业炉窑大气污染物综合治理实施方案》（陕环函〔2019〕247号）</w:t>
                  </w:r>
                </w:p>
              </w:tc>
              <w:tc>
                <w:tcPr>
                  <w:tcW w:w="1874" w:type="pct"/>
                  <w:shd w:val="clear" w:color="auto" w:fill="auto"/>
                  <w:noWrap w:val="0"/>
                  <w:vAlign w:val="center"/>
                </w:tcPr>
                <w:p w14:paraId="17754D5E">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30</w:t>
                  </w:r>
                </w:p>
              </w:tc>
            </w:tr>
            <w:tr w14:paraId="4DD3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552" w:type="pct"/>
                  <w:vMerge w:val="continue"/>
                  <w:noWrap w:val="0"/>
                  <w:vAlign w:val="center"/>
                </w:tcPr>
                <w:p w14:paraId="218679D4">
                  <w:pPr>
                    <w:pStyle w:val="53"/>
                    <w:bidi w:val="0"/>
                    <w:rPr>
                      <w:rFonts w:hint="eastAsia"/>
                      <w:color w:val="auto"/>
                      <w:highlight w:val="none"/>
                      <w:lang w:val="en-US" w:eastAsia="zh-CN"/>
                    </w:rPr>
                  </w:pPr>
                </w:p>
              </w:tc>
              <w:tc>
                <w:tcPr>
                  <w:tcW w:w="777" w:type="pct"/>
                  <w:noWrap w:val="0"/>
                  <w:vAlign w:val="center"/>
                </w:tcPr>
                <w:p w14:paraId="111C5895">
                  <w:pPr>
                    <w:pStyle w:val="53"/>
                    <w:bidi w:val="0"/>
                    <w:rPr>
                      <w:rFonts w:hint="default"/>
                      <w:color w:val="auto"/>
                      <w:highlight w:val="none"/>
                      <w:lang w:val="en-US" w:eastAsia="zh-CN"/>
                    </w:rPr>
                  </w:pPr>
                  <w:r>
                    <w:rPr>
                      <w:rFonts w:hint="eastAsia"/>
                      <w:color w:val="auto"/>
                      <w:highlight w:val="none"/>
                      <w:lang w:val="en-US" w:eastAsia="zh-CN"/>
                    </w:rPr>
                    <w:t>二氧化硫</w:t>
                  </w:r>
                </w:p>
              </w:tc>
              <w:tc>
                <w:tcPr>
                  <w:tcW w:w="1795" w:type="pct"/>
                  <w:vMerge w:val="continue"/>
                  <w:noWrap w:val="0"/>
                  <w:vAlign w:val="center"/>
                </w:tcPr>
                <w:p w14:paraId="4231CA48">
                  <w:pPr>
                    <w:pStyle w:val="53"/>
                    <w:bidi w:val="0"/>
                    <w:rPr>
                      <w:rFonts w:hint="default"/>
                      <w:color w:val="auto"/>
                      <w:highlight w:val="none"/>
                      <w:vertAlign w:val="superscript"/>
                      <w:lang w:val="en-US" w:eastAsia="zh-CN"/>
                    </w:rPr>
                  </w:pPr>
                </w:p>
              </w:tc>
              <w:tc>
                <w:tcPr>
                  <w:tcW w:w="1874" w:type="pct"/>
                  <w:shd w:val="clear" w:color="auto" w:fill="auto"/>
                  <w:noWrap w:val="0"/>
                  <w:vAlign w:val="center"/>
                </w:tcPr>
                <w:p w14:paraId="6E2BC353">
                  <w:pPr>
                    <w:pStyle w:val="53"/>
                    <w:bidi w:val="0"/>
                    <w:ind w:left="0" w:leftChars="0" w:firstLine="0" w:firstLineChars="0"/>
                    <w:rPr>
                      <w:rFonts w:hint="eastAsia" w:ascii="Times New Roman" w:hAnsi="Times New Roman" w:eastAsia="宋体" w:cs="Times New Roman"/>
                      <w:color w:val="auto"/>
                      <w:kern w:val="0"/>
                      <w:sz w:val="21"/>
                      <w:szCs w:val="20"/>
                      <w:highlight w:val="none"/>
                      <w:vertAlign w:val="superscript"/>
                      <w:lang w:val="en-US" w:eastAsia="zh-CN" w:bidi="ar-SA"/>
                    </w:rPr>
                  </w:pPr>
                  <w:r>
                    <w:rPr>
                      <w:rFonts w:hint="eastAsia"/>
                      <w:color w:val="auto"/>
                      <w:highlight w:val="none"/>
                      <w:lang w:val="en-US" w:eastAsia="zh-CN"/>
                    </w:rPr>
                    <w:t>200</w:t>
                  </w:r>
                </w:p>
              </w:tc>
            </w:tr>
            <w:tr w14:paraId="72BC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552" w:type="pct"/>
                  <w:vMerge w:val="continue"/>
                  <w:noWrap w:val="0"/>
                  <w:vAlign w:val="center"/>
                </w:tcPr>
                <w:p w14:paraId="7572441A">
                  <w:pPr>
                    <w:pStyle w:val="53"/>
                    <w:bidi w:val="0"/>
                    <w:rPr>
                      <w:rFonts w:hint="eastAsia"/>
                      <w:color w:val="auto"/>
                      <w:highlight w:val="none"/>
                      <w:lang w:val="en-US" w:eastAsia="zh-CN"/>
                    </w:rPr>
                  </w:pPr>
                </w:p>
              </w:tc>
              <w:tc>
                <w:tcPr>
                  <w:tcW w:w="777" w:type="pct"/>
                  <w:noWrap w:val="0"/>
                  <w:vAlign w:val="center"/>
                </w:tcPr>
                <w:p w14:paraId="23A3275A">
                  <w:pPr>
                    <w:pStyle w:val="53"/>
                    <w:bidi w:val="0"/>
                    <w:rPr>
                      <w:rFonts w:hint="default"/>
                      <w:color w:val="auto"/>
                      <w:highlight w:val="none"/>
                      <w:lang w:val="en-US" w:eastAsia="zh-CN"/>
                    </w:rPr>
                  </w:pPr>
                  <w:r>
                    <w:rPr>
                      <w:rFonts w:hint="eastAsia"/>
                      <w:color w:val="auto"/>
                      <w:highlight w:val="none"/>
                      <w:lang w:val="en-US" w:eastAsia="zh-CN"/>
                    </w:rPr>
                    <w:t>氮氧化物</w:t>
                  </w:r>
                </w:p>
              </w:tc>
              <w:tc>
                <w:tcPr>
                  <w:tcW w:w="1795" w:type="pct"/>
                  <w:vMerge w:val="continue"/>
                  <w:noWrap w:val="0"/>
                  <w:vAlign w:val="center"/>
                </w:tcPr>
                <w:p w14:paraId="69A7CDA2">
                  <w:pPr>
                    <w:pStyle w:val="53"/>
                    <w:bidi w:val="0"/>
                    <w:rPr>
                      <w:rFonts w:hint="default"/>
                      <w:color w:val="auto"/>
                      <w:highlight w:val="none"/>
                      <w:lang w:val="en-US" w:eastAsia="zh-CN"/>
                    </w:rPr>
                  </w:pPr>
                </w:p>
              </w:tc>
              <w:tc>
                <w:tcPr>
                  <w:tcW w:w="1874" w:type="pct"/>
                  <w:shd w:val="clear" w:color="auto" w:fill="auto"/>
                  <w:noWrap w:val="0"/>
                  <w:vAlign w:val="center"/>
                </w:tcPr>
                <w:p w14:paraId="59A79488">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300</w:t>
                  </w:r>
                </w:p>
              </w:tc>
            </w:tr>
            <w:tr w14:paraId="7684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552" w:type="pct"/>
                  <w:noWrap w:val="0"/>
                  <w:vAlign w:val="center"/>
                </w:tcPr>
                <w:p w14:paraId="430D2C20">
                  <w:pPr>
                    <w:pStyle w:val="53"/>
                    <w:bidi w:val="0"/>
                    <w:rPr>
                      <w:rFonts w:hint="default"/>
                      <w:color w:val="auto"/>
                      <w:highlight w:val="none"/>
                      <w:lang w:val="en-US" w:eastAsia="zh-CN"/>
                    </w:rPr>
                  </w:pPr>
                  <w:r>
                    <w:rPr>
                      <w:rFonts w:hint="eastAsia"/>
                      <w:color w:val="auto"/>
                      <w:highlight w:val="none"/>
                      <w:lang w:val="en-US" w:eastAsia="zh-CN"/>
                    </w:rPr>
                    <w:t>抛丸废气</w:t>
                  </w:r>
                </w:p>
              </w:tc>
              <w:tc>
                <w:tcPr>
                  <w:tcW w:w="777" w:type="pct"/>
                  <w:noWrap w:val="0"/>
                  <w:vAlign w:val="center"/>
                </w:tcPr>
                <w:p w14:paraId="000C7F0F">
                  <w:pPr>
                    <w:pStyle w:val="53"/>
                    <w:bidi w:val="0"/>
                    <w:rPr>
                      <w:rFonts w:hint="default"/>
                      <w:color w:val="auto"/>
                      <w:highlight w:val="none"/>
                      <w:lang w:val="en-US" w:eastAsia="zh-CN"/>
                    </w:rPr>
                  </w:pPr>
                  <w:r>
                    <w:rPr>
                      <w:rFonts w:hint="eastAsia"/>
                      <w:color w:val="auto"/>
                      <w:highlight w:val="none"/>
                      <w:lang w:val="en-US" w:eastAsia="zh-CN"/>
                    </w:rPr>
                    <w:t>颗粒物</w:t>
                  </w:r>
                </w:p>
              </w:tc>
              <w:tc>
                <w:tcPr>
                  <w:tcW w:w="1795" w:type="pct"/>
                  <w:noWrap w:val="0"/>
                  <w:vAlign w:val="center"/>
                </w:tcPr>
                <w:p w14:paraId="4092FC63">
                  <w:pPr>
                    <w:pStyle w:val="53"/>
                    <w:bidi w:val="0"/>
                    <w:rPr>
                      <w:rFonts w:hint="eastAsia"/>
                      <w:color w:val="auto"/>
                      <w:highlight w:val="none"/>
                      <w:lang w:val="en-US" w:eastAsia="zh-CN"/>
                    </w:rPr>
                  </w:pPr>
                  <w:r>
                    <w:rPr>
                      <w:rFonts w:hint="eastAsia"/>
                      <w:color w:val="auto"/>
                      <w:highlight w:val="none"/>
                      <w:lang w:val="en-US" w:eastAsia="zh-CN"/>
                    </w:rPr>
                    <w:t>《大气污染物综合排放标准》（GB16297-1996）</w:t>
                  </w:r>
                </w:p>
              </w:tc>
              <w:tc>
                <w:tcPr>
                  <w:tcW w:w="1874" w:type="pct"/>
                  <w:noWrap w:val="0"/>
                  <w:vAlign w:val="center"/>
                </w:tcPr>
                <w:p w14:paraId="5B8E135A">
                  <w:pPr>
                    <w:pStyle w:val="53"/>
                    <w:bidi w:val="0"/>
                    <w:rPr>
                      <w:rFonts w:hint="default"/>
                      <w:color w:val="auto"/>
                      <w:highlight w:val="none"/>
                      <w:lang w:val="en-US" w:eastAsia="zh-CN"/>
                    </w:rPr>
                  </w:pPr>
                  <w:r>
                    <w:rPr>
                      <w:rFonts w:hint="eastAsia"/>
                      <w:color w:val="auto"/>
                      <w:highlight w:val="none"/>
                      <w:lang w:val="en-US" w:eastAsia="zh-CN"/>
                    </w:rPr>
                    <w:t>120</w:t>
                  </w:r>
                </w:p>
              </w:tc>
            </w:tr>
          </w:tbl>
          <w:p w14:paraId="17B35524">
            <w:pPr>
              <w:pStyle w:val="58"/>
              <w:bidi w:val="0"/>
              <w:rPr>
                <w:rFonts w:hint="eastAsia"/>
                <w:color w:val="auto"/>
                <w:highlight w:val="none"/>
                <w:lang w:val="en-US" w:eastAsia="zh-CN"/>
              </w:rPr>
            </w:pPr>
          </w:p>
          <w:p w14:paraId="08C4D5B3">
            <w:pPr>
              <w:pStyle w:val="58"/>
              <w:bidi w:val="0"/>
              <w:rPr>
                <w:rFonts w:hint="eastAsia"/>
                <w:color w:val="auto"/>
                <w:highlight w:val="none"/>
                <w:lang w:val="en-US" w:eastAsia="zh-CN"/>
              </w:rPr>
            </w:pPr>
            <w:r>
              <w:rPr>
                <w:rFonts w:hint="eastAsia"/>
                <w:color w:val="auto"/>
                <w:highlight w:val="none"/>
                <w:lang w:val="en-US" w:eastAsia="zh-CN"/>
              </w:rPr>
              <w:t>表3-7    厂内无组织废气颗粒物排放限值</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1"/>
              <w:gridCol w:w="2673"/>
            </w:tblGrid>
            <w:tr w14:paraId="5E9C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restart"/>
                  <w:vAlign w:val="top"/>
                </w:tcPr>
                <w:p w14:paraId="56ADB4C3">
                  <w:pPr>
                    <w:pStyle w:val="53"/>
                    <w:rPr>
                      <w:rFonts w:hint="default"/>
                      <w:b/>
                      <w:bCs/>
                      <w:color w:val="auto"/>
                      <w:highlight w:val="none"/>
                      <w:vertAlign w:val="baseline"/>
                      <w:lang w:val="en-US" w:eastAsia="zh-CN"/>
                    </w:rPr>
                  </w:pPr>
                  <w:r>
                    <w:rPr>
                      <w:rFonts w:hint="eastAsia"/>
                      <w:b/>
                      <w:bCs/>
                      <w:color w:val="auto"/>
                      <w:highlight w:val="none"/>
                      <w:vertAlign w:val="baseline"/>
                      <w:lang w:val="en-US" w:eastAsia="zh-CN"/>
                    </w:rPr>
                    <w:t>污染物</w:t>
                  </w:r>
                </w:p>
              </w:tc>
              <w:tc>
                <w:tcPr>
                  <w:tcW w:w="5310" w:type="dxa"/>
                  <w:gridSpan w:val="2"/>
                  <w:vAlign w:val="top"/>
                </w:tcPr>
                <w:p w14:paraId="197B1395">
                  <w:pPr>
                    <w:pStyle w:val="53"/>
                    <w:rPr>
                      <w:rFonts w:hint="default"/>
                      <w:b/>
                      <w:bCs/>
                      <w:color w:val="auto"/>
                      <w:highlight w:val="none"/>
                      <w:vertAlign w:val="baseline"/>
                      <w:lang w:val="en-US" w:eastAsia="zh-CN"/>
                    </w:rPr>
                  </w:pPr>
                  <w:r>
                    <w:rPr>
                      <w:rFonts w:hint="eastAsia"/>
                      <w:b/>
                      <w:bCs/>
                      <w:color w:val="auto"/>
                      <w:highlight w:val="none"/>
                      <w:vertAlign w:val="baseline"/>
                      <w:lang w:val="en-US" w:eastAsia="zh-CN"/>
                    </w:rPr>
                    <w:t>无组织排放监控浓度限值</w:t>
                  </w:r>
                </w:p>
              </w:tc>
            </w:tr>
            <w:tr w14:paraId="2767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continue"/>
                  <w:vAlign w:val="top"/>
                </w:tcPr>
                <w:p w14:paraId="1FC6D502">
                  <w:pPr>
                    <w:pStyle w:val="53"/>
                    <w:rPr>
                      <w:rFonts w:hint="eastAsia"/>
                      <w:b/>
                      <w:bCs/>
                      <w:color w:val="auto"/>
                      <w:highlight w:val="none"/>
                      <w:vertAlign w:val="baseline"/>
                      <w:lang w:val="en-US" w:eastAsia="zh-CN"/>
                    </w:rPr>
                  </w:pPr>
                </w:p>
              </w:tc>
              <w:tc>
                <w:tcPr>
                  <w:tcW w:w="2654" w:type="dxa"/>
                  <w:vAlign w:val="top"/>
                </w:tcPr>
                <w:p w14:paraId="48F35D3A">
                  <w:pPr>
                    <w:pStyle w:val="53"/>
                    <w:rPr>
                      <w:rFonts w:hint="default"/>
                      <w:b/>
                      <w:bCs/>
                      <w:color w:val="auto"/>
                      <w:highlight w:val="none"/>
                      <w:vertAlign w:val="baseline"/>
                      <w:lang w:val="en-US" w:eastAsia="zh-CN"/>
                    </w:rPr>
                  </w:pPr>
                  <w:r>
                    <w:rPr>
                      <w:rFonts w:hint="eastAsia"/>
                      <w:b/>
                      <w:bCs/>
                      <w:color w:val="auto"/>
                      <w:highlight w:val="none"/>
                      <w:vertAlign w:val="baseline"/>
                      <w:lang w:val="en-US" w:eastAsia="zh-CN"/>
                    </w:rPr>
                    <w:t>监控点</w:t>
                  </w:r>
                </w:p>
              </w:tc>
              <w:tc>
                <w:tcPr>
                  <w:tcW w:w="2656" w:type="dxa"/>
                  <w:vAlign w:val="top"/>
                </w:tcPr>
                <w:p w14:paraId="3EBE5F69">
                  <w:pPr>
                    <w:pStyle w:val="53"/>
                    <w:rPr>
                      <w:rFonts w:hint="default"/>
                      <w:b/>
                      <w:bCs/>
                      <w:color w:val="auto"/>
                      <w:highlight w:val="none"/>
                      <w:vertAlign w:val="baseline"/>
                      <w:lang w:val="en-US" w:eastAsia="zh-CN"/>
                    </w:rPr>
                  </w:pPr>
                  <w:r>
                    <w:rPr>
                      <w:rFonts w:hint="eastAsia"/>
                      <w:b/>
                      <w:bCs/>
                      <w:color w:val="auto"/>
                      <w:highlight w:val="none"/>
                      <w:vertAlign w:val="baseline"/>
                      <w:lang w:val="en-US" w:eastAsia="zh-CN"/>
                    </w:rPr>
                    <w:t>浓度</w:t>
                  </w:r>
                  <w:r>
                    <w:rPr>
                      <w:rFonts w:hint="default"/>
                      <w:b/>
                      <w:bCs/>
                      <w:color w:val="auto"/>
                      <w:highlight w:val="none"/>
                      <w:lang w:eastAsia="zh-CN"/>
                    </w:rPr>
                    <w:t>（</w:t>
                  </w:r>
                  <w:r>
                    <w:rPr>
                      <w:rFonts w:hint="default"/>
                      <w:b/>
                      <w:bCs/>
                      <w:color w:val="auto"/>
                      <w:highlight w:val="none"/>
                      <w:lang w:val="en-US" w:eastAsia="zh-CN"/>
                    </w:rPr>
                    <w:t>mg/m</w:t>
                  </w:r>
                  <w:r>
                    <w:rPr>
                      <w:rFonts w:hint="default"/>
                      <w:b/>
                      <w:bCs/>
                      <w:color w:val="auto"/>
                      <w:highlight w:val="none"/>
                      <w:vertAlign w:val="superscript"/>
                      <w:lang w:val="en-US" w:eastAsia="zh-CN"/>
                    </w:rPr>
                    <w:t>3</w:t>
                  </w:r>
                  <w:r>
                    <w:rPr>
                      <w:rFonts w:hint="default"/>
                      <w:b/>
                      <w:bCs/>
                      <w:color w:val="auto"/>
                      <w:highlight w:val="none"/>
                      <w:lang w:eastAsia="zh-CN"/>
                    </w:rPr>
                    <w:t>）</w:t>
                  </w:r>
                </w:p>
              </w:tc>
            </w:tr>
            <w:tr w14:paraId="5C5E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top"/>
                </w:tcPr>
                <w:p w14:paraId="5C80BD8B">
                  <w:pPr>
                    <w:pStyle w:val="53"/>
                    <w:rPr>
                      <w:rFonts w:hint="default"/>
                      <w:color w:val="auto"/>
                      <w:highlight w:val="none"/>
                      <w:vertAlign w:val="baseline"/>
                      <w:lang w:val="en-US" w:eastAsia="zh-CN"/>
                    </w:rPr>
                  </w:pPr>
                  <w:r>
                    <w:rPr>
                      <w:rFonts w:hint="eastAsia"/>
                      <w:color w:val="auto"/>
                      <w:highlight w:val="none"/>
                      <w:vertAlign w:val="baseline"/>
                      <w:lang w:val="en-US" w:eastAsia="zh-CN"/>
                    </w:rPr>
                    <w:t>颗粒物</w:t>
                  </w:r>
                </w:p>
              </w:tc>
              <w:tc>
                <w:tcPr>
                  <w:tcW w:w="2654" w:type="dxa"/>
                  <w:vMerge w:val="restart"/>
                  <w:vAlign w:val="center"/>
                </w:tcPr>
                <w:p w14:paraId="5ACFCBC6">
                  <w:pPr>
                    <w:pStyle w:val="53"/>
                    <w:rPr>
                      <w:rFonts w:hint="default"/>
                      <w:color w:val="auto"/>
                      <w:highlight w:val="none"/>
                      <w:vertAlign w:val="baseline"/>
                      <w:lang w:val="en-US" w:eastAsia="zh-CN"/>
                    </w:rPr>
                  </w:pPr>
                  <w:r>
                    <w:rPr>
                      <w:rFonts w:hint="eastAsia"/>
                      <w:color w:val="auto"/>
                      <w:highlight w:val="none"/>
                      <w:vertAlign w:val="baseline"/>
                      <w:lang w:val="en-US" w:eastAsia="zh-CN"/>
                    </w:rPr>
                    <w:t>周界外浓度最高点</w:t>
                  </w:r>
                </w:p>
              </w:tc>
              <w:tc>
                <w:tcPr>
                  <w:tcW w:w="2656" w:type="dxa"/>
                  <w:vAlign w:val="top"/>
                </w:tcPr>
                <w:p w14:paraId="0F187F1F">
                  <w:pPr>
                    <w:pStyle w:val="53"/>
                    <w:rPr>
                      <w:rFonts w:hint="default"/>
                      <w:color w:val="auto"/>
                      <w:highlight w:val="none"/>
                      <w:vertAlign w:val="baseline"/>
                      <w:lang w:val="en-US" w:eastAsia="zh-CN"/>
                    </w:rPr>
                  </w:pPr>
                  <w:r>
                    <w:rPr>
                      <w:rFonts w:hint="eastAsia"/>
                      <w:color w:val="auto"/>
                      <w:highlight w:val="none"/>
                      <w:vertAlign w:val="baseline"/>
                      <w:lang w:val="en-US" w:eastAsia="zh-CN"/>
                    </w:rPr>
                    <w:t>1.0</w:t>
                  </w:r>
                </w:p>
              </w:tc>
            </w:tr>
            <w:tr w14:paraId="5772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center"/>
                </w:tcPr>
                <w:p w14:paraId="5369EF59">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二氧化硫</w:t>
                  </w:r>
                </w:p>
              </w:tc>
              <w:tc>
                <w:tcPr>
                  <w:tcW w:w="2654" w:type="dxa"/>
                  <w:vMerge w:val="continue"/>
                  <w:vAlign w:val="top"/>
                </w:tcPr>
                <w:p w14:paraId="6C3C8A19">
                  <w:pPr>
                    <w:pStyle w:val="53"/>
                    <w:rPr>
                      <w:rFonts w:hint="eastAsia"/>
                      <w:color w:val="auto"/>
                      <w:highlight w:val="none"/>
                      <w:vertAlign w:val="baseline"/>
                      <w:lang w:val="en-US" w:eastAsia="zh-CN"/>
                    </w:rPr>
                  </w:pPr>
                </w:p>
              </w:tc>
              <w:tc>
                <w:tcPr>
                  <w:tcW w:w="2656" w:type="dxa"/>
                  <w:vAlign w:val="top"/>
                </w:tcPr>
                <w:p w14:paraId="7E22618A">
                  <w:pPr>
                    <w:pStyle w:val="53"/>
                    <w:rPr>
                      <w:rFonts w:hint="default"/>
                      <w:color w:val="auto"/>
                      <w:highlight w:val="none"/>
                      <w:vertAlign w:val="baseline"/>
                      <w:lang w:val="en-US" w:eastAsia="zh-CN"/>
                    </w:rPr>
                  </w:pPr>
                  <w:r>
                    <w:rPr>
                      <w:rFonts w:hint="eastAsia"/>
                      <w:color w:val="auto"/>
                      <w:highlight w:val="none"/>
                      <w:vertAlign w:val="baseline"/>
                      <w:lang w:val="en-US" w:eastAsia="zh-CN"/>
                    </w:rPr>
                    <w:t>0.40</w:t>
                  </w:r>
                </w:p>
              </w:tc>
            </w:tr>
            <w:tr w14:paraId="0AD1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center"/>
                </w:tcPr>
                <w:p w14:paraId="216F1F6C">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氮氧化物</w:t>
                  </w:r>
                </w:p>
              </w:tc>
              <w:tc>
                <w:tcPr>
                  <w:tcW w:w="2654" w:type="dxa"/>
                  <w:vMerge w:val="continue"/>
                  <w:vAlign w:val="top"/>
                </w:tcPr>
                <w:p w14:paraId="1DE58A9C">
                  <w:pPr>
                    <w:pStyle w:val="53"/>
                    <w:rPr>
                      <w:rFonts w:hint="eastAsia"/>
                      <w:color w:val="auto"/>
                      <w:highlight w:val="none"/>
                      <w:vertAlign w:val="baseline"/>
                      <w:lang w:val="en-US" w:eastAsia="zh-CN"/>
                    </w:rPr>
                  </w:pPr>
                </w:p>
              </w:tc>
              <w:tc>
                <w:tcPr>
                  <w:tcW w:w="2656" w:type="dxa"/>
                  <w:vAlign w:val="top"/>
                </w:tcPr>
                <w:p w14:paraId="2ED335DA">
                  <w:pPr>
                    <w:pStyle w:val="53"/>
                    <w:rPr>
                      <w:rFonts w:hint="default"/>
                      <w:color w:val="auto"/>
                      <w:highlight w:val="none"/>
                      <w:vertAlign w:val="baseline"/>
                      <w:lang w:val="en-US" w:eastAsia="zh-CN"/>
                    </w:rPr>
                  </w:pPr>
                  <w:r>
                    <w:rPr>
                      <w:rFonts w:hint="eastAsia"/>
                      <w:color w:val="auto"/>
                      <w:highlight w:val="none"/>
                      <w:vertAlign w:val="baseline"/>
                      <w:lang w:val="en-US" w:eastAsia="zh-CN"/>
                    </w:rPr>
                    <w:t>0.12</w:t>
                  </w:r>
                </w:p>
              </w:tc>
            </w:tr>
          </w:tbl>
          <w:p w14:paraId="6D475A96">
            <w:pPr>
              <w:bidi w:val="0"/>
              <w:rPr>
                <w:b/>
                <w:bCs/>
                <w:color w:val="auto"/>
                <w:highlight w:val="none"/>
              </w:rPr>
            </w:pPr>
            <w:r>
              <w:rPr>
                <w:b/>
                <w:bCs/>
                <w:color w:val="auto"/>
                <w:highlight w:val="none"/>
              </w:rPr>
              <w:t>2、废水</w:t>
            </w:r>
            <w:r>
              <w:rPr>
                <w:rFonts w:hint="eastAsia"/>
                <w:b/>
                <w:bCs/>
                <w:color w:val="auto"/>
                <w:highlight w:val="none"/>
                <w:lang w:val="en-US" w:eastAsia="zh-CN"/>
              </w:rPr>
              <w:t>排放标准</w:t>
            </w:r>
          </w:p>
          <w:p w14:paraId="4A098909">
            <w:pPr>
              <w:bidi w:val="0"/>
              <w:rPr>
                <w:rFonts w:hint="eastAsia"/>
                <w:color w:val="auto"/>
                <w:highlight w:val="none"/>
              </w:rPr>
            </w:pPr>
            <w:r>
              <w:rPr>
                <w:color w:val="auto"/>
                <w:highlight w:val="none"/>
              </w:rPr>
              <w:t>本项目</w:t>
            </w:r>
            <w:r>
              <w:rPr>
                <w:rFonts w:hint="eastAsia"/>
                <w:color w:val="auto"/>
                <w:highlight w:val="none"/>
                <w:lang w:val="en-US" w:eastAsia="zh-CN"/>
              </w:rPr>
              <w:t>废水经预处理后</w:t>
            </w:r>
            <w:r>
              <w:rPr>
                <w:color w:val="auto"/>
                <w:highlight w:val="none"/>
              </w:rPr>
              <w:t>达到</w:t>
            </w:r>
            <w:r>
              <w:rPr>
                <w:rFonts w:hint="eastAsia"/>
                <w:color w:val="auto"/>
                <w:highlight w:val="none"/>
                <w:lang w:val="en-US" w:eastAsia="zh-CN"/>
              </w:rPr>
              <w:t>《污水综合排放标准》（GB8978-1996）中表4三级标准及《污水排入城镇下水道水质标准》（GB/T31962-2015）B级标准</w:t>
            </w:r>
            <w:r>
              <w:rPr>
                <w:color w:val="auto"/>
                <w:highlight w:val="none"/>
              </w:rPr>
              <w:t>，</w:t>
            </w:r>
            <w:r>
              <w:rPr>
                <w:rFonts w:hint="eastAsia"/>
                <w:color w:val="auto"/>
                <w:highlight w:val="none"/>
                <w:lang w:val="en-US" w:eastAsia="zh-CN"/>
              </w:rPr>
              <w:t>由园区污水管网进入排入五丈原污水处理厂处理</w:t>
            </w:r>
            <w:r>
              <w:rPr>
                <w:rFonts w:hint="default"/>
                <w:color w:val="auto"/>
                <w:highlight w:val="none"/>
                <w:lang w:val="en-US" w:eastAsia="zh-CN"/>
              </w:rPr>
              <w:t>。</w:t>
            </w:r>
            <w:r>
              <w:rPr>
                <w:color w:val="auto"/>
                <w:highlight w:val="none"/>
              </w:rPr>
              <w:t>排放标准见表3-</w:t>
            </w:r>
            <w:r>
              <w:rPr>
                <w:rFonts w:hint="eastAsia"/>
                <w:color w:val="auto"/>
                <w:highlight w:val="none"/>
                <w:lang w:val="en-US" w:eastAsia="zh-CN"/>
              </w:rPr>
              <w:t>8</w:t>
            </w:r>
            <w:r>
              <w:rPr>
                <w:color w:val="auto"/>
                <w:highlight w:val="none"/>
              </w:rPr>
              <w:t>。</w:t>
            </w:r>
          </w:p>
          <w:p w14:paraId="2598F2CA">
            <w:pPr>
              <w:pStyle w:val="58"/>
              <w:bidi w:val="0"/>
              <w:rPr>
                <w:rFonts w:hint="eastAsia" w:eastAsia="宋体"/>
                <w:color w:val="auto"/>
                <w:highlight w:val="none"/>
                <w:lang w:eastAsia="zh-CN"/>
              </w:rPr>
            </w:pPr>
            <w:r>
              <w:rPr>
                <w:color w:val="auto"/>
                <w:highlight w:val="none"/>
              </w:rPr>
              <w:t>表3-</w:t>
            </w:r>
            <w:r>
              <w:rPr>
                <w:rFonts w:hint="eastAsia"/>
                <w:color w:val="auto"/>
                <w:highlight w:val="none"/>
                <w:lang w:val="en-US" w:eastAsia="zh-CN"/>
              </w:rPr>
              <w:t xml:space="preserve">8 </w:t>
            </w:r>
            <w:r>
              <w:rPr>
                <w:color w:val="auto"/>
                <w:highlight w:val="none"/>
              </w:rPr>
              <w:t xml:space="preserve"> </w:t>
            </w:r>
            <w:r>
              <w:rPr>
                <w:rFonts w:hint="eastAsia"/>
                <w:color w:val="auto"/>
                <w:highlight w:val="none"/>
                <w:lang w:val="en-US" w:eastAsia="zh-CN"/>
              </w:rPr>
              <w:t>废水</w:t>
            </w:r>
            <w:r>
              <w:rPr>
                <w:color w:val="auto"/>
                <w:highlight w:val="none"/>
              </w:rPr>
              <w:t>污染物排放标准</w:t>
            </w:r>
            <w:r>
              <w:rPr>
                <w:rFonts w:hint="eastAsia"/>
                <w:color w:val="auto"/>
                <w:highlight w:val="none"/>
                <w:lang w:eastAsia="zh-CN"/>
              </w:rPr>
              <w:t>（</w:t>
            </w:r>
            <w:r>
              <w:rPr>
                <w:rFonts w:hint="eastAsia"/>
                <w:color w:val="auto"/>
                <w:highlight w:val="none"/>
                <w:lang w:val="en-US" w:eastAsia="zh-CN"/>
              </w:rPr>
              <w:t>节选</w:t>
            </w:r>
            <w:r>
              <w:rPr>
                <w:rFonts w:hint="eastAsia"/>
                <w:color w:val="auto"/>
                <w:highlight w:val="none"/>
                <w:lang w:eastAsia="zh-CN"/>
              </w:rPr>
              <w:t>）</w:t>
            </w:r>
          </w:p>
          <w:tbl>
            <w:tblPr>
              <w:tblStyle w:val="30"/>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2097"/>
              <w:gridCol w:w="3206"/>
            </w:tblGrid>
            <w:tr w14:paraId="6560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3F69D824">
                  <w:pPr>
                    <w:pStyle w:val="53"/>
                    <w:bidi w:val="0"/>
                    <w:rPr>
                      <w:b/>
                      <w:bCs/>
                      <w:color w:val="auto"/>
                      <w:highlight w:val="none"/>
                    </w:rPr>
                  </w:pPr>
                  <w:r>
                    <w:rPr>
                      <w:b/>
                      <w:bCs/>
                      <w:color w:val="auto"/>
                      <w:highlight w:val="none"/>
                    </w:rPr>
                    <w:t>污染物</w:t>
                  </w:r>
                </w:p>
              </w:tc>
              <w:tc>
                <w:tcPr>
                  <w:tcW w:w="2097" w:type="dxa"/>
                  <w:noWrap w:val="0"/>
                  <w:vAlign w:val="center"/>
                </w:tcPr>
                <w:p w14:paraId="7D2754B4">
                  <w:pPr>
                    <w:pStyle w:val="53"/>
                    <w:bidi w:val="0"/>
                    <w:rPr>
                      <w:b/>
                      <w:bCs/>
                      <w:color w:val="auto"/>
                      <w:highlight w:val="none"/>
                    </w:rPr>
                  </w:pPr>
                  <w:r>
                    <w:rPr>
                      <w:b/>
                      <w:bCs/>
                      <w:color w:val="auto"/>
                      <w:highlight w:val="none"/>
                    </w:rPr>
                    <w:t>标准限值</w:t>
                  </w:r>
                </w:p>
              </w:tc>
              <w:tc>
                <w:tcPr>
                  <w:tcW w:w="3206" w:type="dxa"/>
                  <w:noWrap w:val="0"/>
                  <w:vAlign w:val="center"/>
                </w:tcPr>
                <w:p w14:paraId="6D02B2E2">
                  <w:pPr>
                    <w:pStyle w:val="53"/>
                    <w:bidi w:val="0"/>
                    <w:rPr>
                      <w:b/>
                      <w:bCs/>
                      <w:color w:val="auto"/>
                      <w:highlight w:val="none"/>
                    </w:rPr>
                  </w:pPr>
                  <w:r>
                    <w:rPr>
                      <w:b/>
                      <w:bCs/>
                      <w:color w:val="auto"/>
                      <w:highlight w:val="none"/>
                    </w:rPr>
                    <w:t>标准</w:t>
                  </w:r>
                </w:p>
              </w:tc>
            </w:tr>
            <w:tr w14:paraId="5324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14191301">
                  <w:pPr>
                    <w:pStyle w:val="53"/>
                    <w:bidi w:val="0"/>
                    <w:rPr>
                      <w:color w:val="auto"/>
                      <w:highlight w:val="none"/>
                    </w:rPr>
                  </w:pPr>
                  <w:r>
                    <w:rPr>
                      <w:color w:val="auto"/>
                      <w:highlight w:val="none"/>
                    </w:rPr>
                    <w:t>pH</w:t>
                  </w:r>
                </w:p>
              </w:tc>
              <w:tc>
                <w:tcPr>
                  <w:tcW w:w="2097" w:type="dxa"/>
                  <w:noWrap w:val="0"/>
                  <w:vAlign w:val="center"/>
                </w:tcPr>
                <w:p w14:paraId="712CAEFD">
                  <w:pPr>
                    <w:pStyle w:val="53"/>
                    <w:bidi w:val="0"/>
                    <w:rPr>
                      <w:rFonts w:hint="default" w:eastAsia="宋体"/>
                      <w:color w:val="auto"/>
                      <w:highlight w:val="none"/>
                      <w:lang w:val="en-US" w:eastAsia="zh-CN"/>
                    </w:rPr>
                  </w:pPr>
                  <w:r>
                    <w:rPr>
                      <w:rFonts w:hint="eastAsia"/>
                      <w:color w:val="auto"/>
                      <w:highlight w:val="none"/>
                      <w:lang w:val="en-US" w:eastAsia="zh-CN"/>
                    </w:rPr>
                    <w:t>6~9</w:t>
                  </w:r>
                </w:p>
              </w:tc>
              <w:tc>
                <w:tcPr>
                  <w:tcW w:w="3206" w:type="dxa"/>
                  <w:vMerge w:val="restart"/>
                  <w:noWrap w:val="0"/>
                  <w:vAlign w:val="center"/>
                </w:tcPr>
                <w:p w14:paraId="6A4D0251">
                  <w:pPr>
                    <w:pStyle w:val="53"/>
                    <w:bidi w:val="0"/>
                    <w:rPr>
                      <w:rFonts w:hint="eastAsia"/>
                      <w:color w:val="auto"/>
                      <w:highlight w:val="none"/>
                    </w:rPr>
                  </w:pPr>
                  <w:r>
                    <w:rPr>
                      <w:rFonts w:hint="eastAsia"/>
                      <w:color w:val="auto"/>
                      <w:highlight w:val="none"/>
                      <w:lang w:val="en-US" w:eastAsia="zh-CN"/>
                    </w:rPr>
                    <w:t>《污水综合排放标准》（GB8978-1996）三级标准</w:t>
                  </w:r>
                </w:p>
              </w:tc>
            </w:tr>
            <w:tr w14:paraId="0FF1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51C0B158">
                  <w:pPr>
                    <w:pStyle w:val="53"/>
                    <w:bidi w:val="0"/>
                    <w:rPr>
                      <w:color w:val="auto"/>
                      <w:highlight w:val="none"/>
                    </w:rPr>
                  </w:pPr>
                  <w:r>
                    <w:rPr>
                      <w:color w:val="auto"/>
                      <w:highlight w:val="none"/>
                    </w:rPr>
                    <w:t>COD</w:t>
                  </w:r>
                </w:p>
              </w:tc>
              <w:tc>
                <w:tcPr>
                  <w:tcW w:w="2097" w:type="dxa"/>
                  <w:noWrap w:val="0"/>
                  <w:vAlign w:val="center"/>
                </w:tcPr>
                <w:p w14:paraId="5A667503">
                  <w:pPr>
                    <w:pStyle w:val="53"/>
                    <w:bidi w:val="0"/>
                    <w:rPr>
                      <w:rFonts w:hint="default" w:eastAsia="宋体"/>
                      <w:color w:val="auto"/>
                      <w:highlight w:val="none"/>
                      <w:lang w:val="en-US" w:eastAsia="zh-CN"/>
                    </w:rPr>
                  </w:pPr>
                  <w:r>
                    <w:rPr>
                      <w:rFonts w:hint="eastAsia"/>
                      <w:color w:val="auto"/>
                      <w:highlight w:val="none"/>
                      <w:lang w:val="en-US" w:eastAsia="zh-CN"/>
                    </w:rPr>
                    <w:t>500mg/L</w:t>
                  </w:r>
                </w:p>
              </w:tc>
              <w:tc>
                <w:tcPr>
                  <w:tcW w:w="3206" w:type="dxa"/>
                  <w:vMerge w:val="continue"/>
                  <w:noWrap w:val="0"/>
                  <w:vAlign w:val="center"/>
                </w:tcPr>
                <w:p w14:paraId="1E51C792">
                  <w:pPr>
                    <w:pStyle w:val="53"/>
                    <w:bidi w:val="0"/>
                    <w:rPr>
                      <w:color w:val="auto"/>
                      <w:highlight w:val="none"/>
                    </w:rPr>
                  </w:pPr>
                </w:p>
              </w:tc>
            </w:tr>
            <w:tr w14:paraId="6F82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6A410DD1">
                  <w:pPr>
                    <w:pStyle w:val="53"/>
                    <w:bidi w:val="0"/>
                    <w:rPr>
                      <w:color w:val="auto"/>
                      <w:highlight w:val="none"/>
                    </w:rPr>
                  </w:pPr>
                  <w:r>
                    <w:rPr>
                      <w:color w:val="auto"/>
                      <w:highlight w:val="none"/>
                    </w:rPr>
                    <w:t>BOD</w:t>
                  </w:r>
                  <w:r>
                    <w:rPr>
                      <w:color w:val="auto"/>
                      <w:highlight w:val="none"/>
                      <w:vertAlign w:val="subscript"/>
                    </w:rPr>
                    <w:t>5</w:t>
                  </w:r>
                </w:p>
              </w:tc>
              <w:tc>
                <w:tcPr>
                  <w:tcW w:w="2097" w:type="dxa"/>
                  <w:noWrap w:val="0"/>
                  <w:vAlign w:val="center"/>
                </w:tcPr>
                <w:p w14:paraId="522404E3">
                  <w:pPr>
                    <w:pStyle w:val="53"/>
                    <w:bidi w:val="0"/>
                    <w:rPr>
                      <w:rFonts w:hint="default" w:eastAsia="宋体"/>
                      <w:color w:val="auto"/>
                      <w:highlight w:val="none"/>
                      <w:lang w:val="en-US" w:eastAsia="zh-CN"/>
                    </w:rPr>
                  </w:pPr>
                  <w:r>
                    <w:rPr>
                      <w:rFonts w:hint="eastAsia"/>
                      <w:color w:val="auto"/>
                      <w:highlight w:val="none"/>
                      <w:lang w:val="en-US" w:eastAsia="zh-CN"/>
                    </w:rPr>
                    <w:t>300mg/L</w:t>
                  </w:r>
                </w:p>
              </w:tc>
              <w:tc>
                <w:tcPr>
                  <w:tcW w:w="3206" w:type="dxa"/>
                  <w:vMerge w:val="continue"/>
                  <w:noWrap w:val="0"/>
                  <w:vAlign w:val="center"/>
                </w:tcPr>
                <w:p w14:paraId="30B9F92A">
                  <w:pPr>
                    <w:pStyle w:val="53"/>
                    <w:bidi w:val="0"/>
                    <w:rPr>
                      <w:color w:val="auto"/>
                      <w:highlight w:val="none"/>
                    </w:rPr>
                  </w:pPr>
                </w:p>
              </w:tc>
            </w:tr>
            <w:tr w14:paraId="1D56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6E82A759">
                  <w:pPr>
                    <w:pStyle w:val="53"/>
                    <w:bidi w:val="0"/>
                    <w:rPr>
                      <w:color w:val="auto"/>
                      <w:highlight w:val="none"/>
                    </w:rPr>
                  </w:pPr>
                  <w:r>
                    <w:rPr>
                      <w:color w:val="auto"/>
                      <w:highlight w:val="none"/>
                    </w:rPr>
                    <w:t>SS</w:t>
                  </w:r>
                </w:p>
              </w:tc>
              <w:tc>
                <w:tcPr>
                  <w:tcW w:w="2097" w:type="dxa"/>
                  <w:noWrap w:val="0"/>
                  <w:vAlign w:val="center"/>
                </w:tcPr>
                <w:p w14:paraId="0E40CB10">
                  <w:pPr>
                    <w:pStyle w:val="53"/>
                    <w:bidi w:val="0"/>
                    <w:rPr>
                      <w:rFonts w:hint="default" w:eastAsia="宋体"/>
                      <w:color w:val="auto"/>
                      <w:highlight w:val="none"/>
                      <w:lang w:val="en-US" w:eastAsia="zh-CN"/>
                    </w:rPr>
                  </w:pPr>
                  <w:r>
                    <w:rPr>
                      <w:rFonts w:hint="eastAsia"/>
                      <w:color w:val="auto"/>
                      <w:highlight w:val="none"/>
                      <w:lang w:val="en-US" w:eastAsia="zh-CN"/>
                    </w:rPr>
                    <w:t>400mg/L</w:t>
                  </w:r>
                </w:p>
              </w:tc>
              <w:tc>
                <w:tcPr>
                  <w:tcW w:w="3206" w:type="dxa"/>
                  <w:vMerge w:val="continue"/>
                  <w:noWrap w:val="0"/>
                  <w:vAlign w:val="center"/>
                </w:tcPr>
                <w:p w14:paraId="56EC8FE3">
                  <w:pPr>
                    <w:pStyle w:val="53"/>
                    <w:bidi w:val="0"/>
                    <w:rPr>
                      <w:color w:val="auto"/>
                      <w:highlight w:val="none"/>
                    </w:rPr>
                  </w:pPr>
                </w:p>
              </w:tc>
            </w:tr>
            <w:tr w14:paraId="4481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535244C4">
                  <w:pPr>
                    <w:pStyle w:val="53"/>
                    <w:bidi w:val="0"/>
                    <w:rPr>
                      <w:color w:val="auto"/>
                      <w:highlight w:val="none"/>
                    </w:rPr>
                  </w:pPr>
                  <w:r>
                    <w:rPr>
                      <w:rFonts w:hint="eastAsia"/>
                      <w:color w:val="auto"/>
                      <w:highlight w:val="none"/>
                      <w:lang w:val="en-US" w:eastAsia="zh-CN"/>
                    </w:rPr>
                    <w:t>石油类</w:t>
                  </w:r>
                </w:p>
              </w:tc>
              <w:tc>
                <w:tcPr>
                  <w:tcW w:w="2097" w:type="dxa"/>
                  <w:noWrap w:val="0"/>
                  <w:vAlign w:val="center"/>
                </w:tcPr>
                <w:p w14:paraId="101BDDE9">
                  <w:pPr>
                    <w:pStyle w:val="53"/>
                    <w:bidi w:val="0"/>
                    <w:rPr>
                      <w:rFonts w:hint="eastAsia"/>
                      <w:color w:val="auto"/>
                      <w:highlight w:val="none"/>
                      <w:lang w:val="en-US" w:eastAsia="zh-CN"/>
                    </w:rPr>
                  </w:pPr>
                  <w:r>
                    <w:rPr>
                      <w:rFonts w:hint="eastAsia"/>
                      <w:color w:val="auto"/>
                      <w:highlight w:val="none"/>
                      <w:lang w:val="en-US" w:eastAsia="zh-CN"/>
                    </w:rPr>
                    <w:t>30mg/L</w:t>
                  </w:r>
                </w:p>
              </w:tc>
              <w:tc>
                <w:tcPr>
                  <w:tcW w:w="3206" w:type="dxa"/>
                  <w:vMerge w:val="continue"/>
                  <w:noWrap w:val="0"/>
                  <w:vAlign w:val="center"/>
                </w:tcPr>
                <w:p w14:paraId="07D5AB57">
                  <w:pPr>
                    <w:pStyle w:val="53"/>
                    <w:bidi w:val="0"/>
                    <w:rPr>
                      <w:color w:val="auto"/>
                      <w:highlight w:val="none"/>
                    </w:rPr>
                  </w:pPr>
                </w:p>
              </w:tc>
            </w:tr>
            <w:tr w14:paraId="1A5E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5529C844">
                  <w:pPr>
                    <w:pStyle w:val="53"/>
                    <w:bidi w:val="0"/>
                    <w:rPr>
                      <w:color w:val="auto"/>
                      <w:highlight w:val="none"/>
                    </w:rPr>
                  </w:pPr>
                  <w:r>
                    <w:rPr>
                      <w:color w:val="auto"/>
                      <w:highlight w:val="none"/>
                    </w:rPr>
                    <w:t>NH</w:t>
                  </w:r>
                  <w:r>
                    <w:rPr>
                      <w:color w:val="auto"/>
                      <w:highlight w:val="none"/>
                      <w:vertAlign w:val="subscript"/>
                    </w:rPr>
                    <w:t>3</w:t>
                  </w:r>
                  <w:r>
                    <w:rPr>
                      <w:color w:val="auto"/>
                      <w:highlight w:val="none"/>
                    </w:rPr>
                    <w:t>-N</w:t>
                  </w:r>
                </w:p>
              </w:tc>
              <w:tc>
                <w:tcPr>
                  <w:tcW w:w="2097" w:type="dxa"/>
                  <w:noWrap w:val="0"/>
                  <w:tcMar>
                    <w:top w:w="57" w:type="dxa"/>
                    <w:bottom w:w="57" w:type="dxa"/>
                  </w:tcMar>
                  <w:vAlign w:val="center"/>
                </w:tcPr>
                <w:p w14:paraId="332FFBC8">
                  <w:pPr>
                    <w:pStyle w:val="53"/>
                    <w:bidi w:val="0"/>
                    <w:rPr>
                      <w:color w:val="auto"/>
                      <w:highlight w:val="none"/>
                    </w:rPr>
                  </w:pPr>
                  <w:r>
                    <w:rPr>
                      <w:color w:val="auto"/>
                      <w:highlight w:val="none"/>
                    </w:rPr>
                    <w:t>45</w:t>
                  </w:r>
                  <w:r>
                    <w:rPr>
                      <w:rFonts w:hint="eastAsia"/>
                      <w:color w:val="auto"/>
                      <w:highlight w:val="none"/>
                      <w:lang w:val="en-US" w:eastAsia="zh-CN"/>
                    </w:rPr>
                    <w:t>mg/L</w:t>
                  </w:r>
                </w:p>
              </w:tc>
              <w:tc>
                <w:tcPr>
                  <w:tcW w:w="3206" w:type="dxa"/>
                  <w:vMerge w:val="restart"/>
                  <w:noWrap w:val="0"/>
                  <w:tcMar>
                    <w:top w:w="57" w:type="dxa"/>
                    <w:bottom w:w="57" w:type="dxa"/>
                  </w:tcMar>
                  <w:vAlign w:val="center"/>
                </w:tcPr>
                <w:p w14:paraId="4C8A474D">
                  <w:pPr>
                    <w:pStyle w:val="53"/>
                    <w:bidi w:val="0"/>
                    <w:rPr>
                      <w:color w:val="auto"/>
                      <w:highlight w:val="none"/>
                    </w:rPr>
                  </w:pPr>
                  <w:r>
                    <w:rPr>
                      <w:color w:val="auto"/>
                      <w:highlight w:val="none"/>
                    </w:rPr>
                    <w:t>《污水排入城镇下水道水质标准》GB/T31962-2015）B级标准</w:t>
                  </w:r>
                </w:p>
              </w:tc>
            </w:tr>
            <w:tr w14:paraId="694F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5456B28E">
                  <w:pPr>
                    <w:pStyle w:val="53"/>
                    <w:bidi w:val="0"/>
                    <w:rPr>
                      <w:rFonts w:hint="default" w:eastAsia="宋体"/>
                      <w:color w:val="auto"/>
                      <w:highlight w:val="none"/>
                      <w:lang w:val="en-US" w:eastAsia="zh-CN"/>
                    </w:rPr>
                  </w:pPr>
                  <w:r>
                    <w:rPr>
                      <w:rFonts w:hint="eastAsia"/>
                      <w:color w:val="auto"/>
                      <w:highlight w:val="none"/>
                      <w:lang w:val="en-US" w:eastAsia="zh-CN"/>
                    </w:rPr>
                    <w:t>TN</w:t>
                  </w:r>
                </w:p>
              </w:tc>
              <w:tc>
                <w:tcPr>
                  <w:tcW w:w="2097" w:type="dxa"/>
                  <w:noWrap w:val="0"/>
                  <w:tcMar>
                    <w:top w:w="57" w:type="dxa"/>
                    <w:bottom w:w="57" w:type="dxa"/>
                  </w:tcMar>
                  <w:vAlign w:val="center"/>
                </w:tcPr>
                <w:p w14:paraId="7B6EFDB4">
                  <w:pPr>
                    <w:pStyle w:val="53"/>
                    <w:bidi w:val="0"/>
                    <w:rPr>
                      <w:rFonts w:hint="default" w:eastAsia="宋体"/>
                      <w:color w:val="auto"/>
                      <w:highlight w:val="none"/>
                      <w:lang w:val="en-US" w:eastAsia="zh-CN"/>
                    </w:rPr>
                  </w:pPr>
                  <w:r>
                    <w:rPr>
                      <w:rFonts w:hint="eastAsia"/>
                      <w:color w:val="auto"/>
                      <w:highlight w:val="none"/>
                      <w:lang w:val="en-US" w:eastAsia="zh-CN"/>
                    </w:rPr>
                    <w:t>70mg/L</w:t>
                  </w:r>
                </w:p>
              </w:tc>
              <w:tc>
                <w:tcPr>
                  <w:tcW w:w="3206" w:type="dxa"/>
                  <w:vMerge w:val="continue"/>
                  <w:noWrap w:val="0"/>
                  <w:tcMar>
                    <w:top w:w="57" w:type="dxa"/>
                    <w:bottom w:w="57" w:type="dxa"/>
                  </w:tcMar>
                  <w:vAlign w:val="center"/>
                </w:tcPr>
                <w:p w14:paraId="24E8AD77">
                  <w:pPr>
                    <w:pStyle w:val="53"/>
                    <w:bidi w:val="0"/>
                    <w:rPr>
                      <w:color w:val="auto"/>
                      <w:highlight w:val="none"/>
                    </w:rPr>
                  </w:pPr>
                </w:p>
              </w:tc>
            </w:tr>
            <w:tr w14:paraId="1A33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2" w:type="dxa"/>
                  <w:noWrap w:val="0"/>
                  <w:vAlign w:val="center"/>
                </w:tcPr>
                <w:p w14:paraId="42707071">
                  <w:pPr>
                    <w:pStyle w:val="53"/>
                    <w:bidi w:val="0"/>
                    <w:rPr>
                      <w:rFonts w:hint="default" w:eastAsia="宋体"/>
                      <w:color w:val="auto"/>
                      <w:highlight w:val="none"/>
                      <w:lang w:val="en-US" w:eastAsia="zh-CN"/>
                    </w:rPr>
                  </w:pPr>
                  <w:r>
                    <w:rPr>
                      <w:rFonts w:hint="eastAsia"/>
                      <w:color w:val="auto"/>
                      <w:highlight w:val="none"/>
                      <w:lang w:val="en-US" w:eastAsia="zh-CN"/>
                    </w:rPr>
                    <w:t>TP</w:t>
                  </w:r>
                </w:p>
              </w:tc>
              <w:tc>
                <w:tcPr>
                  <w:tcW w:w="2097" w:type="dxa"/>
                  <w:noWrap w:val="0"/>
                  <w:tcMar>
                    <w:top w:w="57" w:type="dxa"/>
                    <w:bottom w:w="57" w:type="dxa"/>
                  </w:tcMar>
                  <w:vAlign w:val="center"/>
                </w:tcPr>
                <w:p w14:paraId="2EE685A4">
                  <w:pPr>
                    <w:pStyle w:val="53"/>
                    <w:bidi w:val="0"/>
                    <w:rPr>
                      <w:rFonts w:hint="eastAsia" w:eastAsia="宋体"/>
                      <w:color w:val="auto"/>
                      <w:highlight w:val="none"/>
                      <w:lang w:val="en-US" w:eastAsia="zh-CN"/>
                    </w:rPr>
                  </w:pPr>
                  <w:r>
                    <w:rPr>
                      <w:rFonts w:hint="eastAsia"/>
                      <w:color w:val="auto"/>
                      <w:highlight w:val="none"/>
                      <w:lang w:val="en-US" w:eastAsia="zh-CN"/>
                    </w:rPr>
                    <w:t>8mg/L</w:t>
                  </w:r>
                </w:p>
              </w:tc>
              <w:tc>
                <w:tcPr>
                  <w:tcW w:w="3206" w:type="dxa"/>
                  <w:vMerge w:val="continue"/>
                  <w:noWrap w:val="0"/>
                  <w:tcMar>
                    <w:top w:w="57" w:type="dxa"/>
                    <w:bottom w:w="57" w:type="dxa"/>
                  </w:tcMar>
                  <w:vAlign w:val="center"/>
                </w:tcPr>
                <w:p w14:paraId="555EABFB">
                  <w:pPr>
                    <w:pStyle w:val="53"/>
                    <w:bidi w:val="0"/>
                    <w:rPr>
                      <w:color w:val="auto"/>
                      <w:highlight w:val="none"/>
                    </w:rPr>
                  </w:pPr>
                </w:p>
              </w:tc>
            </w:tr>
          </w:tbl>
          <w:p w14:paraId="5A8CF6B1">
            <w:pPr>
              <w:bidi w:val="0"/>
              <w:rPr>
                <w:b/>
                <w:bCs/>
                <w:color w:val="auto"/>
                <w:highlight w:val="none"/>
              </w:rPr>
            </w:pPr>
          </w:p>
          <w:p w14:paraId="7AFE7567">
            <w:pPr>
              <w:bidi w:val="0"/>
              <w:rPr>
                <w:b/>
                <w:bCs/>
                <w:color w:val="auto"/>
                <w:highlight w:val="none"/>
              </w:rPr>
            </w:pPr>
            <w:r>
              <w:rPr>
                <w:b/>
                <w:bCs/>
                <w:color w:val="auto"/>
                <w:highlight w:val="none"/>
              </w:rPr>
              <w:t>3、噪声排放标准</w:t>
            </w:r>
          </w:p>
          <w:p w14:paraId="4E8D3252">
            <w:pPr>
              <w:bidi w:val="0"/>
              <w:rPr>
                <w:color w:val="auto"/>
                <w:highlight w:val="none"/>
              </w:rPr>
            </w:pPr>
            <w:r>
              <w:rPr>
                <w:rFonts w:hint="eastAsia"/>
                <w:color w:val="auto"/>
                <w:highlight w:val="none"/>
                <w:lang w:val="en-US" w:eastAsia="zh-CN"/>
              </w:rPr>
              <w:t>本项目</w:t>
            </w:r>
            <w:r>
              <w:rPr>
                <w:rFonts w:hint="eastAsia"/>
                <w:color w:val="auto"/>
                <w:highlight w:val="none"/>
              </w:rPr>
              <w:t>厂界噪声</w:t>
            </w:r>
            <w:r>
              <w:rPr>
                <w:color w:val="auto"/>
                <w:highlight w:val="none"/>
              </w:rPr>
              <w:t>执行</w:t>
            </w:r>
            <w:r>
              <w:rPr>
                <w:rFonts w:hint="eastAsia"/>
                <w:color w:val="auto"/>
                <w:highlight w:val="none"/>
              </w:rPr>
              <w:t>《建筑施工噪声排放标准》（GB12523-20</w:t>
            </w:r>
            <w:r>
              <w:rPr>
                <w:rFonts w:hint="eastAsia"/>
                <w:color w:val="auto"/>
                <w:highlight w:val="none"/>
                <w:lang w:val="en-US" w:eastAsia="zh-CN"/>
              </w:rPr>
              <w:t>25</w:t>
            </w:r>
            <w:r>
              <w:rPr>
                <w:rFonts w:hint="eastAsia"/>
                <w:color w:val="auto"/>
                <w:highlight w:val="none"/>
              </w:rPr>
              <w:t>）</w:t>
            </w:r>
            <w:r>
              <w:rPr>
                <w:rFonts w:hint="eastAsia"/>
                <w:color w:val="auto"/>
                <w:highlight w:val="none"/>
                <w:lang w:val="en-US" w:eastAsia="zh-CN"/>
              </w:rPr>
              <w:t>表1以及</w:t>
            </w:r>
            <w:r>
              <w:rPr>
                <w:color w:val="auto"/>
                <w:highlight w:val="none"/>
              </w:rPr>
              <w:t>《工业企业厂界环境噪声排放标准》（GB12348-2008）</w:t>
            </w:r>
            <w:r>
              <w:rPr>
                <w:rFonts w:hint="eastAsia"/>
                <w:color w:val="auto"/>
                <w:highlight w:val="none"/>
                <w:lang w:val="en-US" w:eastAsia="zh-CN"/>
              </w:rPr>
              <w:t>3</w:t>
            </w:r>
            <w:r>
              <w:rPr>
                <w:color w:val="auto"/>
                <w:highlight w:val="none"/>
              </w:rPr>
              <w:t>类</w:t>
            </w:r>
            <w:r>
              <w:rPr>
                <w:rFonts w:hint="eastAsia"/>
                <w:color w:val="auto"/>
                <w:highlight w:val="none"/>
                <w:lang w:val="en-US" w:eastAsia="zh-CN"/>
              </w:rPr>
              <w:t>标准限制</w:t>
            </w:r>
            <w:r>
              <w:rPr>
                <w:color w:val="auto"/>
                <w:highlight w:val="none"/>
              </w:rPr>
              <w:t>，见表3-</w:t>
            </w:r>
            <w:r>
              <w:rPr>
                <w:rFonts w:hint="eastAsia"/>
                <w:color w:val="auto"/>
                <w:highlight w:val="none"/>
                <w:lang w:val="en-US" w:eastAsia="zh-CN"/>
              </w:rPr>
              <w:t>9</w:t>
            </w:r>
            <w:r>
              <w:rPr>
                <w:color w:val="auto"/>
                <w:highlight w:val="none"/>
              </w:rPr>
              <w:t>。</w:t>
            </w:r>
          </w:p>
          <w:p w14:paraId="7B79F329">
            <w:pPr>
              <w:bidi w:val="0"/>
              <w:rPr>
                <w:color w:val="auto"/>
                <w:highlight w:val="none"/>
              </w:rPr>
            </w:pPr>
          </w:p>
          <w:p w14:paraId="07D46813">
            <w:pPr>
              <w:pStyle w:val="58"/>
              <w:bidi w:val="0"/>
              <w:rPr>
                <w:color w:val="auto"/>
                <w:highlight w:val="none"/>
              </w:rPr>
            </w:pPr>
            <w:r>
              <w:rPr>
                <w:color w:val="auto"/>
                <w:highlight w:val="none"/>
              </w:rPr>
              <w:t>表3-</w:t>
            </w:r>
            <w:r>
              <w:rPr>
                <w:rFonts w:hint="eastAsia"/>
                <w:color w:val="auto"/>
                <w:highlight w:val="none"/>
                <w:lang w:val="en-US" w:eastAsia="zh-CN"/>
              </w:rPr>
              <w:t xml:space="preserve">9   </w:t>
            </w:r>
            <w:r>
              <w:rPr>
                <w:color w:val="auto"/>
                <w:highlight w:val="none"/>
              </w:rPr>
              <w:t xml:space="preserve">  噪声排放标准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7"/>
              <w:gridCol w:w="973"/>
              <w:gridCol w:w="1423"/>
              <w:gridCol w:w="1035"/>
              <w:gridCol w:w="1036"/>
            </w:tblGrid>
            <w:tr w14:paraId="7C2A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525" w:type="dxa"/>
                  <w:vMerge w:val="restart"/>
                  <w:noWrap w:val="0"/>
                  <w:tcMar>
                    <w:left w:w="0" w:type="dxa"/>
                    <w:right w:w="0" w:type="dxa"/>
                  </w:tcMar>
                  <w:vAlign w:val="center"/>
                </w:tcPr>
                <w:p w14:paraId="4D6AC3E2">
                  <w:pPr>
                    <w:pStyle w:val="53"/>
                    <w:bidi w:val="0"/>
                    <w:rPr>
                      <w:b/>
                      <w:bCs/>
                      <w:color w:val="auto"/>
                      <w:highlight w:val="none"/>
                    </w:rPr>
                  </w:pPr>
                  <w:r>
                    <w:rPr>
                      <w:b/>
                      <w:bCs/>
                      <w:color w:val="auto"/>
                      <w:highlight w:val="none"/>
                    </w:rPr>
                    <w:t>标准名称</w:t>
                  </w:r>
                </w:p>
              </w:tc>
              <w:tc>
                <w:tcPr>
                  <w:tcW w:w="967" w:type="dxa"/>
                  <w:vMerge w:val="restart"/>
                  <w:noWrap w:val="0"/>
                  <w:tcMar>
                    <w:left w:w="0" w:type="dxa"/>
                    <w:right w:w="0" w:type="dxa"/>
                  </w:tcMar>
                  <w:vAlign w:val="center"/>
                </w:tcPr>
                <w:p w14:paraId="6C028B87">
                  <w:pPr>
                    <w:pStyle w:val="53"/>
                    <w:bidi w:val="0"/>
                    <w:rPr>
                      <w:b/>
                      <w:bCs/>
                      <w:color w:val="auto"/>
                      <w:highlight w:val="none"/>
                    </w:rPr>
                  </w:pPr>
                  <w:r>
                    <w:rPr>
                      <w:b/>
                      <w:bCs/>
                      <w:color w:val="auto"/>
                      <w:highlight w:val="none"/>
                    </w:rPr>
                    <w:t>级别</w:t>
                  </w:r>
                </w:p>
              </w:tc>
              <w:tc>
                <w:tcPr>
                  <w:tcW w:w="1414" w:type="dxa"/>
                  <w:vMerge w:val="restart"/>
                  <w:noWrap w:val="0"/>
                  <w:tcMar>
                    <w:left w:w="0" w:type="dxa"/>
                    <w:right w:w="0" w:type="dxa"/>
                  </w:tcMar>
                  <w:vAlign w:val="center"/>
                </w:tcPr>
                <w:p w14:paraId="3CECA651">
                  <w:pPr>
                    <w:pStyle w:val="53"/>
                    <w:bidi w:val="0"/>
                    <w:rPr>
                      <w:b/>
                      <w:bCs/>
                      <w:color w:val="auto"/>
                      <w:highlight w:val="none"/>
                    </w:rPr>
                  </w:pPr>
                  <w:r>
                    <w:rPr>
                      <w:b/>
                      <w:bCs/>
                      <w:color w:val="auto"/>
                      <w:highlight w:val="none"/>
                    </w:rPr>
                    <w:t>评价因子</w:t>
                  </w:r>
                </w:p>
              </w:tc>
              <w:tc>
                <w:tcPr>
                  <w:tcW w:w="2058" w:type="dxa"/>
                  <w:gridSpan w:val="2"/>
                  <w:noWrap w:val="0"/>
                  <w:tcMar>
                    <w:left w:w="0" w:type="dxa"/>
                    <w:right w:w="0" w:type="dxa"/>
                  </w:tcMar>
                  <w:vAlign w:val="center"/>
                </w:tcPr>
                <w:p w14:paraId="16DFA383">
                  <w:pPr>
                    <w:pStyle w:val="53"/>
                    <w:bidi w:val="0"/>
                    <w:rPr>
                      <w:b/>
                      <w:bCs/>
                      <w:color w:val="auto"/>
                      <w:highlight w:val="none"/>
                    </w:rPr>
                  </w:pPr>
                  <w:r>
                    <w:rPr>
                      <w:b/>
                      <w:bCs/>
                      <w:color w:val="auto"/>
                      <w:highlight w:val="none"/>
                    </w:rPr>
                    <w:t>标准值〔dB（A）〕</w:t>
                  </w:r>
                </w:p>
              </w:tc>
            </w:tr>
            <w:tr w14:paraId="0EB2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525" w:type="dxa"/>
                  <w:vMerge w:val="continue"/>
                  <w:noWrap w:val="0"/>
                  <w:tcMar>
                    <w:left w:w="0" w:type="dxa"/>
                    <w:right w:w="0" w:type="dxa"/>
                  </w:tcMar>
                  <w:vAlign w:val="center"/>
                </w:tcPr>
                <w:p w14:paraId="261CE9E7">
                  <w:pPr>
                    <w:pStyle w:val="53"/>
                    <w:bidi w:val="0"/>
                    <w:rPr>
                      <w:b/>
                      <w:bCs/>
                      <w:color w:val="auto"/>
                      <w:highlight w:val="none"/>
                    </w:rPr>
                  </w:pPr>
                </w:p>
              </w:tc>
              <w:tc>
                <w:tcPr>
                  <w:tcW w:w="967" w:type="dxa"/>
                  <w:vMerge w:val="continue"/>
                  <w:noWrap w:val="0"/>
                  <w:tcMar>
                    <w:left w:w="0" w:type="dxa"/>
                    <w:right w:w="0" w:type="dxa"/>
                  </w:tcMar>
                  <w:vAlign w:val="center"/>
                </w:tcPr>
                <w:p w14:paraId="5096EAFC">
                  <w:pPr>
                    <w:pStyle w:val="53"/>
                    <w:bidi w:val="0"/>
                    <w:rPr>
                      <w:b/>
                      <w:bCs/>
                      <w:color w:val="auto"/>
                      <w:highlight w:val="none"/>
                    </w:rPr>
                  </w:pPr>
                </w:p>
              </w:tc>
              <w:tc>
                <w:tcPr>
                  <w:tcW w:w="1414" w:type="dxa"/>
                  <w:vMerge w:val="continue"/>
                  <w:noWrap w:val="0"/>
                  <w:tcMar>
                    <w:left w:w="0" w:type="dxa"/>
                    <w:right w:w="0" w:type="dxa"/>
                  </w:tcMar>
                  <w:vAlign w:val="center"/>
                </w:tcPr>
                <w:p w14:paraId="405512A0">
                  <w:pPr>
                    <w:pStyle w:val="53"/>
                    <w:bidi w:val="0"/>
                    <w:rPr>
                      <w:b/>
                      <w:bCs/>
                      <w:color w:val="auto"/>
                      <w:highlight w:val="none"/>
                    </w:rPr>
                  </w:pPr>
                </w:p>
              </w:tc>
              <w:tc>
                <w:tcPr>
                  <w:tcW w:w="1029" w:type="dxa"/>
                  <w:noWrap w:val="0"/>
                  <w:tcMar>
                    <w:left w:w="0" w:type="dxa"/>
                    <w:right w:w="0" w:type="dxa"/>
                  </w:tcMar>
                  <w:vAlign w:val="center"/>
                </w:tcPr>
                <w:p w14:paraId="05DE538F">
                  <w:pPr>
                    <w:pStyle w:val="53"/>
                    <w:bidi w:val="0"/>
                    <w:rPr>
                      <w:b/>
                      <w:bCs/>
                      <w:color w:val="auto"/>
                      <w:highlight w:val="none"/>
                    </w:rPr>
                  </w:pPr>
                  <w:r>
                    <w:rPr>
                      <w:b/>
                      <w:bCs/>
                      <w:color w:val="auto"/>
                      <w:highlight w:val="none"/>
                    </w:rPr>
                    <w:t>昼间</w:t>
                  </w:r>
                </w:p>
              </w:tc>
              <w:tc>
                <w:tcPr>
                  <w:tcW w:w="1029" w:type="dxa"/>
                  <w:noWrap w:val="0"/>
                  <w:tcMar>
                    <w:left w:w="0" w:type="dxa"/>
                    <w:right w:w="0" w:type="dxa"/>
                  </w:tcMar>
                  <w:vAlign w:val="center"/>
                </w:tcPr>
                <w:p w14:paraId="37412B73">
                  <w:pPr>
                    <w:pStyle w:val="53"/>
                    <w:bidi w:val="0"/>
                    <w:rPr>
                      <w:b/>
                      <w:bCs/>
                      <w:color w:val="auto"/>
                      <w:highlight w:val="none"/>
                    </w:rPr>
                  </w:pPr>
                  <w:r>
                    <w:rPr>
                      <w:b/>
                      <w:bCs/>
                      <w:color w:val="auto"/>
                      <w:highlight w:val="none"/>
                    </w:rPr>
                    <w:t>夜间</w:t>
                  </w:r>
                </w:p>
              </w:tc>
            </w:tr>
            <w:tr w14:paraId="6B70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25" w:type="dxa"/>
                  <w:noWrap w:val="0"/>
                  <w:tcMar>
                    <w:left w:w="0" w:type="dxa"/>
                    <w:right w:w="0" w:type="dxa"/>
                  </w:tcMar>
                  <w:vAlign w:val="center"/>
                </w:tcPr>
                <w:p w14:paraId="43372BF4">
                  <w:pPr>
                    <w:pStyle w:val="53"/>
                    <w:bidi w:val="0"/>
                    <w:rPr>
                      <w:color w:val="auto"/>
                      <w:highlight w:val="none"/>
                    </w:rPr>
                  </w:pPr>
                  <w:r>
                    <w:rPr>
                      <w:rFonts w:hint="eastAsia"/>
                      <w:color w:val="auto"/>
                      <w:highlight w:val="none"/>
                    </w:rPr>
                    <w:t>《建筑施工噪声排放标准》</w:t>
                  </w:r>
                </w:p>
              </w:tc>
              <w:tc>
                <w:tcPr>
                  <w:tcW w:w="967" w:type="dxa"/>
                  <w:noWrap w:val="0"/>
                  <w:tcMar>
                    <w:left w:w="0" w:type="dxa"/>
                    <w:right w:w="0" w:type="dxa"/>
                  </w:tcMar>
                  <w:vAlign w:val="center"/>
                </w:tcPr>
                <w:p w14:paraId="7D141A10">
                  <w:pPr>
                    <w:pStyle w:val="53"/>
                    <w:bidi w:val="0"/>
                    <w:rPr>
                      <w:rFonts w:hint="eastAsia" w:eastAsia="宋体"/>
                      <w:color w:val="auto"/>
                      <w:highlight w:val="none"/>
                      <w:lang w:val="en-US" w:eastAsia="zh-CN"/>
                    </w:rPr>
                  </w:pPr>
                  <w:r>
                    <w:rPr>
                      <w:rFonts w:hint="eastAsia"/>
                      <w:color w:val="auto"/>
                      <w:highlight w:val="none"/>
                      <w:lang w:val="en-US" w:eastAsia="zh-CN"/>
                    </w:rPr>
                    <w:t>/</w:t>
                  </w:r>
                </w:p>
              </w:tc>
              <w:tc>
                <w:tcPr>
                  <w:tcW w:w="1414" w:type="dxa"/>
                  <w:noWrap w:val="0"/>
                  <w:tcMar>
                    <w:left w:w="0" w:type="dxa"/>
                    <w:right w:w="0" w:type="dxa"/>
                  </w:tcMar>
                  <w:vAlign w:val="center"/>
                </w:tcPr>
                <w:p w14:paraId="6FDD4D51">
                  <w:pPr>
                    <w:pStyle w:val="53"/>
                    <w:bidi w:val="0"/>
                    <w:rPr>
                      <w:color w:val="auto"/>
                      <w:highlight w:val="none"/>
                    </w:rPr>
                  </w:pPr>
                  <w:r>
                    <w:rPr>
                      <w:color w:val="auto"/>
                      <w:highlight w:val="none"/>
                    </w:rPr>
                    <w:t>等效声级Leq</w:t>
                  </w:r>
                </w:p>
              </w:tc>
              <w:tc>
                <w:tcPr>
                  <w:tcW w:w="1029" w:type="dxa"/>
                  <w:noWrap w:val="0"/>
                  <w:tcMar>
                    <w:left w:w="0" w:type="dxa"/>
                    <w:right w:w="0" w:type="dxa"/>
                  </w:tcMar>
                  <w:vAlign w:val="center"/>
                </w:tcPr>
                <w:p w14:paraId="0217DBEA">
                  <w:pPr>
                    <w:pStyle w:val="53"/>
                    <w:bidi w:val="0"/>
                    <w:rPr>
                      <w:rFonts w:hint="default" w:eastAsia="宋体"/>
                      <w:color w:val="auto"/>
                      <w:highlight w:val="none"/>
                      <w:lang w:val="en-US" w:eastAsia="zh-CN"/>
                    </w:rPr>
                  </w:pPr>
                  <w:r>
                    <w:rPr>
                      <w:rFonts w:hint="eastAsia"/>
                      <w:color w:val="auto"/>
                      <w:highlight w:val="none"/>
                      <w:lang w:val="en-US" w:eastAsia="zh-CN"/>
                    </w:rPr>
                    <w:t>70</w:t>
                  </w:r>
                </w:p>
              </w:tc>
              <w:tc>
                <w:tcPr>
                  <w:tcW w:w="1029" w:type="dxa"/>
                  <w:noWrap w:val="0"/>
                  <w:tcMar>
                    <w:left w:w="0" w:type="dxa"/>
                    <w:right w:w="0" w:type="dxa"/>
                  </w:tcMar>
                  <w:vAlign w:val="center"/>
                </w:tcPr>
                <w:p w14:paraId="1C125F7B">
                  <w:pPr>
                    <w:pStyle w:val="53"/>
                    <w:bidi w:val="0"/>
                    <w:rPr>
                      <w:rFonts w:hint="default" w:eastAsia="宋体"/>
                      <w:color w:val="auto"/>
                      <w:highlight w:val="none"/>
                      <w:lang w:val="en-US" w:eastAsia="zh-CN"/>
                    </w:rPr>
                  </w:pPr>
                  <w:r>
                    <w:rPr>
                      <w:rFonts w:hint="eastAsia"/>
                      <w:color w:val="auto"/>
                      <w:highlight w:val="none"/>
                      <w:lang w:val="en-US" w:eastAsia="zh-CN"/>
                    </w:rPr>
                    <w:t>55</w:t>
                  </w:r>
                </w:p>
              </w:tc>
            </w:tr>
            <w:tr w14:paraId="3518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525" w:type="dxa"/>
                  <w:noWrap w:val="0"/>
                  <w:tcMar>
                    <w:left w:w="0" w:type="dxa"/>
                    <w:right w:w="0" w:type="dxa"/>
                  </w:tcMar>
                  <w:vAlign w:val="center"/>
                </w:tcPr>
                <w:p w14:paraId="537C6A27">
                  <w:pPr>
                    <w:pStyle w:val="53"/>
                    <w:bidi w:val="0"/>
                    <w:rPr>
                      <w:color w:val="auto"/>
                      <w:highlight w:val="none"/>
                    </w:rPr>
                  </w:pPr>
                  <w:r>
                    <w:rPr>
                      <w:color w:val="auto"/>
                      <w:highlight w:val="none"/>
                    </w:rPr>
                    <w:t>《工业企业厂界环境噪声排放标准》</w:t>
                  </w:r>
                </w:p>
              </w:tc>
              <w:tc>
                <w:tcPr>
                  <w:tcW w:w="967" w:type="dxa"/>
                  <w:noWrap w:val="0"/>
                  <w:tcMar>
                    <w:left w:w="0" w:type="dxa"/>
                    <w:right w:w="0" w:type="dxa"/>
                  </w:tcMar>
                  <w:vAlign w:val="center"/>
                </w:tcPr>
                <w:p w14:paraId="528D2AA7">
                  <w:pPr>
                    <w:pStyle w:val="53"/>
                    <w:bidi w:val="0"/>
                    <w:rPr>
                      <w:color w:val="auto"/>
                      <w:highlight w:val="none"/>
                    </w:rPr>
                  </w:pPr>
                  <w:r>
                    <w:rPr>
                      <w:rFonts w:hint="eastAsia"/>
                      <w:color w:val="auto"/>
                      <w:highlight w:val="none"/>
                      <w:lang w:val="en-US" w:eastAsia="zh-CN"/>
                    </w:rPr>
                    <w:t>3</w:t>
                  </w:r>
                  <w:r>
                    <w:rPr>
                      <w:color w:val="auto"/>
                      <w:highlight w:val="none"/>
                    </w:rPr>
                    <w:t>类</w:t>
                  </w:r>
                </w:p>
              </w:tc>
              <w:tc>
                <w:tcPr>
                  <w:tcW w:w="1414" w:type="dxa"/>
                  <w:noWrap w:val="0"/>
                  <w:tcMar>
                    <w:left w:w="0" w:type="dxa"/>
                    <w:right w:w="0" w:type="dxa"/>
                  </w:tcMar>
                  <w:vAlign w:val="center"/>
                </w:tcPr>
                <w:p w14:paraId="5AF0CF42">
                  <w:pPr>
                    <w:pStyle w:val="53"/>
                    <w:bidi w:val="0"/>
                    <w:rPr>
                      <w:color w:val="auto"/>
                      <w:highlight w:val="none"/>
                    </w:rPr>
                  </w:pPr>
                  <w:r>
                    <w:rPr>
                      <w:color w:val="auto"/>
                      <w:highlight w:val="none"/>
                    </w:rPr>
                    <w:t>等效声级Leq</w:t>
                  </w:r>
                </w:p>
              </w:tc>
              <w:tc>
                <w:tcPr>
                  <w:tcW w:w="1029" w:type="dxa"/>
                  <w:noWrap w:val="0"/>
                  <w:tcMar>
                    <w:left w:w="0" w:type="dxa"/>
                    <w:right w:w="0" w:type="dxa"/>
                  </w:tcMar>
                  <w:vAlign w:val="center"/>
                </w:tcPr>
                <w:p w14:paraId="3C30776A">
                  <w:pPr>
                    <w:pStyle w:val="53"/>
                    <w:bidi w:val="0"/>
                    <w:rPr>
                      <w:rFonts w:hint="eastAsia" w:eastAsia="宋体"/>
                      <w:color w:val="auto"/>
                      <w:highlight w:val="none"/>
                      <w:lang w:eastAsia="zh-CN"/>
                    </w:rPr>
                  </w:pPr>
                  <w:r>
                    <w:rPr>
                      <w:color w:val="auto"/>
                      <w:highlight w:val="none"/>
                    </w:rPr>
                    <w:t>6</w:t>
                  </w:r>
                  <w:r>
                    <w:rPr>
                      <w:rFonts w:hint="eastAsia"/>
                      <w:color w:val="auto"/>
                      <w:highlight w:val="none"/>
                      <w:lang w:val="en-US" w:eastAsia="zh-CN"/>
                    </w:rPr>
                    <w:t>5</w:t>
                  </w:r>
                </w:p>
              </w:tc>
              <w:tc>
                <w:tcPr>
                  <w:tcW w:w="1029" w:type="dxa"/>
                  <w:noWrap w:val="0"/>
                  <w:tcMar>
                    <w:left w:w="0" w:type="dxa"/>
                    <w:right w:w="0" w:type="dxa"/>
                  </w:tcMar>
                  <w:vAlign w:val="center"/>
                </w:tcPr>
                <w:p w14:paraId="505D358D">
                  <w:pPr>
                    <w:pStyle w:val="53"/>
                    <w:bidi w:val="0"/>
                    <w:rPr>
                      <w:rFonts w:hint="eastAsia" w:eastAsia="宋体"/>
                      <w:color w:val="auto"/>
                      <w:highlight w:val="none"/>
                      <w:lang w:eastAsia="zh-CN"/>
                    </w:rPr>
                  </w:pPr>
                  <w:r>
                    <w:rPr>
                      <w:color w:val="auto"/>
                      <w:highlight w:val="none"/>
                    </w:rPr>
                    <w:t>5</w:t>
                  </w:r>
                  <w:r>
                    <w:rPr>
                      <w:rFonts w:hint="eastAsia"/>
                      <w:color w:val="auto"/>
                      <w:highlight w:val="none"/>
                      <w:lang w:val="en-US" w:eastAsia="zh-CN"/>
                    </w:rPr>
                    <w:t>5</w:t>
                  </w:r>
                </w:p>
              </w:tc>
            </w:tr>
          </w:tbl>
          <w:p w14:paraId="5C96DC65">
            <w:pPr>
              <w:bidi w:val="0"/>
              <w:rPr>
                <w:b/>
                <w:bCs/>
                <w:color w:val="auto"/>
                <w:highlight w:val="none"/>
              </w:rPr>
            </w:pPr>
            <w:r>
              <w:rPr>
                <w:rFonts w:hint="eastAsia"/>
                <w:b/>
                <w:bCs/>
                <w:color w:val="auto"/>
                <w:highlight w:val="none"/>
              </w:rPr>
              <w:t>4</w:t>
            </w:r>
            <w:r>
              <w:rPr>
                <w:b/>
                <w:bCs/>
                <w:color w:val="auto"/>
                <w:highlight w:val="none"/>
              </w:rPr>
              <w:t>、固废存放及处理处置标准</w:t>
            </w:r>
          </w:p>
          <w:p w14:paraId="211D4442">
            <w:pPr>
              <w:bidi w:val="0"/>
              <w:rPr>
                <w:rFonts w:hint="eastAsia"/>
                <w:color w:val="auto"/>
                <w:highlight w:val="none"/>
                <w:lang w:eastAsia="zh-CN"/>
              </w:rPr>
            </w:pPr>
            <w:r>
              <w:rPr>
                <w:color w:val="auto"/>
                <w:highlight w:val="none"/>
              </w:rPr>
              <w:t>一般固废处置执行《一般工业固体废物贮存和填埋污染控制标准》（GB18599-2020）中相关规定。</w:t>
            </w:r>
            <w:r>
              <w:rPr>
                <w:rFonts w:hint="eastAsia"/>
                <w:color w:val="auto"/>
                <w:highlight w:val="none"/>
                <w:lang w:val="en-US" w:eastAsia="zh-CN"/>
              </w:rPr>
              <w:t>危险</w:t>
            </w:r>
            <w:r>
              <w:rPr>
                <w:color w:val="auto"/>
                <w:highlight w:val="none"/>
              </w:rPr>
              <w:t>废物贮存执行《危险废物贮存污染控制标准》（GB18597-2023）相关要求</w:t>
            </w:r>
            <w:r>
              <w:rPr>
                <w:rFonts w:hint="eastAsia"/>
                <w:color w:val="auto"/>
                <w:highlight w:val="none"/>
                <w:lang w:eastAsia="zh-CN"/>
              </w:rPr>
              <w:t>。</w:t>
            </w:r>
          </w:p>
          <w:p w14:paraId="7A51BA49">
            <w:pPr>
              <w:bidi w:val="0"/>
              <w:ind w:left="0" w:leftChars="0" w:firstLine="0" w:firstLineChars="0"/>
              <w:rPr>
                <w:rFonts w:hint="eastAsia"/>
                <w:color w:val="auto"/>
                <w:highlight w:val="none"/>
                <w:lang w:eastAsia="zh-CN"/>
              </w:rPr>
            </w:pPr>
          </w:p>
        </w:tc>
      </w:tr>
      <w:tr w14:paraId="3A5A1E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14:paraId="60DCC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总量</w:t>
            </w:r>
          </w:p>
          <w:p w14:paraId="7673F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控制</w:t>
            </w:r>
          </w:p>
          <w:p w14:paraId="7B360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noWrap w:val="0"/>
            <w:vAlign w:val="center"/>
          </w:tcPr>
          <w:p w14:paraId="5360EE4C">
            <w:pPr>
              <w:spacing w:line="360" w:lineRule="auto"/>
              <w:ind w:firstLine="573"/>
              <w:rPr>
                <w:rFonts w:hint="eastAsia"/>
                <w:color w:val="auto"/>
                <w:highlight w:val="none"/>
                <w:lang w:val="en-US" w:eastAsia="zh-CN"/>
              </w:rPr>
            </w:pPr>
            <w:r>
              <w:rPr>
                <w:rFonts w:hint="default"/>
                <w:color w:val="auto"/>
                <w:highlight w:val="none"/>
              </w:rPr>
              <w:t>本项目</w:t>
            </w:r>
            <w:r>
              <w:rPr>
                <w:rFonts w:hint="eastAsia"/>
                <w:color w:val="auto"/>
                <w:highlight w:val="none"/>
                <w:lang w:val="en-US" w:eastAsia="zh-CN"/>
              </w:rPr>
              <w:t>废水经化粪池预处理后</w:t>
            </w:r>
            <w:r>
              <w:rPr>
                <w:rFonts w:hint="eastAsia"/>
                <w:color w:val="auto"/>
                <w:highlight w:val="none"/>
                <w:lang w:eastAsia="zh-CN"/>
              </w:rPr>
              <w:t>经</w:t>
            </w:r>
            <w:r>
              <w:rPr>
                <w:rFonts w:hint="eastAsia"/>
                <w:color w:val="auto"/>
                <w:highlight w:val="none"/>
                <w:lang w:val="en-US" w:eastAsia="zh-CN"/>
              </w:rPr>
              <w:t>园区</w:t>
            </w:r>
            <w:r>
              <w:rPr>
                <w:rFonts w:hint="eastAsia"/>
                <w:color w:val="auto"/>
                <w:highlight w:val="none"/>
                <w:lang w:eastAsia="zh-CN"/>
              </w:rPr>
              <w:t>污水管网排入</w:t>
            </w:r>
            <w:r>
              <w:rPr>
                <w:rFonts w:hint="eastAsia"/>
                <w:color w:val="auto"/>
                <w:highlight w:val="none"/>
                <w:lang w:val="en-US" w:eastAsia="zh-CN"/>
              </w:rPr>
              <w:t>五丈原污水处理厂，污染物排放量同样纳入五丈原污水处理厂</w:t>
            </w:r>
            <w:r>
              <w:rPr>
                <w:rFonts w:hint="eastAsia"/>
                <w:color w:val="auto"/>
                <w:highlight w:val="none"/>
                <w:lang w:eastAsia="zh-CN"/>
              </w:rPr>
              <w:t>总量控制指标，</w:t>
            </w:r>
            <w:r>
              <w:rPr>
                <w:rFonts w:hint="eastAsia"/>
                <w:color w:val="auto"/>
                <w:highlight w:val="none"/>
                <w:lang w:val="en-US" w:eastAsia="zh-CN"/>
              </w:rPr>
              <w:t>不再单独申请总量指标。</w:t>
            </w:r>
          </w:p>
          <w:p w14:paraId="54F66536">
            <w:pPr>
              <w:bidi w:val="0"/>
              <w:rPr>
                <w:rFonts w:hint="default"/>
                <w:color w:val="auto"/>
                <w:highlight w:val="none"/>
                <w:lang w:val="en-US" w:eastAsia="zh-CN"/>
              </w:rPr>
            </w:pPr>
            <w:r>
              <w:rPr>
                <w:rFonts w:hint="default"/>
                <w:color w:val="auto"/>
                <w:highlight w:val="none"/>
              </w:rPr>
              <w:t>根据《</w:t>
            </w:r>
            <w:r>
              <w:rPr>
                <w:rFonts w:hint="eastAsia"/>
                <w:color w:val="auto"/>
                <w:highlight w:val="none"/>
                <w:lang w:eastAsia="zh-CN"/>
              </w:rPr>
              <w:t>“</w:t>
            </w:r>
            <w:r>
              <w:rPr>
                <w:rFonts w:hint="default"/>
                <w:color w:val="auto"/>
                <w:highlight w:val="none"/>
              </w:rPr>
              <w:t>十四五</w:t>
            </w:r>
            <w:r>
              <w:rPr>
                <w:rFonts w:hint="eastAsia"/>
                <w:color w:val="auto"/>
                <w:highlight w:val="none"/>
                <w:lang w:eastAsia="zh-CN"/>
              </w:rPr>
              <w:t>”</w:t>
            </w:r>
            <w:r>
              <w:rPr>
                <w:rFonts w:hint="default"/>
                <w:color w:val="auto"/>
                <w:highlight w:val="none"/>
              </w:rPr>
              <w:t>主要污染物总量控制规划编制技术指南》及陕西省有关规定，</w:t>
            </w:r>
            <w:r>
              <w:rPr>
                <w:rFonts w:hint="default"/>
                <w:color w:val="auto"/>
                <w:highlight w:val="none"/>
                <w:lang w:val="en-US" w:eastAsia="zh-CN"/>
              </w:rPr>
              <w:t>陕西</w:t>
            </w:r>
            <w:r>
              <w:rPr>
                <w:rFonts w:hint="eastAsia"/>
                <w:color w:val="auto"/>
                <w:highlight w:val="none"/>
                <w:lang w:val="en-US" w:eastAsia="zh-CN"/>
              </w:rPr>
              <w:t>省</w:t>
            </w:r>
            <w:r>
              <w:rPr>
                <w:rFonts w:hint="eastAsia"/>
                <w:color w:val="auto"/>
                <w:highlight w:val="none"/>
                <w:lang w:eastAsia="zh-CN"/>
              </w:rPr>
              <w:t>“</w:t>
            </w:r>
            <w:r>
              <w:rPr>
                <w:rFonts w:hint="default"/>
                <w:color w:val="auto"/>
                <w:highlight w:val="none"/>
              </w:rPr>
              <w:t>十四五</w:t>
            </w:r>
            <w:r>
              <w:rPr>
                <w:rFonts w:hint="eastAsia"/>
                <w:color w:val="auto"/>
                <w:highlight w:val="none"/>
                <w:lang w:eastAsia="zh-CN"/>
              </w:rPr>
              <w:t>”</w:t>
            </w:r>
            <w:r>
              <w:rPr>
                <w:rFonts w:hint="default"/>
                <w:color w:val="auto"/>
                <w:highlight w:val="none"/>
              </w:rPr>
              <w:t>主要</w:t>
            </w:r>
            <w:r>
              <w:rPr>
                <w:rFonts w:hint="eastAsia"/>
                <w:color w:val="auto"/>
                <w:highlight w:val="none"/>
                <w:lang w:val="en-US" w:eastAsia="zh-CN"/>
              </w:rPr>
              <w:t>气型</w:t>
            </w:r>
            <w:r>
              <w:rPr>
                <w:rFonts w:hint="default"/>
                <w:color w:val="auto"/>
                <w:highlight w:val="none"/>
              </w:rPr>
              <w:t>污染物控制因子为：</w:t>
            </w:r>
            <w:r>
              <w:rPr>
                <w:rFonts w:hint="eastAsia"/>
                <w:color w:val="auto"/>
                <w:highlight w:val="none"/>
                <w:lang w:val="en-US" w:eastAsia="zh-CN"/>
              </w:rPr>
              <w:t>NO</w:t>
            </w:r>
            <w:r>
              <w:rPr>
                <w:rFonts w:hint="eastAsia"/>
                <w:color w:val="auto"/>
                <w:highlight w:val="none"/>
                <w:vertAlign w:val="subscript"/>
                <w:lang w:val="en-US" w:eastAsia="zh-CN"/>
              </w:rPr>
              <w:t>x</w:t>
            </w:r>
            <w:r>
              <w:rPr>
                <w:rFonts w:hint="default"/>
                <w:color w:val="auto"/>
                <w:highlight w:val="none"/>
              </w:rPr>
              <w:t>。</w:t>
            </w:r>
            <w:r>
              <w:rPr>
                <w:rFonts w:hint="eastAsia"/>
                <w:color w:val="auto"/>
                <w:highlight w:val="none"/>
                <w:lang w:val="en-US" w:eastAsia="zh-CN"/>
              </w:rPr>
              <w:t>经核算，本次项目污染物年排放量分别为：NO</w:t>
            </w:r>
            <w:r>
              <w:rPr>
                <w:rFonts w:hint="eastAsia"/>
                <w:color w:val="auto"/>
                <w:highlight w:val="none"/>
                <w:vertAlign w:val="subscript"/>
                <w:lang w:val="en-US" w:eastAsia="zh-CN"/>
              </w:rPr>
              <w:t xml:space="preserve">x </w:t>
            </w:r>
            <w:r>
              <w:rPr>
                <w:rFonts w:hint="eastAsia"/>
                <w:color w:val="auto"/>
                <w:highlight w:val="none"/>
                <w:lang w:val="en-US" w:eastAsia="zh-CN"/>
              </w:rPr>
              <w:t>0.14t/a。</w:t>
            </w:r>
          </w:p>
          <w:p w14:paraId="3239D849">
            <w:pPr>
              <w:keepNext w:val="0"/>
              <w:keepLines w:val="0"/>
              <w:suppressLineNumbers w:val="0"/>
              <w:spacing w:before="0" w:beforeAutospacing="0" w:after="0" w:afterAutospacing="0" w:line="360" w:lineRule="auto"/>
              <w:ind w:left="0" w:right="0" w:firstLine="480" w:firstLineChars="200"/>
              <w:rPr>
                <w:rFonts w:hint="default"/>
                <w:color w:val="auto"/>
                <w:lang w:val="en-US" w:eastAsia="zh-CN"/>
              </w:rPr>
            </w:pPr>
            <w:r>
              <w:rPr>
                <w:rFonts w:hint="eastAsia"/>
                <w:color w:val="auto"/>
                <w:highlight w:val="none"/>
                <w:lang w:val="en-US" w:eastAsia="zh-CN"/>
              </w:rPr>
              <w:t>因此，本项目建议的总量控制指标如下，NO</w:t>
            </w:r>
            <w:r>
              <w:rPr>
                <w:rFonts w:hint="eastAsia"/>
                <w:color w:val="auto"/>
                <w:highlight w:val="none"/>
                <w:vertAlign w:val="subscript"/>
                <w:lang w:val="en-US" w:eastAsia="zh-CN"/>
              </w:rPr>
              <w:t>x</w:t>
            </w:r>
            <w:r>
              <w:rPr>
                <w:rFonts w:hint="eastAsia"/>
                <w:color w:val="auto"/>
                <w:highlight w:val="none"/>
                <w:lang w:val="en-US" w:eastAsia="zh-CN"/>
              </w:rPr>
              <w:t>：0.14t/a。</w:t>
            </w:r>
          </w:p>
          <w:p w14:paraId="23972917">
            <w:pPr>
              <w:rPr>
                <w:rFonts w:hint="default"/>
                <w:color w:val="auto"/>
                <w:lang w:val="en-US" w:eastAsia="zh-CN"/>
              </w:rPr>
            </w:pPr>
          </w:p>
        </w:tc>
      </w:tr>
    </w:tbl>
    <w:p w14:paraId="47BE7A9E">
      <w:pPr>
        <w:pStyle w:val="26"/>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172"/>
      </w:tblGrid>
      <w:tr w14:paraId="0CF69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3" w:hRule="atLeast"/>
          <w:jc w:val="center"/>
        </w:trPr>
        <w:tc>
          <w:tcPr>
            <w:tcW w:w="746" w:type="dxa"/>
            <w:noWrap w:val="0"/>
            <w:tcMar>
              <w:left w:w="28" w:type="dxa"/>
              <w:right w:w="28" w:type="dxa"/>
            </w:tcMar>
            <w:vAlign w:val="center"/>
          </w:tcPr>
          <w:p w14:paraId="2971D0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施工</w:t>
            </w:r>
          </w:p>
          <w:p w14:paraId="08DE9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期环</w:t>
            </w:r>
          </w:p>
          <w:p w14:paraId="3CD4A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境保</w:t>
            </w:r>
          </w:p>
          <w:p w14:paraId="069DF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护措</w:t>
            </w:r>
          </w:p>
          <w:p w14:paraId="2A3181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施</w:t>
            </w:r>
          </w:p>
        </w:tc>
        <w:tc>
          <w:tcPr>
            <w:tcW w:w="8162" w:type="dxa"/>
            <w:noWrap w:val="0"/>
            <w:vAlign w:val="center"/>
          </w:tcPr>
          <w:p w14:paraId="18D410A0">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b/>
                <w:bCs/>
                <w:color w:val="auto"/>
                <w:sz w:val="24"/>
                <w:szCs w:val="24"/>
                <w:highlight w:val="none"/>
              </w:rPr>
              <w:t>废气</w:t>
            </w:r>
          </w:p>
          <w:p w14:paraId="7C8955A5">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根据现场踏勘，</w:t>
            </w:r>
            <w:r>
              <w:rPr>
                <w:rFonts w:hint="default" w:ascii="Times New Roman" w:hAnsi="Times New Roman" w:eastAsia="宋体" w:cs="Times New Roman"/>
                <w:color w:val="auto"/>
                <w:sz w:val="24"/>
                <w:szCs w:val="32"/>
                <w:highlight w:val="none"/>
                <w:lang w:val="en-US" w:eastAsia="zh-CN"/>
              </w:rPr>
              <w:t>本项目</w:t>
            </w:r>
            <w:r>
              <w:rPr>
                <w:rFonts w:hint="eastAsia" w:ascii="Times New Roman" w:hAnsi="Times New Roman" w:eastAsia="宋体" w:cs="Times New Roman"/>
                <w:color w:val="auto"/>
                <w:sz w:val="24"/>
                <w:szCs w:val="32"/>
                <w:highlight w:val="none"/>
                <w:lang w:val="en-US" w:eastAsia="zh-CN"/>
              </w:rPr>
              <w:t>在现有厂房内建设</w:t>
            </w:r>
            <w:r>
              <w:rPr>
                <w:rFonts w:hint="default" w:ascii="Times New Roman" w:hAnsi="Times New Roman" w:eastAsia="宋体" w:cs="Times New Roman"/>
                <w:color w:val="auto"/>
                <w:sz w:val="24"/>
                <w:szCs w:val="24"/>
                <w:highlight w:val="none"/>
              </w:rPr>
              <w:t>，前期工程的地基开挖、土地平整硬化工作已结束，</w:t>
            </w:r>
            <w:r>
              <w:rPr>
                <w:rFonts w:hint="default" w:ascii="Times New Roman" w:hAnsi="Times New Roman" w:eastAsia="宋体" w:cs="Times New Roman"/>
                <w:color w:val="auto"/>
                <w:sz w:val="24"/>
                <w:szCs w:val="24"/>
                <w:highlight w:val="none"/>
                <w:lang w:val="en-US" w:eastAsia="zh-CN"/>
              </w:rPr>
              <w:t>不新建构筑物。</w:t>
            </w:r>
            <w:r>
              <w:rPr>
                <w:rFonts w:hint="default" w:ascii="Times New Roman" w:hAnsi="Times New Roman" w:eastAsia="宋体" w:cs="Times New Roman"/>
                <w:color w:val="auto"/>
                <w:sz w:val="24"/>
                <w:szCs w:val="24"/>
                <w:highlight w:val="none"/>
              </w:rPr>
              <w:t>施工阶段仅限于设备运输与安装，应优先选用低能耗、低排放的施工机械；运输车辆进厂后须减速慢行，并配合洒水抑尘，确保环境整洁。</w:t>
            </w:r>
          </w:p>
          <w:p w14:paraId="194C012C">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b/>
                <w:bCs/>
                <w:color w:val="auto"/>
                <w:sz w:val="24"/>
                <w:szCs w:val="24"/>
                <w:highlight w:val="none"/>
              </w:rPr>
              <w:t>废水</w:t>
            </w:r>
          </w:p>
          <w:p w14:paraId="16113902">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施工期的废水主要来自生活污水。</w:t>
            </w:r>
          </w:p>
          <w:p w14:paraId="680FB431">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本项目施工人员食宿依托周边村镇，</w:t>
            </w:r>
            <w:r>
              <w:rPr>
                <w:rFonts w:hint="eastAsia"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依托</w:t>
            </w:r>
            <w:r>
              <w:rPr>
                <w:rFonts w:hint="eastAsia" w:ascii="Times New Roman" w:hAnsi="Times New Roman" w:eastAsia="宋体" w:cs="Times New Roman"/>
                <w:color w:val="auto"/>
                <w:sz w:val="24"/>
                <w:szCs w:val="24"/>
                <w:highlight w:val="none"/>
                <w:lang w:val="en-US" w:eastAsia="zh-CN"/>
              </w:rPr>
              <w:t>厂内现有化粪池</w:t>
            </w:r>
            <w:r>
              <w:rPr>
                <w:rFonts w:hint="default" w:ascii="Times New Roman" w:hAnsi="Times New Roman" w:eastAsia="宋体" w:cs="Times New Roman"/>
                <w:color w:val="auto"/>
                <w:sz w:val="24"/>
                <w:szCs w:val="24"/>
                <w:highlight w:val="none"/>
              </w:rPr>
              <w:t>处理。</w:t>
            </w:r>
          </w:p>
          <w:p w14:paraId="77847FDD">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b/>
                <w:bCs/>
                <w:color w:val="auto"/>
                <w:sz w:val="24"/>
                <w:szCs w:val="24"/>
                <w:highlight w:val="none"/>
              </w:rPr>
              <w:t>噪声</w:t>
            </w:r>
          </w:p>
          <w:p w14:paraId="6415558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项目噪声主要来源于</w:t>
            </w:r>
            <w:r>
              <w:rPr>
                <w:rFonts w:hint="default" w:ascii="Times New Roman" w:hAnsi="Times New Roman" w:eastAsia="宋体" w:cs="Times New Roman"/>
                <w:color w:val="auto"/>
                <w:sz w:val="24"/>
                <w:szCs w:val="24"/>
                <w:highlight w:val="none"/>
                <w:lang w:val="en-US" w:eastAsia="zh-CN"/>
              </w:rPr>
              <w:t>安装设备减震设施以及生产</w:t>
            </w:r>
            <w:r>
              <w:rPr>
                <w:rFonts w:hint="default" w:ascii="Times New Roman" w:hAnsi="Times New Roman" w:eastAsia="宋体" w:cs="Times New Roman"/>
                <w:color w:val="auto"/>
                <w:sz w:val="24"/>
                <w:szCs w:val="24"/>
                <w:highlight w:val="none"/>
              </w:rPr>
              <w:t>设备</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安装及调试等产生的偶发性噪声，其噪声值在70～90dB（A）之间。施工期间向周围排放噪声严格按《建筑施工场界环境噪声排放标准》（GB125</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23-</w:t>
            </w:r>
            <w:r>
              <w:rPr>
                <w:rFonts w:hint="eastAsia"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rPr>
              <w:t>）进行控制。</w:t>
            </w:r>
          </w:p>
          <w:p w14:paraId="6A91C511">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项目夜间不施工，施工期设备安装的调试噪声会随着施工期的结束而结束，对周边环境影响是暂时的。</w:t>
            </w:r>
          </w:p>
          <w:p w14:paraId="63400395">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b/>
                <w:bCs/>
                <w:color w:val="auto"/>
                <w:sz w:val="24"/>
                <w:szCs w:val="24"/>
                <w:highlight w:val="none"/>
              </w:rPr>
              <w:t>固体废物</w:t>
            </w:r>
          </w:p>
          <w:p w14:paraId="117695B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建设项目施工期间固体废弃物</w:t>
            </w:r>
            <w:r>
              <w:rPr>
                <w:rFonts w:hint="eastAsia" w:ascii="Times New Roman" w:hAnsi="Times New Roman" w:eastAsia="宋体" w:cs="Times New Roman"/>
                <w:color w:val="auto"/>
                <w:sz w:val="24"/>
                <w:szCs w:val="24"/>
                <w:highlight w:val="none"/>
                <w:lang w:eastAsia="zh-CN"/>
              </w:rPr>
              <w:t>分为</w:t>
            </w:r>
            <w:r>
              <w:rPr>
                <w:rFonts w:hint="default" w:ascii="Times New Roman" w:hAnsi="Times New Roman" w:eastAsia="宋体" w:cs="Times New Roman"/>
                <w:color w:val="auto"/>
                <w:sz w:val="24"/>
                <w:szCs w:val="24"/>
                <w:highlight w:val="none"/>
              </w:rPr>
              <w:t>两类，一类为生活垃圾，另一类为安装设备包装垃圾。</w:t>
            </w:r>
          </w:p>
          <w:p w14:paraId="667B9344">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（1）施工人员生活垃圾</w:t>
            </w:r>
          </w:p>
          <w:p w14:paraId="022D6D8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①文明施工管理：加强施工人员管理，培养环境保护意识，禁止生活垃圾随意丢弃；</w:t>
            </w:r>
          </w:p>
          <w:p w14:paraId="338478E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②生活垃圾收集清运：定点投放垃圾桶，及时委托环卫部门清理。</w:t>
            </w:r>
          </w:p>
          <w:p w14:paraId="51BA4A84">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（2）安装设备包装垃圾</w:t>
            </w:r>
          </w:p>
          <w:p w14:paraId="5C747BA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项目设备安装时会产生少量的包装垃圾，约为0.1t，设置生活垃圾桶收集，定期交由环卫部门清运处置。</w:t>
            </w:r>
          </w:p>
          <w:p w14:paraId="4FA9F873">
            <w:pPr>
              <w:numPr>
                <w:ilvl w:val="0"/>
                <w:numId w:val="0"/>
              </w:numPr>
              <w:topLinePunct/>
              <w:spacing w:line="360" w:lineRule="auto"/>
              <w:ind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szCs w:val="24"/>
                <w:highlight w:val="none"/>
              </w:rPr>
              <w:t>总之，施工期对环境产生的上述影响，均为可逆的、短期的。建设单位和施工单位在施工过程中只要切实强化扬尘、废水、噪声、固体废物的管理和控制措施落实，施工期环境影响将得到有效控制。</w:t>
            </w:r>
          </w:p>
          <w:p w14:paraId="16396ED0">
            <w:pPr>
              <w:numPr>
                <w:ilvl w:val="0"/>
                <w:numId w:val="0"/>
              </w:numPr>
              <w:topLinePunct/>
              <w:spacing w:line="360" w:lineRule="auto"/>
              <w:ind w:firstLine="480" w:firstLineChars="200"/>
              <w:rPr>
                <w:rFonts w:hint="eastAsia" w:ascii="Times New Roman" w:eastAsia="宋体"/>
                <w:color w:val="auto"/>
                <w:sz w:val="24"/>
                <w:highlight w:val="none"/>
              </w:rPr>
            </w:pPr>
            <w:r>
              <w:rPr>
                <w:rFonts w:hint="default" w:ascii="Times New Roman" w:hAnsi="Times New Roman" w:eastAsia="宋体" w:cs="Times New Roman"/>
                <w:color w:val="auto"/>
                <w:sz w:val="24"/>
                <w:highlight w:val="none"/>
              </w:rPr>
              <w:t>综上所述，本项目施工期的影响是暂时的、局部的，随施工的结束而消失，施工期对周边环境影响可接受。</w:t>
            </w:r>
          </w:p>
        </w:tc>
      </w:tr>
      <w:tr w14:paraId="6ED22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0" w:hRule="atLeast"/>
          <w:jc w:val="center"/>
        </w:trPr>
        <w:tc>
          <w:tcPr>
            <w:tcW w:w="746" w:type="dxa"/>
            <w:noWrap w:val="0"/>
            <w:tcMar>
              <w:left w:w="28" w:type="dxa"/>
              <w:right w:w="28" w:type="dxa"/>
            </w:tcMar>
            <w:vAlign w:val="center"/>
          </w:tcPr>
          <w:p w14:paraId="73E50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运营</w:t>
            </w:r>
          </w:p>
          <w:p w14:paraId="4928C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期环</w:t>
            </w:r>
          </w:p>
          <w:p w14:paraId="24C37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境影</w:t>
            </w:r>
          </w:p>
          <w:p w14:paraId="29491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响和</w:t>
            </w:r>
          </w:p>
          <w:p w14:paraId="11C69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保护</w:t>
            </w:r>
          </w:p>
          <w:p w14:paraId="16A773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rFonts w:hint="eastAsia"/>
                <w:color w:val="auto"/>
                <w:highlight w:val="none"/>
              </w:rPr>
              <w:t>措施</w:t>
            </w:r>
          </w:p>
        </w:tc>
        <w:tc>
          <w:tcPr>
            <w:tcW w:w="8162" w:type="dxa"/>
            <w:noWrap w:val="0"/>
            <w:vAlign w:val="center"/>
          </w:tcPr>
          <w:p w14:paraId="69B1B533">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污染源强核算</w:t>
            </w:r>
          </w:p>
          <w:p w14:paraId="2BE9B136">
            <w:pPr>
              <w:bidi w:val="0"/>
              <w:rPr>
                <w:rFonts w:hint="eastAsia"/>
                <w:color w:val="auto"/>
                <w:highlight w:val="none"/>
                <w:lang w:val="en-US" w:eastAsia="zh-CN"/>
              </w:rPr>
            </w:pPr>
            <w:r>
              <w:rPr>
                <w:rFonts w:hint="eastAsia"/>
                <w:color w:val="auto"/>
                <w:highlight w:val="none"/>
                <w:lang w:val="en-US" w:eastAsia="zh-CN"/>
              </w:rPr>
              <w:t>①热处理废气</w:t>
            </w:r>
          </w:p>
          <w:p w14:paraId="35C0C6E6">
            <w:pPr>
              <w:bidi w:val="0"/>
              <w:rPr>
                <w:rFonts w:hint="eastAsia"/>
                <w:color w:val="auto"/>
                <w:highlight w:val="none"/>
                <w:lang w:eastAsia="zh-CN"/>
              </w:rPr>
            </w:pPr>
            <w:r>
              <w:rPr>
                <w:rFonts w:hint="eastAsia"/>
                <w:color w:val="auto"/>
                <w:highlight w:val="none"/>
                <w:lang w:val="en-US" w:eastAsia="zh-CN"/>
              </w:rPr>
              <w:t>本项目热处理工艺采用天然气供热，根据企业提供相关资料，本项目生产线预计年消耗天然气15万m</w:t>
            </w:r>
            <w:r>
              <w:rPr>
                <w:rFonts w:hint="eastAsia"/>
                <w:color w:val="auto"/>
                <w:highlight w:val="none"/>
                <w:vertAlign w:val="superscript"/>
                <w:lang w:val="en-US" w:eastAsia="zh-CN"/>
              </w:rPr>
              <w:t>3</w:t>
            </w:r>
            <w:r>
              <w:rPr>
                <w:rFonts w:hint="eastAsia"/>
                <w:color w:val="auto"/>
                <w:highlight w:val="none"/>
                <w:lang w:val="en-US" w:eastAsia="zh-CN"/>
              </w:rPr>
              <w:t>。根据企业提供相关资料，热处理炉采用低氮燃烧技术，通过合理分配燃料和空气，减少氮氧化物的生成，对氮氧化物的治理效率能达到50%。</w:t>
            </w:r>
            <w:r>
              <w:rPr>
                <w:color w:val="auto"/>
                <w:highlight w:val="none"/>
              </w:rPr>
              <w:t>废气（颗粒物、SO</w:t>
            </w:r>
            <w:r>
              <w:rPr>
                <w:color w:val="auto"/>
                <w:highlight w:val="none"/>
                <w:vertAlign w:val="subscript"/>
              </w:rPr>
              <w:t>2</w:t>
            </w:r>
            <w:r>
              <w:rPr>
                <w:color w:val="auto"/>
                <w:highlight w:val="none"/>
              </w:rPr>
              <w:t>、NO</w:t>
            </w:r>
            <w:r>
              <w:rPr>
                <w:rFonts w:hint="eastAsia"/>
                <w:color w:val="auto"/>
                <w:highlight w:val="none"/>
                <w:lang w:val="en-US" w:eastAsia="zh-CN"/>
              </w:rPr>
              <w:t>x</w:t>
            </w:r>
            <w:r>
              <w:rPr>
                <w:color w:val="auto"/>
                <w:highlight w:val="none"/>
              </w:rPr>
              <w:t>）核算根据</w:t>
            </w:r>
            <w:r>
              <w:rPr>
                <w:rFonts w:hint="eastAsia"/>
                <w:color w:val="auto"/>
                <w:highlight w:val="none"/>
                <w:lang w:val="en-US" w:eastAsia="zh-CN"/>
              </w:rPr>
              <w:t>《排污许可证申请与核发技术规范 汽车制造业》（HJ971-2018）中表46产物系数，本项目热处理工序</w:t>
            </w:r>
            <w:r>
              <w:rPr>
                <w:color w:val="auto"/>
                <w:highlight w:val="none"/>
              </w:rPr>
              <w:t>天然气燃烧污染物产生系数如下</w:t>
            </w:r>
            <w:r>
              <w:rPr>
                <w:rFonts w:hint="eastAsia"/>
                <w:color w:val="auto"/>
                <w:highlight w:val="none"/>
                <w:lang w:eastAsia="zh-CN"/>
              </w:rPr>
              <w:t>。</w:t>
            </w:r>
          </w:p>
          <w:p w14:paraId="0109E825">
            <w:pPr>
              <w:pStyle w:val="58"/>
              <w:bidi w:val="0"/>
              <w:rPr>
                <w:color w:val="auto"/>
                <w:highlight w:val="none"/>
              </w:rPr>
            </w:pPr>
            <w:r>
              <w:rPr>
                <w:rFonts w:hint="eastAsia"/>
                <w:color w:val="auto"/>
                <w:highlight w:val="none"/>
                <w:lang w:val="en-US" w:eastAsia="zh-CN"/>
              </w:rPr>
              <w:t>表4-1     热处理工序</w:t>
            </w:r>
            <w:r>
              <w:rPr>
                <w:color w:val="auto"/>
                <w:highlight w:val="none"/>
              </w:rPr>
              <w:t>天然气燃烧污染物产生系数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3"/>
              <w:gridCol w:w="1694"/>
              <w:gridCol w:w="2344"/>
              <w:gridCol w:w="1325"/>
            </w:tblGrid>
            <w:tr w14:paraId="5349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Align w:val="center"/>
                </w:tcPr>
                <w:p w14:paraId="3035BBC4">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工段名称</w:t>
                  </w:r>
                </w:p>
              </w:tc>
              <w:tc>
                <w:tcPr>
                  <w:tcW w:w="1694" w:type="dxa"/>
                  <w:vAlign w:val="center"/>
                </w:tcPr>
                <w:p w14:paraId="4E7833D6">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污染物指标</w:t>
                  </w:r>
                </w:p>
              </w:tc>
              <w:tc>
                <w:tcPr>
                  <w:tcW w:w="2344" w:type="dxa"/>
                  <w:vAlign w:val="center"/>
                </w:tcPr>
                <w:p w14:paraId="09745ECF">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单位</w:t>
                  </w:r>
                </w:p>
              </w:tc>
              <w:tc>
                <w:tcPr>
                  <w:tcW w:w="1325" w:type="dxa"/>
                  <w:vAlign w:val="center"/>
                </w:tcPr>
                <w:p w14:paraId="7B9723E5">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产污系数</w:t>
                  </w:r>
                </w:p>
              </w:tc>
            </w:tr>
            <w:tr w14:paraId="4867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Merge w:val="restart"/>
                  <w:vAlign w:val="center"/>
                </w:tcPr>
                <w:p w14:paraId="46040A0A">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整体热处理（正火/退火）</w:t>
                  </w:r>
                </w:p>
              </w:tc>
              <w:tc>
                <w:tcPr>
                  <w:tcW w:w="1694" w:type="dxa"/>
                  <w:vAlign w:val="center"/>
                </w:tcPr>
                <w:p w14:paraId="631E92B1">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废气量</w:t>
                  </w:r>
                </w:p>
              </w:tc>
              <w:tc>
                <w:tcPr>
                  <w:tcW w:w="2344" w:type="dxa"/>
                  <w:vAlign w:val="center"/>
                </w:tcPr>
                <w:p w14:paraId="13370A9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立方米/万立方米-原料</w:t>
                  </w:r>
                </w:p>
              </w:tc>
              <w:tc>
                <w:tcPr>
                  <w:tcW w:w="1325" w:type="dxa"/>
                  <w:vAlign w:val="center"/>
                </w:tcPr>
                <w:p w14:paraId="7B086128">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136000</w:t>
                  </w:r>
                </w:p>
              </w:tc>
            </w:tr>
            <w:tr w14:paraId="2822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Merge w:val="continue"/>
                  <w:vAlign w:val="center"/>
                </w:tcPr>
                <w:p w14:paraId="183427C2">
                  <w:pPr>
                    <w:pStyle w:val="53"/>
                    <w:bidi w:val="0"/>
                    <w:jc w:val="center"/>
                    <w:rPr>
                      <w:rFonts w:hint="default"/>
                      <w:color w:val="auto"/>
                      <w:highlight w:val="none"/>
                      <w:vertAlign w:val="baseline"/>
                      <w:lang w:val="en-US" w:eastAsia="zh-CN"/>
                    </w:rPr>
                  </w:pPr>
                </w:p>
              </w:tc>
              <w:tc>
                <w:tcPr>
                  <w:tcW w:w="1694" w:type="dxa"/>
                  <w:vAlign w:val="center"/>
                </w:tcPr>
                <w:p w14:paraId="6677D2AF">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lang w:val="en-US" w:eastAsia="zh-CN"/>
                    </w:rPr>
                    <w:t>SO</w:t>
                  </w:r>
                  <w:r>
                    <w:rPr>
                      <w:rFonts w:hint="eastAsia"/>
                      <w:color w:val="auto"/>
                      <w:highlight w:val="none"/>
                      <w:vertAlign w:val="subscript"/>
                      <w:lang w:val="en-US" w:eastAsia="zh-CN"/>
                    </w:rPr>
                    <w:t>2</w:t>
                  </w:r>
                </w:p>
              </w:tc>
              <w:tc>
                <w:tcPr>
                  <w:tcW w:w="2344" w:type="dxa"/>
                  <w:vAlign w:val="center"/>
                </w:tcPr>
                <w:p w14:paraId="5648E2A0">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千克/万立方米-原料</w:t>
                  </w:r>
                </w:p>
              </w:tc>
              <w:tc>
                <w:tcPr>
                  <w:tcW w:w="1325" w:type="dxa"/>
                  <w:vAlign w:val="center"/>
                </w:tcPr>
                <w:p w14:paraId="3D705499">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0.02S</w:t>
                  </w:r>
                </w:p>
              </w:tc>
            </w:tr>
            <w:tr w14:paraId="3B28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Merge w:val="continue"/>
                  <w:vAlign w:val="center"/>
                </w:tcPr>
                <w:p w14:paraId="2856DA6B">
                  <w:pPr>
                    <w:pStyle w:val="53"/>
                    <w:bidi w:val="0"/>
                    <w:jc w:val="center"/>
                    <w:rPr>
                      <w:rFonts w:hint="default"/>
                      <w:color w:val="auto"/>
                      <w:highlight w:val="none"/>
                      <w:vertAlign w:val="baseline"/>
                      <w:lang w:val="en-US" w:eastAsia="zh-CN"/>
                    </w:rPr>
                  </w:pPr>
                </w:p>
              </w:tc>
              <w:tc>
                <w:tcPr>
                  <w:tcW w:w="1694" w:type="dxa"/>
                  <w:vAlign w:val="center"/>
                </w:tcPr>
                <w:p w14:paraId="42F4FD99">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lang w:val="en-US" w:eastAsia="zh-CN"/>
                    </w:rPr>
                    <w:t>颗粒物</w:t>
                  </w:r>
                </w:p>
              </w:tc>
              <w:tc>
                <w:tcPr>
                  <w:tcW w:w="2344" w:type="dxa"/>
                  <w:vAlign w:val="center"/>
                </w:tcPr>
                <w:p w14:paraId="7065DBAF">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千克/万立方米-原料</w:t>
                  </w:r>
                </w:p>
              </w:tc>
              <w:tc>
                <w:tcPr>
                  <w:tcW w:w="1325" w:type="dxa"/>
                  <w:vAlign w:val="center"/>
                </w:tcPr>
                <w:p w14:paraId="7BE04D0B">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2.86</w:t>
                  </w:r>
                </w:p>
              </w:tc>
            </w:tr>
            <w:tr w14:paraId="36F7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Merge w:val="continue"/>
                  <w:vAlign w:val="center"/>
                </w:tcPr>
                <w:p w14:paraId="47152BB4">
                  <w:pPr>
                    <w:pStyle w:val="53"/>
                    <w:bidi w:val="0"/>
                    <w:jc w:val="center"/>
                    <w:rPr>
                      <w:rFonts w:hint="default"/>
                      <w:color w:val="auto"/>
                      <w:highlight w:val="none"/>
                      <w:vertAlign w:val="baseline"/>
                      <w:lang w:val="en-US" w:eastAsia="zh-CN"/>
                    </w:rPr>
                  </w:pPr>
                </w:p>
              </w:tc>
              <w:tc>
                <w:tcPr>
                  <w:tcW w:w="1694" w:type="dxa"/>
                  <w:vAlign w:val="center"/>
                </w:tcPr>
                <w:p w14:paraId="587EF995">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lang w:val="en-US" w:eastAsia="zh-CN"/>
                    </w:rPr>
                    <w:t>NO</w:t>
                  </w:r>
                  <w:r>
                    <w:rPr>
                      <w:rFonts w:hint="eastAsia"/>
                      <w:color w:val="auto"/>
                      <w:highlight w:val="none"/>
                      <w:vertAlign w:val="subscript"/>
                      <w:lang w:val="en-US" w:eastAsia="zh-CN"/>
                    </w:rPr>
                    <w:t>x</w:t>
                  </w:r>
                </w:p>
              </w:tc>
              <w:tc>
                <w:tcPr>
                  <w:tcW w:w="2344" w:type="dxa"/>
                  <w:vAlign w:val="center"/>
                </w:tcPr>
                <w:p w14:paraId="27255B5D">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千克/万立方米-原料</w:t>
                  </w:r>
                </w:p>
              </w:tc>
              <w:tc>
                <w:tcPr>
                  <w:tcW w:w="1325" w:type="dxa"/>
                  <w:vAlign w:val="center"/>
                </w:tcPr>
                <w:p w14:paraId="2AD39884">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9.36</w:t>
                  </w:r>
                </w:p>
              </w:tc>
            </w:tr>
            <w:tr w14:paraId="0619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Merge w:val="restart"/>
                  <w:shd w:val="clear" w:color="auto" w:fill="auto"/>
                  <w:vAlign w:val="center"/>
                </w:tcPr>
                <w:p w14:paraId="646EB4E2">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整体热处理（淬火/回火）</w:t>
                  </w:r>
                </w:p>
              </w:tc>
              <w:tc>
                <w:tcPr>
                  <w:tcW w:w="1694" w:type="dxa"/>
                  <w:vAlign w:val="center"/>
                </w:tcPr>
                <w:p w14:paraId="3205A052">
                  <w:pPr>
                    <w:pStyle w:val="53"/>
                    <w:bidi w:val="0"/>
                    <w:ind w:left="0" w:leftChars="0" w:firstLine="0" w:firstLineChars="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废气量</w:t>
                  </w:r>
                </w:p>
              </w:tc>
              <w:tc>
                <w:tcPr>
                  <w:tcW w:w="2344" w:type="dxa"/>
                  <w:vAlign w:val="center"/>
                </w:tcPr>
                <w:p w14:paraId="4A60A49B">
                  <w:pPr>
                    <w:pStyle w:val="53"/>
                    <w:bidi w:val="0"/>
                    <w:ind w:left="0" w:leftChars="0" w:firstLine="0" w:firstLineChars="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立方米/吨-产品</w:t>
                  </w:r>
                </w:p>
              </w:tc>
              <w:tc>
                <w:tcPr>
                  <w:tcW w:w="1325" w:type="dxa"/>
                  <w:vAlign w:val="center"/>
                </w:tcPr>
                <w:p w14:paraId="2623A12E">
                  <w:pPr>
                    <w:pStyle w:val="53"/>
                    <w:bidi w:val="0"/>
                    <w:ind w:left="0" w:leftChars="0" w:firstLine="0" w:firstLineChars="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100</w:t>
                  </w:r>
                </w:p>
              </w:tc>
            </w:tr>
            <w:tr w14:paraId="68B5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3" w:type="dxa"/>
                  <w:vMerge w:val="continue"/>
                  <w:vAlign w:val="center"/>
                </w:tcPr>
                <w:p w14:paraId="31697864">
                  <w:pPr>
                    <w:pStyle w:val="53"/>
                    <w:bidi w:val="0"/>
                    <w:jc w:val="center"/>
                    <w:rPr>
                      <w:rFonts w:hint="default"/>
                      <w:color w:val="auto"/>
                      <w:highlight w:val="none"/>
                      <w:vertAlign w:val="baseline"/>
                      <w:lang w:val="en-US" w:eastAsia="zh-CN"/>
                    </w:rPr>
                  </w:pPr>
                </w:p>
              </w:tc>
              <w:tc>
                <w:tcPr>
                  <w:tcW w:w="1694" w:type="dxa"/>
                  <w:vAlign w:val="center"/>
                </w:tcPr>
                <w:p w14:paraId="6B81E1D5">
                  <w:pPr>
                    <w:pStyle w:val="53"/>
                    <w:bidi w:val="0"/>
                    <w:ind w:left="0" w:leftChars="0" w:firstLine="0" w:firstLineChars="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颗粒物</w:t>
                  </w:r>
                </w:p>
              </w:tc>
              <w:tc>
                <w:tcPr>
                  <w:tcW w:w="2344" w:type="dxa"/>
                  <w:vAlign w:val="center"/>
                </w:tcPr>
                <w:p w14:paraId="5E33569F">
                  <w:pPr>
                    <w:pStyle w:val="53"/>
                    <w:bidi w:val="0"/>
                    <w:ind w:left="0" w:leftChars="0" w:firstLine="0" w:firstLineChars="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千克/吨-原料</w:t>
                  </w:r>
                </w:p>
              </w:tc>
              <w:tc>
                <w:tcPr>
                  <w:tcW w:w="1325" w:type="dxa"/>
                  <w:vAlign w:val="center"/>
                </w:tcPr>
                <w:p w14:paraId="40573328">
                  <w:pPr>
                    <w:pStyle w:val="53"/>
                    <w:bidi w:val="0"/>
                    <w:ind w:left="0" w:leftChars="0" w:firstLine="0" w:firstLineChars="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200</w:t>
                  </w:r>
                </w:p>
              </w:tc>
            </w:tr>
            <w:tr w14:paraId="3707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6" w:type="dxa"/>
                  <w:gridSpan w:val="4"/>
                  <w:vAlign w:val="center"/>
                </w:tcPr>
                <w:p w14:paraId="7CB713E8">
                  <w:pPr>
                    <w:pStyle w:val="53"/>
                    <w:bidi w:val="0"/>
                    <w:jc w:val="left"/>
                    <w:rPr>
                      <w:rFonts w:hint="eastAsia"/>
                      <w:b/>
                      <w:bCs/>
                      <w:color w:val="auto"/>
                      <w:sz w:val="18"/>
                      <w:szCs w:val="16"/>
                      <w:highlight w:val="none"/>
                      <w:vertAlign w:val="baseline"/>
                      <w:lang w:val="en-US" w:eastAsia="zh-CN"/>
                    </w:rPr>
                  </w:pPr>
                  <w:r>
                    <w:rPr>
                      <w:rFonts w:hint="eastAsia"/>
                      <w:b/>
                      <w:bCs/>
                      <w:color w:val="auto"/>
                      <w:sz w:val="18"/>
                      <w:szCs w:val="16"/>
                      <w:highlight w:val="none"/>
                      <w:vertAlign w:val="baseline"/>
                      <w:lang w:val="en-US" w:eastAsia="zh-CN"/>
                    </w:rPr>
                    <w:t>S——收到基硫分（取值范围0-100，燃料为气体时，取值范围&gt;=0）。</w:t>
                  </w:r>
                </w:p>
                <w:p w14:paraId="63E5FD9E">
                  <w:pPr>
                    <w:pStyle w:val="53"/>
                    <w:bidi w:val="0"/>
                    <w:jc w:val="left"/>
                    <w:rPr>
                      <w:rFonts w:hint="eastAsia"/>
                      <w:color w:val="auto"/>
                      <w:highlight w:val="none"/>
                      <w:vertAlign w:val="baseline"/>
                      <w:lang w:val="en-US" w:eastAsia="zh-CN"/>
                    </w:rPr>
                  </w:pPr>
                  <w:r>
                    <w:rPr>
                      <w:rFonts w:hint="eastAsia"/>
                      <w:b/>
                      <w:bCs/>
                      <w:color w:val="auto"/>
                      <w:sz w:val="18"/>
                      <w:szCs w:val="16"/>
                      <w:highlight w:val="none"/>
                      <w:vertAlign w:val="baseline"/>
                      <w:lang w:val="en-US" w:eastAsia="zh-CN"/>
                    </w:rPr>
                    <w:t>根据《天然气标准》（GB17820-2018），含硫量≤100mg/m</w:t>
                  </w:r>
                  <w:r>
                    <w:rPr>
                      <w:rFonts w:hint="eastAsia"/>
                      <w:b/>
                      <w:bCs/>
                      <w:color w:val="auto"/>
                      <w:sz w:val="18"/>
                      <w:szCs w:val="16"/>
                      <w:highlight w:val="none"/>
                      <w:vertAlign w:val="superscript"/>
                      <w:lang w:val="en-US" w:eastAsia="zh-CN"/>
                    </w:rPr>
                    <w:t>3</w:t>
                  </w:r>
                  <w:r>
                    <w:rPr>
                      <w:rFonts w:hint="eastAsia"/>
                      <w:b/>
                      <w:bCs/>
                      <w:color w:val="auto"/>
                      <w:sz w:val="18"/>
                      <w:szCs w:val="16"/>
                      <w:highlight w:val="none"/>
                      <w:vertAlign w:val="baseline"/>
                      <w:lang w:val="en-US" w:eastAsia="zh-CN"/>
                    </w:rPr>
                    <w:t>，按最大产生量考虑。故本次环评取100mg/m</w:t>
                  </w:r>
                  <w:r>
                    <w:rPr>
                      <w:rFonts w:hint="eastAsia"/>
                      <w:b/>
                      <w:bCs/>
                      <w:color w:val="auto"/>
                      <w:sz w:val="18"/>
                      <w:szCs w:val="16"/>
                      <w:highlight w:val="none"/>
                      <w:vertAlign w:val="superscript"/>
                      <w:lang w:val="en-US" w:eastAsia="zh-CN"/>
                    </w:rPr>
                    <w:t>3</w:t>
                  </w:r>
                  <w:r>
                    <w:rPr>
                      <w:rFonts w:hint="eastAsia"/>
                      <w:b/>
                      <w:bCs/>
                      <w:color w:val="auto"/>
                      <w:sz w:val="18"/>
                      <w:szCs w:val="16"/>
                      <w:highlight w:val="none"/>
                      <w:vertAlign w:val="baseline"/>
                      <w:lang w:val="en-US" w:eastAsia="zh-CN"/>
                    </w:rPr>
                    <w:t>，则S=100。</w:t>
                  </w:r>
                </w:p>
              </w:tc>
            </w:tr>
          </w:tbl>
          <w:p w14:paraId="3E4ED6EB">
            <w:pPr>
              <w:bidi w:val="0"/>
              <w:rPr>
                <w:rFonts w:hint="eastAsia"/>
                <w:color w:val="auto"/>
                <w:highlight w:val="none"/>
                <w:lang w:val="en-US" w:eastAsia="zh-CN"/>
              </w:rPr>
            </w:pPr>
            <w:r>
              <w:rPr>
                <w:rFonts w:hint="eastAsia"/>
                <w:color w:val="auto"/>
                <w:highlight w:val="none"/>
                <w:lang w:val="en-US" w:eastAsia="zh-CN"/>
              </w:rPr>
              <w:t>热处理废气中污染物浓度详见表4-2。</w:t>
            </w:r>
          </w:p>
          <w:p w14:paraId="674CED0B">
            <w:pPr>
              <w:pStyle w:val="58"/>
              <w:bidi w:val="0"/>
              <w:rPr>
                <w:rFonts w:hint="default"/>
                <w:color w:val="auto"/>
                <w:highlight w:val="none"/>
                <w:lang w:val="en-US" w:eastAsia="zh-CN"/>
              </w:rPr>
            </w:pPr>
            <w:r>
              <w:rPr>
                <w:rFonts w:hint="eastAsia"/>
                <w:color w:val="auto"/>
                <w:highlight w:val="none"/>
                <w:lang w:val="en-US" w:eastAsia="zh-CN"/>
              </w:rPr>
              <w:t>表4-2     等温正火工序废气产生及排放情况一览表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885"/>
              <w:gridCol w:w="870"/>
              <w:gridCol w:w="727"/>
              <w:gridCol w:w="854"/>
              <w:gridCol w:w="1074"/>
              <w:gridCol w:w="1075"/>
              <w:gridCol w:w="1780"/>
            </w:tblGrid>
            <w:tr w14:paraId="7B1A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 w:type="dxa"/>
                  <w:vAlign w:val="center"/>
                </w:tcPr>
                <w:p w14:paraId="24F80E0E">
                  <w:pPr>
                    <w:pStyle w:val="53"/>
                    <w:bidi w:val="0"/>
                    <w:jc w:val="center"/>
                    <w:rPr>
                      <w:rFonts w:hint="default"/>
                      <w:b/>
                      <w:bCs w:val="0"/>
                      <w:color w:val="auto"/>
                      <w:highlight w:val="none"/>
                      <w:lang w:val="en-US" w:eastAsia="zh-CN"/>
                    </w:rPr>
                  </w:pPr>
                  <w:r>
                    <w:rPr>
                      <w:rFonts w:hint="eastAsia"/>
                      <w:b/>
                      <w:bCs w:val="0"/>
                      <w:color w:val="auto"/>
                      <w:highlight w:val="none"/>
                      <w:lang w:val="en-US" w:eastAsia="zh-CN"/>
                    </w:rPr>
                    <w:t>废气源</w:t>
                  </w:r>
                </w:p>
              </w:tc>
              <w:tc>
                <w:tcPr>
                  <w:tcW w:w="884" w:type="dxa"/>
                  <w:vAlign w:val="center"/>
                </w:tcPr>
                <w:p w14:paraId="249DA689">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污染物</w:t>
                  </w:r>
                </w:p>
              </w:tc>
              <w:tc>
                <w:tcPr>
                  <w:tcW w:w="869" w:type="dxa"/>
                  <w:vAlign w:val="center"/>
                </w:tcPr>
                <w:p w14:paraId="35F66F6C">
                  <w:pPr>
                    <w:pStyle w:val="53"/>
                    <w:bidi w:val="0"/>
                    <w:jc w:val="center"/>
                    <w:rPr>
                      <w:rFonts w:hint="default"/>
                      <w:b/>
                      <w:bCs w:val="0"/>
                      <w:color w:val="auto"/>
                      <w:highlight w:val="none"/>
                      <w:lang w:val="en-US" w:eastAsia="zh-CN"/>
                    </w:rPr>
                  </w:pPr>
                  <w:r>
                    <w:rPr>
                      <w:rFonts w:hint="eastAsia"/>
                      <w:b/>
                      <w:bCs w:val="0"/>
                      <w:color w:val="auto"/>
                      <w:highlight w:val="none"/>
                      <w:lang w:val="en-US" w:eastAsia="zh-CN"/>
                    </w:rPr>
                    <w:t>产生量(t/a)</w:t>
                  </w:r>
                </w:p>
              </w:tc>
              <w:tc>
                <w:tcPr>
                  <w:tcW w:w="726" w:type="dxa"/>
                  <w:vAlign w:val="center"/>
                </w:tcPr>
                <w:p w14:paraId="3E851880">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排放形式</w:t>
                  </w:r>
                </w:p>
              </w:tc>
              <w:tc>
                <w:tcPr>
                  <w:tcW w:w="853" w:type="dxa"/>
                  <w:vAlign w:val="center"/>
                </w:tcPr>
                <w:p w14:paraId="7F3142F1">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排放量(t/a)</w:t>
                  </w:r>
                </w:p>
              </w:tc>
              <w:tc>
                <w:tcPr>
                  <w:tcW w:w="1073" w:type="dxa"/>
                  <w:vAlign w:val="center"/>
                </w:tcPr>
                <w:p w14:paraId="1B9EFE5E">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排放速率(kg/h)</w:t>
                  </w:r>
                </w:p>
              </w:tc>
              <w:tc>
                <w:tcPr>
                  <w:tcW w:w="1074" w:type="dxa"/>
                  <w:vAlign w:val="center"/>
                </w:tcPr>
                <w:p w14:paraId="4B7E85C7">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排放浓度(mg/m</w:t>
                  </w:r>
                  <w:r>
                    <w:rPr>
                      <w:rFonts w:hint="eastAsia"/>
                      <w:b/>
                      <w:bCs w:val="0"/>
                      <w:color w:val="auto"/>
                      <w:highlight w:val="none"/>
                      <w:vertAlign w:val="superscript"/>
                      <w:lang w:val="en-US" w:eastAsia="zh-CN"/>
                    </w:rPr>
                    <w:t>3</w:t>
                  </w:r>
                  <w:r>
                    <w:rPr>
                      <w:rFonts w:hint="eastAsia"/>
                      <w:b/>
                      <w:bCs w:val="0"/>
                      <w:color w:val="auto"/>
                      <w:highlight w:val="none"/>
                      <w:lang w:val="en-US" w:eastAsia="zh-CN"/>
                    </w:rPr>
                    <w:t>)</w:t>
                  </w:r>
                </w:p>
              </w:tc>
              <w:tc>
                <w:tcPr>
                  <w:tcW w:w="1777" w:type="dxa"/>
                  <w:vAlign w:val="center"/>
                </w:tcPr>
                <w:p w14:paraId="36D7F39B">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治理措施</w:t>
                  </w:r>
                </w:p>
              </w:tc>
            </w:tr>
            <w:tr w14:paraId="15C9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 w:type="dxa"/>
                  <w:vMerge w:val="restart"/>
                  <w:vAlign w:val="center"/>
                </w:tcPr>
                <w:p w14:paraId="5850D684">
                  <w:pPr>
                    <w:pStyle w:val="53"/>
                    <w:bidi w:val="0"/>
                    <w:ind w:left="0" w:leftChars="0" w:firstLine="0" w:firstLineChars="0"/>
                    <w:jc w:val="center"/>
                    <w:rPr>
                      <w:rFonts w:hint="default"/>
                      <w:color w:val="auto"/>
                      <w:highlight w:val="none"/>
                      <w:lang w:val="en-US" w:eastAsia="zh-CN"/>
                    </w:rPr>
                  </w:pPr>
                  <w:r>
                    <w:rPr>
                      <w:rFonts w:hint="eastAsia"/>
                      <w:color w:val="auto"/>
                      <w:highlight w:val="none"/>
                      <w:vertAlign w:val="baseline"/>
                      <w:lang w:val="en-US" w:eastAsia="zh-CN"/>
                    </w:rPr>
                    <w:t>等温正火废气</w:t>
                  </w:r>
                </w:p>
              </w:tc>
              <w:tc>
                <w:tcPr>
                  <w:tcW w:w="884" w:type="dxa"/>
                  <w:vAlign w:val="center"/>
                </w:tcPr>
                <w:p w14:paraId="0FB7E0AA">
                  <w:pPr>
                    <w:pStyle w:val="53"/>
                    <w:bidi w:val="0"/>
                    <w:jc w:val="center"/>
                    <w:rPr>
                      <w:rFonts w:hint="default"/>
                      <w:color w:val="auto"/>
                      <w:highlight w:val="none"/>
                      <w:lang w:val="en-US" w:eastAsia="zh-CN"/>
                    </w:rPr>
                  </w:pPr>
                  <w:r>
                    <w:rPr>
                      <w:rFonts w:hint="eastAsia"/>
                      <w:color w:val="auto"/>
                      <w:highlight w:val="none"/>
                      <w:lang w:val="en-US" w:eastAsia="zh-CN"/>
                    </w:rPr>
                    <w:t>废气量</w:t>
                  </w:r>
                </w:p>
              </w:tc>
              <w:tc>
                <w:tcPr>
                  <w:tcW w:w="869" w:type="dxa"/>
                  <w:vAlign w:val="center"/>
                </w:tcPr>
                <w:p w14:paraId="24528CC0">
                  <w:pPr>
                    <w:pStyle w:val="53"/>
                    <w:bidi w:val="0"/>
                    <w:jc w:val="center"/>
                    <w:rPr>
                      <w:rFonts w:hint="default"/>
                      <w:color w:val="auto"/>
                      <w:highlight w:val="none"/>
                      <w:vertAlign w:val="baseline"/>
                      <w:lang w:val="en-US" w:eastAsia="zh-CN"/>
                    </w:rPr>
                  </w:pPr>
                  <w:r>
                    <w:rPr>
                      <w:rFonts w:hint="eastAsia" w:cs="Times New Roman"/>
                      <w:color w:val="auto"/>
                      <w:highlight w:val="none"/>
                      <w:lang w:val="en-US" w:eastAsia="zh-CN"/>
                    </w:rPr>
                    <w:t>234</w:t>
                  </w:r>
                  <w:r>
                    <w:rPr>
                      <w:rFonts w:hint="eastAsia" w:ascii="Times New Roman" w:hAnsi="Times New Roman" w:cs="Times New Roman"/>
                      <w:color w:val="auto"/>
                      <w:highlight w:val="none"/>
                      <w:lang w:val="en-US" w:eastAsia="zh-CN"/>
                    </w:rPr>
                    <w:t>万</w:t>
                  </w:r>
                  <w:r>
                    <w:rPr>
                      <w:rFonts w:hint="default" w:ascii="Times New Roman" w:hAnsi="Times New Roman" w:cs="Times New Roman"/>
                      <w:color w:val="auto"/>
                      <w:highlight w:val="none"/>
                      <w:vertAlign w:val="baseli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/a</w:t>
                  </w:r>
                </w:p>
              </w:tc>
              <w:tc>
                <w:tcPr>
                  <w:tcW w:w="726" w:type="dxa"/>
                  <w:vMerge w:val="restart"/>
                  <w:vAlign w:val="center"/>
                </w:tcPr>
                <w:p w14:paraId="30ABD5B0">
                  <w:pPr>
                    <w:pStyle w:val="53"/>
                    <w:bidi w:val="0"/>
                    <w:jc w:val="center"/>
                    <w:rPr>
                      <w:rFonts w:hint="default"/>
                      <w:color w:val="auto"/>
                      <w:highlight w:val="none"/>
                      <w:lang w:val="en-US" w:eastAsia="zh-CN"/>
                    </w:rPr>
                  </w:pPr>
                  <w:r>
                    <w:rPr>
                      <w:rFonts w:hint="eastAsia"/>
                      <w:color w:val="auto"/>
                      <w:highlight w:val="none"/>
                      <w:lang w:val="en-US" w:eastAsia="zh-CN"/>
                    </w:rPr>
                    <w:t>有组织</w:t>
                  </w:r>
                </w:p>
              </w:tc>
              <w:tc>
                <w:tcPr>
                  <w:tcW w:w="853" w:type="dxa"/>
                  <w:vAlign w:val="center"/>
                </w:tcPr>
                <w:p w14:paraId="19770982">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r>
                    <w:rPr>
                      <w:rFonts w:hint="eastAsia" w:cs="Times New Roman"/>
                      <w:color w:val="auto"/>
                      <w:highlight w:val="none"/>
                      <w:lang w:val="en-US" w:eastAsia="zh-CN"/>
                    </w:rPr>
                    <w:t>234</w:t>
                  </w:r>
                  <w:r>
                    <w:rPr>
                      <w:rFonts w:hint="eastAsia" w:ascii="Times New Roman" w:hAnsi="Times New Roman" w:cs="Times New Roman"/>
                      <w:color w:val="auto"/>
                      <w:highlight w:val="none"/>
                      <w:lang w:val="en-US" w:eastAsia="zh-CN"/>
                    </w:rPr>
                    <w:t>万</w:t>
                  </w:r>
                  <w:r>
                    <w:rPr>
                      <w:rFonts w:hint="default" w:ascii="Times New Roman" w:hAnsi="Times New Roman" w:cs="Times New Roman"/>
                      <w:color w:val="auto"/>
                      <w:highlight w:val="none"/>
                      <w:vertAlign w:val="baseli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/a</w:t>
                  </w:r>
                </w:p>
              </w:tc>
              <w:tc>
                <w:tcPr>
                  <w:tcW w:w="1073" w:type="dxa"/>
                  <w:vAlign w:val="center"/>
                </w:tcPr>
                <w:p w14:paraId="6423ED8D">
                  <w:pPr>
                    <w:pStyle w:val="53"/>
                    <w:bidi w:val="0"/>
                    <w:jc w:val="center"/>
                    <w:rPr>
                      <w:rFonts w:hint="default"/>
                      <w:color w:val="auto"/>
                      <w:highlight w:val="none"/>
                      <w:lang w:val="en-US" w:eastAsia="zh-CN"/>
                    </w:rPr>
                  </w:pPr>
                  <w:r>
                    <w:rPr>
                      <w:rFonts w:hint="eastAsia"/>
                      <w:color w:val="auto"/>
                      <w:highlight w:val="none"/>
                      <w:lang w:val="en-US" w:eastAsia="zh-CN"/>
                    </w:rPr>
                    <w:t>/</w:t>
                  </w:r>
                </w:p>
              </w:tc>
              <w:tc>
                <w:tcPr>
                  <w:tcW w:w="1074" w:type="dxa"/>
                  <w:vAlign w:val="center"/>
                </w:tcPr>
                <w:p w14:paraId="0FAF0524">
                  <w:pPr>
                    <w:pStyle w:val="53"/>
                    <w:bidi w:val="0"/>
                    <w:jc w:val="center"/>
                    <w:rPr>
                      <w:rFonts w:hint="default"/>
                      <w:color w:val="auto"/>
                      <w:highlight w:val="none"/>
                      <w:lang w:val="en-US" w:eastAsia="zh-CN"/>
                    </w:rPr>
                  </w:pPr>
                  <w:r>
                    <w:rPr>
                      <w:rFonts w:hint="eastAsia"/>
                      <w:color w:val="auto"/>
                      <w:highlight w:val="none"/>
                      <w:lang w:val="en-US" w:eastAsia="zh-CN"/>
                    </w:rPr>
                    <w:t>/</w:t>
                  </w:r>
                </w:p>
              </w:tc>
              <w:tc>
                <w:tcPr>
                  <w:tcW w:w="1777" w:type="dxa"/>
                  <w:vMerge w:val="restart"/>
                  <w:vAlign w:val="center"/>
                </w:tcPr>
                <w:p w14:paraId="35791129">
                  <w:pPr>
                    <w:pStyle w:val="53"/>
                    <w:bidi w:val="0"/>
                    <w:jc w:val="center"/>
                    <w:rPr>
                      <w:rFonts w:hint="default"/>
                      <w:color w:val="auto"/>
                      <w:highlight w:val="none"/>
                      <w:lang w:val="en-US" w:eastAsia="zh-CN"/>
                    </w:rPr>
                  </w:pPr>
                  <w:r>
                    <w:rPr>
                      <w:rFonts w:hint="eastAsia"/>
                      <w:color w:val="auto"/>
                      <w:highlight w:val="none"/>
                      <w:lang w:val="en-US" w:eastAsia="zh-CN"/>
                    </w:rPr>
                    <w:t>采用低氮燃烧法（治理效率50%），</w:t>
                  </w:r>
                  <w:r>
                    <w:rPr>
                      <w:rFonts w:hint="eastAsia"/>
                      <w:color w:val="auto"/>
                      <w:lang w:val="en-US" w:eastAsia="zh-CN"/>
                    </w:rPr>
                    <w:t>经油雾净化器（颗粒物处理效率90%）处理后15m高排气筒（DA001）排放</w:t>
                  </w:r>
                </w:p>
              </w:tc>
            </w:tr>
            <w:tr w14:paraId="6BF1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 w:type="dxa"/>
                  <w:vMerge w:val="continue"/>
                  <w:vAlign w:val="center"/>
                </w:tcPr>
                <w:p w14:paraId="61CBBD8B">
                  <w:pPr>
                    <w:pStyle w:val="53"/>
                    <w:bidi w:val="0"/>
                    <w:jc w:val="center"/>
                    <w:rPr>
                      <w:rFonts w:hint="eastAsia"/>
                      <w:color w:val="auto"/>
                      <w:highlight w:val="none"/>
                      <w:lang w:val="en-US" w:eastAsia="zh-CN"/>
                    </w:rPr>
                  </w:pPr>
                </w:p>
              </w:tc>
              <w:tc>
                <w:tcPr>
                  <w:tcW w:w="884" w:type="dxa"/>
                  <w:vAlign w:val="center"/>
                </w:tcPr>
                <w:p w14:paraId="6779983A">
                  <w:pPr>
                    <w:pStyle w:val="53"/>
                    <w:bidi w:val="0"/>
                    <w:jc w:val="center"/>
                    <w:rPr>
                      <w:rFonts w:hint="default"/>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869" w:type="dxa"/>
                  <w:vAlign w:val="center"/>
                </w:tcPr>
                <w:p w14:paraId="64AE30E5">
                  <w:pPr>
                    <w:pStyle w:val="53"/>
                    <w:bidi w:val="0"/>
                    <w:jc w:val="center"/>
                    <w:rPr>
                      <w:rFonts w:hint="default"/>
                      <w:color w:val="auto"/>
                      <w:highlight w:val="none"/>
                      <w:lang w:val="en-US" w:eastAsia="zh-CN"/>
                    </w:rPr>
                  </w:pPr>
                  <w:r>
                    <w:rPr>
                      <w:rFonts w:hint="eastAsia"/>
                      <w:color w:val="auto"/>
                      <w:highlight w:val="none"/>
                      <w:lang w:val="en-US" w:eastAsia="zh-CN"/>
                    </w:rPr>
                    <w:t>0.030</w:t>
                  </w:r>
                </w:p>
              </w:tc>
              <w:tc>
                <w:tcPr>
                  <w:tcW w:w="726" w:type="dxa"/>
                  <w:vMerge w:val="continue"/>
                  <w:vAlign w:val="center"/>
                </w:tcPr>
                <w:p w14:paraId="13D99320">
                  <w:pPr>
                    <w:pStyle w:val="53"/>
                    <w:bidi w:val="0"/>
                    <w:jc w:val="center"/>
                    <w:rPr>
                      <w:rFonts w:hint="eastAsia"/>
                      <w:color w:val="auto"/>
                      <w:highlight w:val="none"/>
                      <w:lang w:val="en-US" w:eastAsia="zh-CN"/>
                    </w:rPr>
                  </w:pPr>
                </w:p>
              </w:tc>
              <w:tc>
                <w:tcPr>
                  <w:tcW w:w="853" w:type="dxa"/>
                  <w:vAlign w:val="center"/>
                </w:tcPr>
                <w:p w14:paraId="366122CF">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0.030</w:t>
                  </w:r>
                </w:p>
              </w:tc>
              <w:tc>
                <w:tcPr>
                  <w:tcW w:w="1073" w:type="dxa"/>
                  <w:vAlign w:val="center"/>
                </w:tcPr>
                <w:p w14:paraId="2BF7C2A0">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0.0125</w:t>
                  </w:r>
                </w:p>
              </w:tc>
              <w:tc>
                <w:tcPr>
                  <w:tcW w:w="1074" w:type="dxa"/>
                  <w:vAlign w:val="center"/>
                </w:tcPr>
                <w:p w14:paraId="25A219E8">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12.82</w:t>
                  </w:r>
                </w:p>
              </w:tc>
              <w:tc>
                <w:tcPr>
                  <w:tcW w:w="1777" w:type="dxa"/>
                  <w:vMerge w:val="continue"/>
                  <w:vAlign w:val="center"/>
                </w:tcPr>
                <w:p w14:paraId="16A35C5E">
                  <w:pPr>
                    <w:pStyle w:val="53"/>
                    <w:bidi w:val="0"/>
                    <w:jc w:val="center"/>
                    <w:rPr>
                      <w:rFonts w:hint="default"/>
                      <w:color w:val="auto"/>
                      <w:highlight w:val="none"/>
                      <w:lang w:val="en-US" w:eastAsia="zh-CN"/>
                    </w:rPr>
                  </w:pPr>
                </w:p>
              </w:tc>
            </w:tr>
            <w:tr w14:paraId="130C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 w:type="dxa"/>
                  <w:vMerge w:val="continue"/>
                  <w:vAlign w:val="center"/>
                </w:tcPr>
                <w:p w14:paraId="3E674012">
                  <w:pPr>
                    <w:pStyle w:val="53"/>
                    <w:bidi w:val="0"/>
                    <w:jc w:val="center"/>
                    <w:rPr>
                      <w:rFonts w:hint="eastAsia"/>
                      <w:color w:val="auto"/>
                      <w:highlight w:val="none"/>
                      <w:lang w:val="en-US" w:eastAsia="zh-CN"/>
                    </w:rPr>
                  </w:pPr>
                </w:p>
              </w:tc>
              <w:tc>
                <w:tcPr>
                  <w:tcW w:w="884" w:type="dxa"/>
                  <w:vAlign w:val="center"/>
                </w:tcPr>
                <w:p w14:paraId="109D3637">
                  <w:pPr>
                    <w:pStyle w:val="53"/>
                    <w:bidi w:val="0"/>
                    <w:jc w:val="center"/>
                    <w:rPr>
                      <w:rFonts w:hint="default"/>
                      <w:color w:val="auto"/>
                      <w:highlight w:val="none"/>
                      <w:lang w:val="en-US" w:eastAsia="zh-CN"/>
                    </w:rPr>
                  </w:pPr>
                  <w:r>
                    <w:rPr>
                      <w:rFonts w:hint="eastAsia"/>
                      <w:color w:val="auto"/>
                      <w:highlight w:val="none"/>
                      <w:lang w:val="en-US" w:eastAsia="zh-CN"/>
                    </w:rPr>
                    <w:t>颗粒物</w:t>
                  </w:r>
                </w:p>
              </w:tc>
              <w:tc>
                <w:tcPr>
                  <w:tcW w:w="869" w:type="dxa"/>
                  <w:shd w:val="clear" w:color="auto" w:fill="auto"/>
                  <w:vAlign w:val="center"/>
                </w:tcPr>
                <w:p w14:paraId="07DC91AA">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0.243</w:t>
                  </w:r>
                </w:p>
              </w:tc>
              <w:tc>
                <w:tcPr>
                  <w:tcW w:w="726" w:type="dxa"/>
                  <w:vMerge w:val="continue"/>
                  <w:shd w:val="clear" w:color="auto" w:fill="auto"/>
                  <w:vAlign w:val="center"/>
                </w:tcPr>
                <w:p w14:paraId="1A89EBF8">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p>
              </w:tc>
              <w:tc>
                <w:tcPr>
                  <w:tcW w:w="853" w:type="dxa"/>
                  <w:shd w:val="clear" w:color="auto" w:fill="auto"/>
                  <w:vAlign w:val="center"/>
                </w:tcPr>
                <w:p w14:paraId="263392E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0.063</w:t>
                  </w:r>
                </w:p>
              </w:tc>
              <w:tc>
                <w:tcPr>
                  <w:tcW w:w="1073" w:type="dxa"/>
                  <w:vAlign w:val="center"/>
                </w:tcPr>
                <w:p w14:paraId="20651384">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0.026</w:t>
                  </w:r>
                </w:p>
              </w:tc>
              <w:tc>
                <w:tcPr>
                  <w:tcW w:w="1074" w:type="dxa"/>
                  <w:vAlign w:val="center"/>
                </w:tcPr>
                <w:p w14:paraId="17D9E209">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26.92</w:t>
                  </w:r>
                </w:p>
              </w:tc>
              <w:tc>
                <w:tcPr>
                  <w:tcW w:w="1777" w:type="dxa"/>
                  <w:vMerge w:val="continue"/>
                  <w:vAlign w:val="center"/>
                </w:tcPr>
                <w:p w14:paraId="249F3671">
                  <w:pPr>
                    <w:pStyle w:val="53"/>
                    <w:bidi w:val="0"/>
                    <w:jc w:val="center"/>
                    <w:rPr>
                      <w:rFonts w:hint="default"/>
                      <w:color w:val="auto"/>
                      <w:highlight w:val="none"/>
                      <w:lang w:val="en-US" w:eastAsia="zh-CN"/>
                    </w:rPr>
                  </w:pPr>
                </w:p>
              </w:tc>
            </w:tr>
            <w:tr w14:paraId="399E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 w:type="dxa"/>
                  <w:vMerge w:val="continue"/>
                  <w:vAlign w:val="center"/>
                </w:tcPr>
                <w:p w14:paraId="0C3C7AB2">
                  <w:pPr>
                    <w:pStyle w:val="53"/>
                    <w:bidi w:val="0"/>
                    <w:jc w:val="center"/>
                    <w:rPr>
                      <w:rFonts w:hint="eastAsia"/>
                      <w:color w:val="auto"/>
                      <w:highlight w:val="none"/>
                      <w:lang w:val="en-US" w:eastAsia="zh-CN"/>
                    </w:rPr>
                  </w:pPr>
                </w:p>
              </w:tc>
              <w:tc>
                <w:tcPr>
                  <w:tcW w:w="884" w:type="dxa"/>
                  <w:vAlign w:val="center"/>
                </w:tcPr>
                <w:p w14:paraId="0B8C5850">
                  <w:pPr>
                    <w:pStyle w:val="53"/>
                    <w:bidi w:val="0"/>
                    <w:jc w:val="center"/>
                    <w:rPr>
                      <w:rFonts w:hint="default"/>
                      <w:color w:val="auto"/>
                      <w:highlight w:val="none"/>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869" w:type="dxa"/>
                  <w:vAlign w:val="center"/>
                </w:tcPr>
                <w:p w14:paraId="060B997E">
                  <w:pPr>
                    <w:pStyle w:val="53"/>
                    <w:bidi w:val="0"/>
                    <w:jc w:val="center"/>
                    <w:rPr>
                      <w:rFonts w:hint="default"/>
                      <w:color w:val="auto"/>
                      <w:highlight w:val="none"/>
                      <w:lang w:val="en-US" w:eastAsia="zh-CN"/>
                    </w:rPr>
                  </w:pPr>
                  <w:r>
                    <w:rPr>
                      <w:rFonts w:hint="eastAsia"/>
                      <w:color w:val="auto"/>
                      <w:highlight w:val="none"/>
                      <w:lang w:val="en-US" w:eastAsia="zh-CN"/>
                    </w:rPr>
                    <w:t>0.14</w:t>
                  </w:r>
                </w:p>
              </w:tc>
              <w:tc>
                <w:tcPr>
                  <w:tcW w:w="726" w:type="dxa"/>
                  <w:vMerge w:val="continue"/>
                  <w:vAlign w:val="center"/>
                </w:tcPr>
                <w:p w14:paraId="4CBD6728">
                  <w:pPr>
                    <w:pStyle w:val="53"/>
                    <w:bidi w:val="0"/>
                    <w:jc w:val="center"/>
                    <w:rPr>
                      <w:rFonts w:hint="eastAsia"/>
                      <w:color w:val="auto"/>
                      <w:highlight w:val="none"/>
                      <w:lang w:val="en-US" w:eastAsia="zh-CN"/>
                    </w:rPr>
                  </w:pPr>
                </w:p>
              </w:tc>
              <w:tc>
                <w:tcPr>
                  <w:tcW w:w="853" w:type="dxa"/>
                  <w:vAlign w:val="center"/>
                </w:tcPr>
                <w:p w14:paraId="7D567D63">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0.14</w:t>
                  </w:r>
                </w:p>
              </w:tc>
              <w:tc>
                <w:tcPr>
                  <w:tcW w:w="1073" w:type="dxa"/>
                  <w:vAlign w:val="center"/>
                </w:tcPr>
                <w:p w14:paraId="2E493012">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0.058</w:t>
                  </w:r>
                </w:p>
              </w:tc>
              <w:tc>
                <w:tcPr>
                  <w:tcW w:w="1074" w:type="dxa"/>
                  <w:vAlign w:val="center"/>
                </w:tcPr>
                <w:p w14:paraId="30C48E4A">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59.83</w:t>
                  </w:r>
                </w:p>
              </w:tc>
              <w:tc>
                <w:tcPr>
                  <w:tcW w:w="1777" w:type="dxa"/>
                  <w:vMerge w:val="continue"/>
                  <w:vAlign w:val="center"/>
                </w:tcPr>
                <w:p w14:paraId="74CDCCF6">
                  <w:pPr>
                    <w:pStyle w:val="53"/>
                    <w:bidi w:val="0"/>
                    <w:jc w:val="center"/>
                    <w:rPr>
                      <w:rFonts w:hint="default"/>
                      <w:color w:val="auto"/>
                      <w:highlight w:val="none"/>
                      <w:lang w:val="en-US" w:eastAsia="zh-CN"/>
                    </w:rPr>
                  </w:pPr>
                </w:p>
              </w:tc>
            </w:tr>
          </w:tbl>
          <w:p w14:paraId="1B4CDD4E">
            <w:pPr>
              <w:bidi w:val="0"/>
              <w:rPr>
                <w:rFonts w:hint="default"/>
                <w:color w:val="auto"/>
                <w:highlight w:val="none"/>
                <w:lang w:val="en-US" w:eastAsia="zh-CN"/>
              </w:rPr>
            </w:pPr>
            <w:r>
              <w:rPr>
                <w:rFonts w:hint="default"/>
                <w:color w:val="auto"/>
                <w:highlight w:val="none"/>
                <w:lang w:val="en-US" w:eastAsia="zh-CN"/>
              </w:rPr>
              <w:t>由上表可知，热处理天然气燃烧废气</w:t>
            </w:r>
            <w:r>
              <w:rPr>
                <w:rFonts w:hint="eastAsia"/>
                <w:color w:val="auto"/>
                <w:highlight w:val="none"/>
                <w:lang w:val="en-US" w:eastAsia="zh-CN"/>
              </w:rPr>
              <w:t>采用低氮燃烧技术经油雾净化器处理通过15m排气筒排放后，二氧化硫、氮氧化物、颗粒物的排放浓度满足《陕西省工业炉窑大气污染物综合治理实施方案》（陕环函〔2019〕247号）中的要求。</w:t>
            </w:r>
          </w:p>
          <w:p w14:paraId="64A516C9">
            <w:pPr>
              <w:bidi w:val="0"/>
              <w:rPr>
                <w:rFonts w:hint="eastAsia"/>
                <w:color w:val="auto"/>
                <w:highlight w:val="none"/>
                <w:lang w:val="en-US" w:eastAsia="zh-CN"/>
              </w:rPr>
            </w:pPr>
            <w:r>
              <w:rPr>
                <w:rFonts w:hint="eastAsia"/>
                <w:color w:val="auto"/>
                <w:highlight w:val="none"/>
                <w:lang w:val="en-US" w:eastAsia="zh-CN"/>
              </w:rPr>
              <w:t>②抛丸机粉尘</w:t>
            </w:r>
          </w:p>
          <w:p w14:paraId="49DCACCD">
            <w:pPr>
              <w:bidi w:val="0"/>
              <w:rPr>
                <w:rFonts w:hint="eastAsia"/>
                <w:color w:val="auto"/>
                <w:highlight w:val="none"/>
                <w:lang w:eastAsia="zh-CN"/>
              </w:rPr>
            </w:pPr>
            <w:r>
              <w:rPr>
                <w:rFonts w:hint="eastAsia"/>
                <w:color w:val="auto"/>
                <w:highlight w:val="none"/>
                <w:lang w:val="en-US" w:eastAsia="zh-CN"/>
              </w:rPr>
              <w:t>抛丸机粉尘是指金属工件在抛丸清理过程中，因高速弹丸（钢丸、铸钢砂等）冲击表面而产生的细微颗粒物。</w:t>
            </w:r>
            <w:r>
              <w:rPr>
                <w:color w:val="auto"/>
                <w:highlight w:val="none"/>
              </w:rPr>
              <w:t>根据《排放源统计调查产排污核算方法和系数手册》中</w:t>
            </w:r>
            <w:r>
              <w:rPr>
                <w:rFonts w:hint="eastAsia"/>
                <w:color w:val="auto"/>
                <w:highlight w:val="none"/>
                <w:lang w:eastAsia="zh-CN"/>
              </w:rPr>
              <w:t>《</w:t>
            </w:r>
            <w:r>
              <w:rPr>
                <w:color w:val="auto"/>
                <w:highlight w:val="none"/>
              </w:rPr>
              <w:t>机械行业系数手册</w:t>
            </w:r>
            <w:r>
              <w:rPr>
                <w:rFonts w:hint="eastAsia"/>
                <w:color w:val="auto"/>
                <w:highlight w:val="none"/>
                <w:lang w:eastAsia="zh-CN"/>
              </w:rPr>
              <w:t>》</w:t>
            </w:r>
            <w:r>
              <w:rPr>
                <w:rFonts w:hint="eastAsia"/>
                <w:color w:val="auto"/>
                <w:highlight w:val="none"/>
                <w:lang w:val="en-US" w:eastAsia="zh-CN"/>
              </w:rPr>
              <w:t>，抛丸工艺废气产生量和颗粒物与</w:t>
            </w:r>
            <w:r>
              <w:rPr>
                <w:color w:val="auto"/>
                <w:highlight w:val="none"/>
              </w:rPr>
              <w:t>原辅材料用量</w:t>
            </w:r>
            <w:r>
              <w:rPr>
                <w:rFonts w:hint="eastAsia"/>
                <w:color w:val="auto"/>
                <w:highlight w:val="none"/>
                <w:lang w:val="en-US" w:eastAsia="zh-CN"/>
              </w:rPr>
              <w:t>相关，根据企业经验，本次新增产线抛丸工序使用原料预计3100t/a。本项目抛丸工序</w:t>
            </w:r>
            <w:r>
              <w:rPr>
                <w:color w:val="auto"/>
                <w:highlight w:val="none"/>
              </w:rPr>
              <w:t>污染物产生系数如下</w:t>
            </w:r>
            <w:r>
              <w:rPr>
                <w:rFonts w:hint="eastAsia"/>
                <w:color w:val="auto"/>
                <w:highlight w:val="none"/>
                <w:lang w:eastAsia="zh-CN"/>
              </w:rPr>
              <w:t>。</w:t>
            </w:r>
          </w:p>
          <w:p w14:paraId="5DB7F2F4">
            <w:pPr>
              <w:pStyle w:val="58"/>
              <w:bidi w:val="0"/>
              <w:rPr>
                <w:color w:val="auto"/>
                <w:highlight w:val="none"/>
              </w:rPr>
            </w:pPr>
            <w:r>
              <w:rPr>
                <w:rFonts w:hint="eastAsia"/>
                <w:color w:val="auto"/>
                <w:highlight w:val="none"/>
                <w:lang w:val="en-US" w:eastAsia="zh-CN"/>
              </w:rPr>
              <w:t>表4-3     抛丸工序</w:t>
            </w:r>
            <w:r>
              <w:rPr>
                <w:color w:val="auto"/>
                <w:highlight w:val="none"/>
              </w:rPr>
              <w:t>污染物产生系数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502"/>
              <w:gridCol w:w="451"/>
              <w:gridCol w:w="1243"/>
              <w:gridCol w:w="2344"/>
              <w:gridCol w:w="1325"/>
            </w:tblGrid>
            <w:tr w14:paraId="37AD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vAlign w:val="center"/>
                </w:tcPr>
                <w:p w14:paraId="640F101E">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工段名称</w:t>
                  </w:r>
                </w:p>
              </w:tc>
              <w:tc>
                <w:tcPr>
                  <w:tcW w:w="1500" w:type="dxa"/>
                  <w:vAlign w:val="center"/>
                </w:tcPr>
                <w:p w14:paraId="3EF0C4CC">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工艺名称</w:t>
                  </w:r>
                </w:p>
              </w:tc>
              <w:tc>
                <w:tcPr>
                  <w:tcW w:w="1691" w:type="dxa"/>
                  <w:gridSpan w:val="2"/>
                  <w:vAlign w:val="center"/>
                </w:tcPr>
                <w:p w14:paraId="1C5ABEF5">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污染物指标</w:t>
                  </w:r>
                </w:p>
              </w:tc>
              <w:tc>
                <w:tcPr>
                  <w:tcW w:w="2341" w:type="dxa"/>
                  <w:vAlign w:val="center"/>
                </w:tcPr>
                <w:p w14:paraId="6ED98083">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单位</w:t>
                  </w:r>
                </w:p>
              </w:tc>
              <w:tc>
                <w:tcPr>
                  <w:tcW w:w="1323" w:type="dxa"/>
                  <w:vAlign w:val="center"/>
                </w:tcPr>
                <w:p w14:paraId="22F3506B">
                  <w:pPr>
                    <w:pStyle w:val="53"/>
                    <w:bidi w:val="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产污系数</w:t>
                  </w:r>
                </w:p>
              </w:tc>
            </w:tr>
            <w:tr w14:paraId="748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vMerge w:val="restart"/>
                  <w:vAlign w:val="center"/>
                </w:tcPr>
                <w:p w14:paraId="50FDCC5B">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预处理</w:t>
                  </w:r>
                </w:p>
              </w:tc>
              <w:tc>
                <w:tcPr>
                  <w:tcW w:w="1500" w:type="dxa"/>
                  <w:vMerge w:val="restart"/>
                  <w:vAlign w:val="center"/>
                </w:tcPr>
                <w:p w14:paraId="18E9ED9B">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抛丸</w:t>
                  </w:r>
                </w:p>
              </w:tc>
              <w:tc>
                <w:tcPr>
                  <w:tcW w:w="450" w:type="dxa"/>
                  <w:vMerge w:val="restart"/>
                  <w:vAlign w:val="center"/>
                </w:tcPr>
                <w:p w14:paraId="33456B44">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废气</w:t>
                  </w:r>
                </w:p>
              </w:tc>
              <w:tc>
                <w:tcPr>
                  <w:tcW w:w="1241" w:type="dxa"/>
                  <w:vAlign w:val="center"/>
                </w:tcPr>
                <w:p w14:paraId="35022CF4">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废气量</w:t>
                  </w:r>
                </w:p>
              </w:tc>
              <w:tc>
                <w:tcPr>
                  <w:tcW w:w="2341" w:type="dxa"/>
                  <w:vAlign w:val="center"/>
                </w:tcPr>
                <w:p w14:paraId="15EC27FA">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立方米/吨-原料</w:t>
                  </w:r>
                </w:p>
              </w:tc>
              <w:tc>
                <w:tcPr>
                  <w:tcW w:w="1323" w:type="dxa"/>
                  <w:vAlign w:val="center"/>
                </w:tcPr>
                <w:p w14:paraId="13EB82BF">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8500</w:t>
                  </w:r>
                </w:p>
              </w:tc>
            </w:tr>
            <w:tr w14:paraId="43B3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vMerge w:val="continue"/>
                  <w:vAlign w:val="center"/>
                </w:tcPr>
                <w:p w14:paraId="1EE6CCB8">
                  <w:pPr>
                    <w:pStyle w:val="53"/>
                    <w:bidi w:val="0"/>
                    <w:jc w:val="center"/>
                    <w:rPr>
                      <w:rFonts w:hint="default"/>
                      <w:color w:val="auto"/>
                      <w:highlight w:val="none"/>
                      <w:vertAlign w:val="baseline"/>
                      <w:lang w:val="en-US" w:eastAsia="zh-CN"/>
                    </w:rPr>
                  </w:pPr>
                </w:p>
              </w:tc>
              <w:tc>
                <w:tcPr>
                  <w:tcW w:w="1500" w:type="dxa"/>
                  <w:vMerge w:val="continue"/>
                  <w:vAlign w:val="center"/>
                </w:tcPr>
                <w:p w14:paraId="20BC4C2A">
                  <w:pPr>
                    <w:pStyle w:val="53"/>
                    <w:bidi w:val="0"/>
                    <w:jc w:val="center"/>
                    <w:rPr>
                      <w:rFonts w:hint="default"/>
                      <w:color w:val="auto"/>
                      <w:highlight w:val="none"/>
                      <w:vertAlign w:val="baseline"/>
                      <w:lang w:val="en-US" w:eastAsia="zh-CN"/>
                    </w:rPr>
                  </w:pPr>
                </w:p>
              </w:tc>
              <w:tc>
                <w:tcPr>
                  <w:tcW w:w="450" w:type="dxa"/>
                  <w:vMerge w:val="continue"/>
                  <w:vAlign w:val="center"/>
                </w:tcPr>
                <w:p w14:paraId="042A43D9">
                  <w:pPr>
                    <w:pStyle w:val="53"/>
                    <w:bidi w:val="0"/>
                    <w:jc w:val="center"/>
                    <w:rPr>
                      <w:rFonts w:hint="default"/>
                      <w:color w:val="auto"/>
                      <w:highlight w:val="none"/>
                      <w:vertAlign w:val="baseline"/>
                      <w:lang w:val="en-US" w:eastAsia="zh-CN"/>
                    </w:rPr>
                  </w:pPr>
                </w:p>
              </w:tc>
              <w:tc>
                <w:tcPr>
                  <w:tcW w:w="1241" w:type="dxa"/>
                  <w:vAlign w:val="center"/>
                </w:tcPr>
                <w:p w14:paraId="662A3B71">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lang w:val="en-US" w:eastAsia="zh-CN"/>
                    </w:rPr>
                    <w:t>颗粒物</w:t>
                  </w:r>
                </w:p>
              </w:tc>
              <w:tc>
                <w:tcPr>
                  <w:tcW w:w="2341" w:type="dxa"/>
                  <w:vAlign w:val="center"/>
                </w:tcPr>
                <w:p w14:paraId="1A06D975">
                  <w:pPr>
                    <w:pStyle w:val="53"/>
                    <w:bidi w:val="0"/>
                    <w:ind w:left="0" w:leftChars="0" w:firstLine="0" w:firstLineChars="0"/>
                    <w:jc w:val="center"/>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千克/吨-原料</w:t>
                  </w:r>
                </w:p>
              </w:tc>
              <w:tc>
                <w:tcPr>
                  <w:tcW w:w="1323" w:type="dxa"/>
                  <w:vAlign w:val="center"/>
                </w:tcPr>
                <w:p w14:paraId="3D8304DB">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2.19</w:t>
                  </w:r>
                </w:p>
              </w:tc>
            </w:tr>
          </w:tbl>
          <w:p w14:paraId="0206B90F">
            <w:pPr>
              <w:bidi w:val="0"/>
              <w:rPr>
                <w:rFonts w:hint="eastAsia"/>
                <w:color w:val="auto"/>
                <w:highlight w:val="none"/>
                <w:lang w:val="en-US" w:eastAsia="zh-CN"/>
              </w:rPr>
            </w:pPr>
            <w:r>
              <w:rPr>
                <w:rFonts w:hint="eastAsia"/>
                <w:color w:val="auto"/>
                <w:highlight w:val="none"/>
                <w:lang w:val="en-US" w:eastAsia="zh-CN"/>
              </w:rPr>
              <w:t>本项目采用钢履带式抛丸清理机，该抛光设备为封闭式，配套有袋式除尘装置，设备各出风口均设有风量调节闸门。废气收集效率可达到100%，风机风量不小于5000m</w:t>
            </w:r>
            <w:r>
              <w:rPr>
                <w:rFonts w:hint="eastAsia"/>
                <w:color w:val="auto"/>
                <w:highlight w:val="none"/>
                <w:vertAlign w:val="superscript"/>
                <w:lang w:val="en-US" w:eastAsia="zh-CN"/>
              </w:rPr>
              <w:t>3</w:t>
            </w:r>
            <w:r>
              <w:rPr>
                <w:rFonts w:hint="eastAsia"/>
                <w:color w:val="auto"/>
                <w:highlight w:val="none"/>
                <w:lang w:val="en-US" w:eastAsia="zh-CN"/>
              </w:rPr>
              <w:t>/h，产生的粉尘经收集后进入袋式除尘器处理，除尘效率为95%。抛丸废气中污染物产排情况详见表4-4。</w:t>
            </w:r>
          </w:p>
          <w:p w14:paraId="3C6BDAA4">
            <w:pPr>
              <w:pStyle w:val="58"/>
              <w:bidi w:val="0"/>
              <w:rPr>
                <w:rFonts w:hint="default"/>
                <w:color w:val="auto"/>
                <w:highlight w:val="none"/>
                <w:lang w:val="en-US" w:eastAsia="zh-CN"/>
              </w:rPr>
            </w:pPr>
            <w:r>
              <w:rPr>
                <w:rFonts w:hint="eastAsia"/>
                <w:color w:val="auto"/>
                <w:highlight w:val="none"/>
                <w:lang w:val="en-US" w:eastAsia="zh-CN"/>
              </w:rPr>
              <w:t>表4-4     抛丸废气产生及排放情况一览表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860"/>
              <w:gridCol w:w="1065"/>
              <w:gridCol w:w="737"/>
              <w:gridCol w:w="1038"/>
              <w:gridCol w:w="994"/>
              <w:gridCol w:w="1131"/>
              <w:gridCol w:w="1380"/>
            </w:tblGrid>
            <w:tr w14:paraId="74C3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800E80A">
                  <w:pPr>
                    <w:pStyle w:val="53"/>
                    <w:bidi w:val="0"/>
                    <w:jc w:val="center"/>
                    <w:rPr>
                      <w:rFonts w:hint="default"/>
                      <w:b/>
                      <w:bCs w:val="0"/>
                      <w:color w:val="auto"/>
                      <w:highlight w:val="none"/>
                      <w:lang w:val="en-US" w:eastAsia="zh-CN"/>
                    </w:rPr>
                  </w:pPr>
                  <w:r>
                    <w:rPr>
                      <w:rFonts w:hint="eastAsia"/>
                      <w:b/>
                      <w:bCs w:val="0"/>
                      <w:color w:val="auto"/>
                      <w:highlight w:val="none"/>
                      <w:lang w:val="en-US" w:eastAsia="zh-CN"/>
                    </w:rPr>
                    <w:t>废气源</w:t>
                  </w:r>
                </w:p>
              </w:tc>
              <w:tc>
                <w:tcPr>
                  <w:tcW w:w="859" w:type="dxa"/>
                  <w:vAlign w:val="center"/>
                </w:tcPr>
                <w:p w14:paraId="20D1C4E5">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污染物</w:t>
                  </w:r>
                </w:p>
              </w:tc>
              <w:tc>
                <w:tcPr>
                  <w:tcW w:w="1064" w:type="dxa"/>
                  <w:vAlign w:val="center"/>
                </w:tcPr>
                <w:p w14:paraId="74291D1B">
                  <w:pPr>
                    <w:pStyle w:val="53"/>
                    <w:bidi w:val="0"/>
                    <w:jc w:val="center"/>
                    <w:rPr>
                      <w:rFonts w:hint="default"/>
                      <w:b/>
                      <w:bCs w:val="0"/>
                      <w:color w:val="auto"/>
                      <w:highlight w:val="none"/>
                      <w:lang w:val="en-US" w:eastAsia="zh-CN"/>
                    </w:rPr>
                  </w:pPr>
                  <w:r>
                    <w:rPr>
                      <w:rFonts w:hint="eastAsia"/>
                      <w:b/>
                      <w:bCs w:val="0"/>
                      <w:color w:val="auto"/>
                      <w:highlight w:val="none"/>
                      <w:lang w:val="en-US" w:eastAsia="zh-CN"/>
                    </w:rPr>
                    <w:t>产生量(t/a)</w:t>
                  </w:r>
                </w:p>
              </w:tc>
              <w:tc>
                <w:tcPr>
                  <w:tcW w:w="736" w:type="dxa"/>
                  <w:vAlign w:val="center"/>
                </w:tcPr>
                <w:p w14:paraId="0992AB05">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排放形式</w:t>
                  </w:r>
                </w:p>
              </w:tc>
              <w:tc>
                <w:tcPr>
                  <w:tcW w:w="1037" w:type="dxa"/>
                  <w:vAlign w:val="center"/>
                </w:tcPr>
                <w:p w14:paraId="1EE49751">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排放量(t/a)</w:t>
                  </w:r>
                </w:p>
              </w:tc>
              <w:tc>
                <w:tcPr>
                  <w:tcW w:w="993" w:type="dxa"/>
                  <w:vAlign w:val="center"/>
                </w:tcPr>
                <w:p w14:paraId="64A7EEDB">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排放速率(kg/h)</w:t>
                  </w:r>
                </w:p>
              </w:tc>
              <w:tc>
                <w:tcPr>
                  <w:tcW w:w="1130" w:type="dxa"/>
                  <w:vAlign w:val="center"/>
                </w:tcPr>
                <w:p w14:paraId="77403ED5">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排放浓度(mg/m</w:t>
                  </w:r>
                  <w:r>
                    <w:rPr>
                      <w:rFonts w:hint="eastAsia"/>
                      <w:b/>
                      <w:bCs w:val="0"/>
                      <w:color w:val="auto"/>
                      <w:highlight w:val="none"/>
                      <w:vertAlign w:val="superscript"/>
                      <w:lang w:val="en-US" w:eastAsia="zh-CN"/>
                    </w:rPr>
                    <w:t>3</w:t>
                  </w:r>
                  <w:r>
                    <w:rPr>
                      <w:rFonts w:hint="eastAsia"/>
                      <w:b/>
                      <w:bCs w:val="0"/>
                      <w:color w:val="auto"/>
                      <w:highlight w:val="none"/>
                      <w:lang w:val="en-US" w:eastAsia="zh-CN"/>
                    </w:rPr>
                    <w:t>)</w:t>
                  </w:r>
                </w:p>
              </w:tc>
              <w:tc>
                <w:tcPr>
                  <w:tcW w:w="1377" w:type="dxa"/>
                  <w:vAlign w:val="center"/>
                </w:tcPr>
                <w:p w14:paraId="1085803D">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治理措施</w:t>
                  </w:r>
                </w:p>
              </w:tc>
            </w:tr>
            <w:tr w14:paraId="0475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Merge w:val="restart"/>
                  <w:vAlign w:val="center"/>
                </w:tcPr>
                <w:p w14:paraId="68D8B4FF">
                  <w:pPr>
                    <w:pStyle w:val="53"/>
                    <w:bidi w:val="0"/>
                    <w:jc w:val="center"/>
                    <w:rPr>
                      <w:rFonts w:hint="default"/>
                      <w:color w:val="auto"/>
                      <w:highlight w:val="none"/>
                      <w:lang w:val="en-US" w:eastAsia="zh-CN"/>
                    </w:rPr>
                  </w:pPr>
                  <w:r>
                    <w:rPr>
                      <w:rFonts w:hint="eastAsia"/>
                      <w:color w:val="auto"/>
                      <w:highlight w:val="none"/>
                      <w:lang w:val="en-US" w:eastAsia="zh-CN"/>
                    </w:rPr>
                    <w:t>抛丸废气</w:t>
                  </w:r>
                </w:p>
              </w:tc>
              <w:tc>
                <w:tcPr>
                  <w:tcW w:w="859" w:type="dxa"/>
                  <w:vAlign w:val="center"/>
                </w:tcPr>
                <w:p w14:paraId="64A7119F">
                  <w:pPr>
                    <w:pStyle w:val="53"/>
                    <w:bidi w:val="0"/>
                    <w:jc w:val="center"/>
                    <w:rPr>
                      <w:rFonts w:hint="default"/>
                      <w:color w:val="auto"/>
                      <w:highlight w:val="none"/>
                      <w:lang w:val="en-US" w:eastAsia="zh-CN"/>
                    </w:rPr>
                  </w:pPr>
                  <w:r>
                    <w:rPr>
                      <w:rFonts w:hint="eastAsia"/>
                      <w:color w:val="auto"/>
                      <w:highlight w:val="none"/>
                      <w:lang w:val="en-US" w:eastAsia="zh-CN"/>
                    </w:rPr>
                    <w:t>废气量</w:t>
                  </w:r>
                </w:p>
              </w:tc>
              <w:tc>
                <w:tcPr>
                  <w:tcW w:w="1064" w:type="dxa"/>
                  <w:vAlign w:val="center"/>
                </w:tcPr>
                <w:p w14:paraId="48E02709">
                  <w:pPr>
                    <w:pStyle w:val="53"/>
                    <w:bidi w:val="0"/>
                    <w:jc w:val="center"/>
                    <w:rPr>
                      <w:rFonts w:hint="default"/>
                      <w:color w:val="auto"/>
                      <w:highlight w:val="none"/>
                      <w:vertAlign w:val="baseline"/>
                      <w:lang w:val="en-US" w:eastAsia="zh-CN"/>
                    </w:rPr>
                  </w:pPr>
                  <w:r>
                    <w:rPr>
                      <w:rFonts w:hint="eastAsia"/>
                      <w:color w:val="auto"/>
                      <w:highlight w:val="none"/>
                      <w:vertAlign w:val="baseline"/>
                      <w:lang w:val="en-US" w:eastAsia="zh-CN"/>
                    </w:rPr>
                    <w:t>2635万m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tc>
              <w:tc>
                <w:tcPr>
                  <w:tcW w:w="736" w:type="dxa"/>
                  <w:vMerge w:val="restart"/>
                  <w:vAlign w:val="center"/>
                </w:tcPr>
                <w:p w14:paraId="3FA257FF">
                  <w:pPr>
                    <w:pStyle w:val="53"/>
                    <w:bidi w:val="0"/>
                    <w:jc w:val="center"/>
                    <w:rPr>
                      <w:rFonts w:hint="default"/>
                      <w:color w:val="auto"/>
                      <w:highlight w:val="none"/>
                      <w:lang w:val="en-US" w:eastAsia="zh-CN"/>
                    </w:rPr>
                  </w:pPr>
                  <w:r>
                    <w:rPr>
                      <w:rFonts w:hint="eastAsia"/>
                      <w:color w:val="auto"/>
                      <w:highlight w:val="none"/>
                      <w:lang w:val="en-US" w:eastAsia="zh-CN"/>
                    </w:rPr>
                    <w:t>有组织</w:t>
                  </w:r>
                </w:p>
              </w:tc>
              <w:tc>
                <w:tcPr>
                  <w:tcW w:w="1037" w:type="dxa"/>
                  <w:vAlign w:val="center"/>
                </w:tcPr>
                <w:p w14:paraId="42F2E5CC">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vertAlign w:val="baseline"/>
                      <w:lang w:val="en-US" w:eastAsia="zh-CN" w:bidi="ar-SA"/>
                    </w:rPr>
                  </w:pPr>
                  <w:r>
                    <w:rPr>
                      <w:rFonts w:hint="eastAsia"/>
                      <w:color w:val="auto"/>
                      <w:highlight w:val="none"/>
                      <w:vertAlign w:val="baseline"/>
                      <w:lang w:val="en-US" w:eastAsia="zh-CN"/>
                    </w:rPr>
                    <w:t>2635万m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tc>
              <w:tc>
                <w:tcPr>
                  <w:tcW w:w="993" w:type="dxa"/>
                  <w:vAlign w:val="center"/>
                </w:tcPr>
                <w:p w14:paraId="269F6056">
                  <w:pPr>
                    <w:pStyle w:val="53"/>
                    <w:bidi w:val="0"/>
                    <w:jc w:val="center"/>
                    <w:rPr>
                      <w:rFonts w:hint="default"/>
                      <w:color w:val="auto"/>
                      <w:highlight w:val="none"/>
                      <w:lang w:val="en-US" w:eastAsia="zh-CN"/>
                    </w:rPr>
                  </w:pPr>
                  <w:r>
                    <w:rPr>
                      <w:rFonts w:hint="eastAsia"/>
                      <w:color w:val="auto"/>
                      <w:highlight w:val="none"/>
                      <w:lang w:val="en-US" w:eastAsia="zh-CN"/>
                    </w:rPr>
                    <w:t>/</w:t>
                  </w:r>
                </w:p>
              </w:tc>
              <w:tc>
                <w:tcPr>
                  <w:tcW w:w="1130" w:type="dxa"/>
                  <w:vAlign w:val="center"/>
                </w:tcPr>
                <w:p w14:paraId="7E988A81">
                  <w:pPr>
                    <w:pStyle w:val="53"/>
                    <w:bidi w:val="0"/>
                    <w:jc w:val="center"/>
                    <w:rPr>
                      <w:rFonts w:hint="default"/>
                      <w:color w:val="auto"/>
                      <w:highlight w:val="none"/>
                      <w:lang w:val="en-US" w:eastAsia="zh-CN"/>
                    </w:rPr>
                  </w:pPr>
                  <w:r>
                    <w:rPr>
                      <w:rFonts w:hint="eastAsia"/>
                      <w:color w:val="auto"/>
                      <w:highlight w:val="none"/>
                      <w:lang w:val="en-US" w:eastAsia="zh-CN"/>
                    </w:rPr>
                    <w:t>/</w:t>
                  </w:r>
                </w:p>
              </w:tc>
              <w:tc>
                <w:tcPr>
                  <w:tcW w:w="1377" w:type="dxa"/>
                  <w:vMerge w:val="restart"/>
                  <w:vAlign w:val="center"/>
                </w:tcPr>
                <w:p w14:paraId="1DC9179E">
                  <w:pPr>
                    <w:pStyle w:val="53"/>
                    <w:bidi w:val="0"/>
                    <w:jc w:val="center"/>
                    <w:rPr>
                      <w:rFonts w:hint="default"/>
                      <w:color w:val="auto"/>
                      <w:highlight w:val="none"/>
                      <w:lang w:val="en-US" w:eastAsia="zh-CN"/>
                    </w:rPr>
                  </w:pPr>
                  <w:r>
                    <w:rPr>
                      <w:rFonts w:hint="eastAsia"/>
                      <w:color w:val="auto"/>
                      <w:highlight w:val="none"/>
                      <w:lang w:val="en-US" w:eastAsia="zh-CN"/>
                    </w:rPr>
                    <w:t>采用袋式除尘（除尘效率可达到95%）再经15m高排气筒排放。</w:t>
                  </w:r>
                </w:p>
              </w:tc>
            </w:tr>
            <w:tr w14:paraId="6423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Merge w:val="continue"/>
                  <w:vAlign w:val="center"/>
                </w:tcPr>
                <w:p w14:paraId="35279273">
                  <w:pPr>
                    <w:pStyle w:val="53"/>
                    <w:bidi w:val="0"/>
                    <w:jc w:val="center"/>
                    <w:rPr>
                      <w:rFonts w:hint="eastAsia"/>
                      <w:color w:val="auto"/>
                      <w:highlight w:val="none"/>
                      <w:lang w:val="en-US" w:eastAsia="zh-CN"/>
                    </w:rPr>
                  </w:pPr>
                </w:p>
              </w:tc>
              <w:tc>
                <w:tcPr>
                  <w:tcW w:w="859" w:type="dxa"/>
                  <w:vAlign w:val="center"/>
                </w:tcPr>
                <w:p w14:paraId="0FC16093">
                  <w:pPr>
                    <w:pStyle w:val="53"/>
                    <w:bidi w:val="0"/>
                    <w:jc w:val="center"/>
                    <w:rPr>
                      <w:rFonts w:hint="default"/>
                      <w:color w:val="auto"/>
                      <w:highlight w:val="none"/>
                      <w:lang w:val="en-US" w:eastAsia="zh-CN"/>
                    </w:rPr>
                  </w:pPr>
                  <w:r>
                    <w:rPr>
                      <w:rFonts w:hint="eastAsia"/>
                      <w:color w:val="auto"/>
                      <w:highlight w:val="none"/>
                      <w:lang w:val="en-US" w:eastAsia="zh-CN"/>
                    </w:rPr>
                    <w:t>颗粒物</w:t>
                  </w:r>
                </w:p>
              </w:tc>
              <w:tc>
                <w:tcPr>
                  <w:tcW w:w="1064" w:type="dxa"/>
                  <w:vAlign w:val="center"/>
                </w:tcPr>
                <w:p w14:paraId="787AC429">
                  <w:pPr>
                    <w:pStyle w:val="53"/>
                    <w:bidi w:val="0"/>
                    <w:jc w:val="center"/>
                    <w:rPr>
                      <w:rFonts w:hint="default"/>
                      <w:color w:val="auto"/>
                      <w:highlight w:val="none"/>
                      <w:lang w:val="en-US" w:eastAsia="zh-CN"/>
                    </w:rPr>
                  </w:pPr>
                  <w:r>
                    <w:rPr>
                      <w:rFonts w:hint="eastAsia"/>
                      <w:color w:val="auto"/>
                      <w:highlight w:val="none"/>
                      <w:lang w:val="en-US" w:eastAsia="zh-CN"/>
                    </w:rPr>
                    <w:t>6.789</w:t>
                  </w:r>
                </w:p>
              </w:tc>
              <w:tc>
                <w:tcPr>
                  <w:tcW w:w="736" w:type="dxa"/>
                  <w:vMerge w:val="continue"/>
                  <w:vAlign w:val="center"/>
                </w:tcPr>
                <w:p w14:paraId="63030AE9">
                  <w:pPr>
                    <w:pStyle w:val="53"/>
                    <w:bidi w:val="0"/>
                    <w:jc w:val="center"/>
                    <w:rPr>
                      <w:rFonts w:hint="eastAsia"/>
                      <w:color w:val="auto"/>
                      <w:highlight w:val="none"/>
                      <w:lang w:val="en-US" w:eastAsia="zh-CN"/>
                    </w:rPr>
                  </w:pPr>
                </w:p>
              </w:tc>
              <w:tc>
                <w:tcPr>
                  <w:tcW w:w="1037" w:type="dxa"/>
                  <w:vAlign w:val="center"/>
                </w:tcPr>
                <w:p w14:paraId="473205D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0.3</w:t>
                  </w:r>
                  <w:r>
                    <w:rPr>
                      <w:rFonts w:hint="eastAsia" w:cs="Times New Roman"/>
                      <w:color w:val="auto"/>
                      <w:kern w:val="0"/>
                      <w:sz w:val="21"/>
                      <w:szCs w:val="20"/>
                      <w:highlight w:val="none"/>
                      <w:lang w:val="en-US" w:eastAsia="zh-CN" w:bidi="ar-SA"/>
                    </w:rPr>
                    <w:t>4</w:t>
                  </w:r>
                </w:p>
              </w:tc>
              <w:tc>
                <w:tcPr>
                  <w:tcW w:w="993" w:type="dxa"/>
                  <w:vAlign w:val="center"/>
                </w:tcPr>
                <w:p w14:paraId="0A0FE197">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0.141</w:t>
                  </w:r>
                </w:p>
              </w:tc>
              <w:tc>
                <w:tcPr>
                  <w:tcW w:w="1130" w:type="dxa"/>
                  <w:vAlign w:val="center"/>
                </w:tcPr>
                <w:p w14:paraId="6086ECBD">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12.88</w:t>
                  </w:r>
                </w:p>
              </w:tc>
              <w:tc>
                <w:tcPr>
                  <w:tcW w:w="1377" w:type="dxa"/>
                  <w:vMerge w:val="continue"/>
                  <w:vAlign w:val="center"/>
                </w:tcPr>
                <w:p w14:paraId="3D389209">
                  <w:pPr>
                    <w:pStyle w:val="53"/>
                    <w:bidi w:val="0"/>
                    <w:jc w:val="center"/>
                    <w:rPr>
                      <w:rFonts w:hint="default"/>
                      <w:color w:val="auto"/>
                      <w:highlight w:val="none"/>
                      <w:lang w:val="en-US" w:eastAsia="zh-CN"/>
                    </w:rPr>
                  </w:pPr>
                </w:p>
              </w:tc>
            </w:tr>
          </w:tbl>
          <w:p w14:paraId="51A29489">
            <w:pPr>
              <w:rPr>
                <w:rFonts w:hint="default"/>
                <w:color w:val="auto"/>
                <w:lang w:val="en-US" w:eastAsia="zh-CN"/>
              </w:rPr>
            </w:pPr>
            <w:r>
              <w:rPr>
                <w:rFonts w:hint="default"/>
                <w:color w:val="auto"/>
                <w:highlight w:val="none"/>
                <w:lang w:val="en-US" w:eastAsia="zh-CN"/>
              </w:rPr>
              <w:t>由上表可知，</w:t>
            </w:r>
            <w:r>
              <w:rPr>
                <w:rFonts w:hint="eastAsia"/>
                <w:color w:val="auto"/>
                <w:lang w:val="en-US" w:eastAsia="zh-CN"/>
              </w:rPr>
              <w:t>抛丸粉尘颗粒物经袋式除尘器处理后排放浓度满足</w:t>
            </w:r>
            <w:r>
              <w:rPr>
                <w:color w:val="auto"/>
              </w:rPr>
              <w:t>《大气污染物综合排放标准》（GB16297-1996）表2中</w:t>
            </w:r>
            <w:r>
              <w:rPr>
                <w:rFonts w:hint="eastAsia"/>
                <w:color w:val="auto"/>
                <w:lang w:val="en-US" w:eastAsia="zh-CN"/>
              </w:rPr>
              <w:t>限值。</w:t>
            </w:r>
            <w:r>
              <w:rPr>
                <w:color w:val="auto"/>
              </w:rPr>
              <w:t>建议在设备运行期间定期检查除尘器运行状态，确保处理效果稳定。</w:t>
            </w:r>
          </w:p>
          <w:p w14:paraId="5B22C0A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color w:val="auto"/>
                <w:highlight w:val="none"/>
                <w:lang w:val="en-US" w:eastAsia="zh-CN"/>
              </w:rPr>
            </w:pPr>
            <w:r>
              <w:rPr>
                <w:rFonts w:hint="default" w:ascii="Times New Roman" w:hAnsi="Times New Roman" w:eastAsia="宋体" w:cs="Times New Roman"/>
                <w:color w:val="auto"/>
                <w:sz w:val="24"/>
                <w:highlight w:val="none"/>
                <w:lang w:eastAsia="zh-CN"/>
              </w:rPr>
              <w:t>综上所述，项目运营期大气污染源产排情况见表</w:t>
            </w:r>
            <w:r>
              <w:rPr>
                <w:rFonts w:hint="eastAsia" w:ascii="Times New Roman"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w:t>
            </w:r>
          </w:p>
          <w:p w14:paraId="79310F6D">
            <w:pPr>
              <w:pStyle w:val="58"/>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4-5    </w:t>
            </w:r>
            <w:r>
              <w:rPr>
                <w:rFonts w:hint="default"/>
                <w:color w:val="auto"/>
                <w:highlight w:val="none"/>
                <w:lang w:val="en-US" w:eastAsia="zh-CN"/>
              </w:rPr>
              <w:t xml:space="preserve">  大气污染源产排情况一览表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563"/>
              <w:gridCol w:w="685"/>
              <w:gridCol w:w="400"/>
              <w:gridCol w:w="562"/>
              <w:gridCol w:w="865"/>
              <w:gridCol w:w="720"/>
              <w:gridCol w:w="909"/>
              <w:gridCol w:w="975"/>
              <w:gridCol w:w="932"/>
              <w:gridCol w:w="626"/>
              <w:gridCol w:w="709"/>
            </w:tblGrid>
            <w:tr w14:paraId="5AC36B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63" w:type="dxa"/>
                  <w:vMerge w:val="restart"/>
                  <w:noWrap w:val="0"/>
                  <w:vAlign w:val="center"/>
                </w:tcPr>
                <w:p w14:paraId="0169D8DE">
                  <w:pPr>
                    <w:pStyle w:val="53"/>
                    <w:bidi w:val="0"/>
                    <w:jc w:val="center"/>
                    <w:rPr>
                      <w:rFonts w:hint="default"/>
                      <w:b/>
                      <w:bCs/>
                      <w:color w:val="auto"/>
                      <w:highlight w:val="none"/>
                      <w:lang w:eastAsia="zh-CN"/>
                    </w:rPr>
                  </w:pPr>
                  <w:r>
                    <w:rPr>
                      <w:rFonts w:hint="default"/>
                      <w:b/>
                      <w:bCs/>
                      <w:color w:val="auto"/>
                      <w:highlight w:val="none"/>
                      <w:lang w:eastAsia="zh-CN"/>
                    </w:rPr>
                    <w:t>污染源</w:t>
                  </w:r>
                </w:p>
              </w:tc>
              <w:tc>
                <w:tcPr>
                  <w:tcW w:w="685" w:type="dxa"/>
                  <w:vMerge w:val="restart"/>
                  <w:tcBorders>
                    <w:right w:val="single" w:color="auto" w:sz="4" w:space="0"/>
                  </w:tcBorders>
                  <w:noWrap w:val="0"/>
                  <w:vAlign w:val="center"/>
                </w:tcPr>
                <w:p w14:paraId="48B07982">
                  <w:pPr>
                    <w:pStyle w:val="53"/>
                    <w:bidi w:val="0"/>
                    <w:jc w:val="center"/>
                    <w:rPr>
                      <w:rFonts w:hint="default"/>
                      <w:b/>
                      <w:bCs/>
                      <w:color w:val="auto"/>
                      <w:highlight w:val="none"/>
                    </w:rPr>
                  </w:pPr>
                  <w:r>
                    <w:rPr>
                      <w:rFonts w:hint="default"/>
                      <w:b/>
                      <w:bCs/>
                      <w:color w:val="auto"/>
                      <w:highlight w:val="none"/>
                    </w:rPr>
                    <w:t>废气量</w:t>
                  </w:r>
                </w:p>
              </w:tc>
              <w:tc>
                <w:tcPr>
                  <w:tcW w:w="400" w:type="dxa"/>
                  <w:vMerge w:val="restart"/>
                  <w:tcBorders>
                    <w:left w:val="single" w:color="auto" w:sz="4" w:space="0"/>
                  </w:tcBorders>
                  <w:noWrap w:val="0"/>
                  <w:vAlign w:val="center"/>
                </w:tcPr>
                <w:p w14:paraId="0F2989E6">
                  <w:pPr>
                    <w:pStyle w:val="53"/>
                    <w:bidi w:val="0"/>
                    <w:jc w:val="center"/>
                    <w:rPr>
                      <w:rFonts w:hint="default"/>
                      <w:b/>
                      <w:bCs/>
                      <w:color w:val="auto"/>
                      <w:highlight w:val="none"/>
                      <w:lang w:eastAsia="zh-CN"/>
                    </w:rPr>
                  </w:pPr>
                  <w:r>
                    <w:rPr>
                      <w:rFonts w:hint="default"/>
                      <w:b/>
                      <w:bCs/>
                      <w:color w:val="auto"/>
                      <w:highlight w:val="none"/>
                      <w:lang w:eastAsia="zh-CN"/>
                    </w:rPr>
                    <w:t>类型</w:t>
                  </w:r>
                </w:p>
              </w:tc>
              <w:tc>
                <w:tcPr>
                  <w:tcW w:w="562" w:type="dxa"/>
                  <w:vMerge w:val="restart"/>
                  <w:tcBorders>
                    <w:right w:val="single" w:color="auto" w:sz="4" w:space="0"/>
                  </w:tcBorders>
                  <w:noWrap w:val="0"/>
                  <w:vAlign w:val="center"/>
                </w:tcPr>
                <w:p w14:paraId="25160C6D">
                  <w:pPr>
                    <w:pStyle w:val="53"/>
                    <w:bidi w:val="0"/>
                    <w:jc w:val="center"/>
                    <w:rPr>
                      <w:rFonts w:hint="default"/>
                      <w:b/>
                      <w:bCs/>
                      <w:color w:val="auto"/>
                      <w:highlight w:val="none"/>
                    </w:rPr>
                  </w:pPr>
                  <w:r>
                    <w:rPr>
                      <w:rFonts w:hint="default"/>
                      <w:b/>
                      <w:bCs/>
                      <w:color w:val="auto"/>
                      <w:highlight w:val="none"/>
                    </w:rPr>
                    <w:t>污染物</w:t>
                  </w:r>
                </w:p>
              </w:tc>
              <w:tc>
                <w:tcPr>
                  <w:tcW w:w="865" w:type="dxa"/>
                  <w:vMerge w:val="restart"/>
                  <w:noWrap w:val="0"/>
                  <w:vAlign w:val="center"/>
                </w:tcPr>
                <w:p w14:paraId="39469A73">
                  <w:pPr>
                    <w:pStyle w:val="53"/>
                    <w:bidi w:val="0"/>
                    <w:jc w:val="center"/>
                    <w:rPr>
                      <w:rFonts w:hint="eastAsia"/>
                      <w:b/>
                      <w:bCs/>
                      <w:color w:val="auto"/>
                      <w:highlight w:val="none"/>
                      <w:lang w:eastAsia="zh-CN"/>
                    </w:rPr>
                  </w:pPr>
                  <w:r>
                    <w:rPr>
                      <w:rFonts w:hint="eastAsia"/>
                      <w:b/>
                      <w:bCs/>
                      <w:color w:val="auto"/>
                      <w:highlight w:val="none"/>
                      <w:lang w:eastAsia="zh-CN"/>
                    </w:rPr>
                    <w:t>产生浓度</w:t>
                  </w:r>
                </w:p>
                <w:p w14:paraId="4D6658CC">
                  <w:pPr>
                    <w:pStyle w:val="53"/>
                    <w:bidi w:val="0"/>
                    <w:jc w:val="center"/>
                    <w:rPr>
                      <w:rFonts w:hint="default"/>
                      <w:b/>
                      <w:bCs/>
                      <w:color w:val="auto"/>
                      <w:highlight w:val="none"/>
                      <w:lang w:val="en-US" w:eastAsia="zh-CN"/>
                    </w:rPr>
                  </w:pPr>
                  <w:r>
                    <w:rPr>
                      <w:rFonts w:hint="eastAsia"/>
                      <w:b/>
                      <w:bCs/>
                      <w:color w:val="auto"/>
                      <w:highlight w:val="none"/>
                      <w:lang w:val="en-US" w:eastAsia="zh-CN"/>
                    </w:rPr>
                    <w:t>(</w:t>
                  </w:r>
                  <w:r>
                    <w:rPr>
                      <w:rFonts w:hint="eastAsia"/>
                      <w:b/>
                      <w:bCs/>
                      <w:color w:val="auto"/>
                      <w:highlight w:val="none"/>
                      <w:lang w:eastAsia="zh-CN"/>
                    </w:rPr>
                    <w:t>mg/m</w:t>
                  </w:r>
                  <w:r>
                    <w:rPr>
                      <w:rFonts w:hint="eastAsia"/>
                      <w:b/>
                      <w:bCs/>
                      <w:color w:val="auto"/>
                      <w:highlight w:val="none"/>
                      <w:vertAlign w:val="superscript"/>
                      <w:lang w:val="en-US" w:eastAsia="zh-CN"/>
                    </w:rPr>
                    <w:t>3</w:t>
                  </w:r>
                  <w:r>
                    <w:rPr>
                      <w:rFonts w:hint="eastAsia"/>
                      <w:b/>
                      <w:bCs/>
                      <w:color w:val="auto"/>
                      <w:highlight w:val="none"/>
                      <w:lang w:val="en-US" w:eastAsia="zh-CN"/>
                    </w:rPr>
                    <w:t>)</w:t>
                  </w:r>
                </w:p>
              </w:tc>
              <w:tc>
                <w:tcPr>
                  <w:tcW w:w="1629" w:type="dxa"/>
                  <w:gridSpan w:val="2"/>
                  <w:noWrap w:val="0"/>
                  <w:vAlign w:val="center"/>
                </w:tcPr>
                <w:p w14:paraId="7795769F">
                  <w:pPr>
                    <w:pStyle w:val="53"/>
                    <w:bidi w:val="0"/>
                    <w:jc w:val="center"/>
                    <w:rPr>
                      <w:rFonts w:hint="eastAsia"/>
                      <w:b/>
                      <w:bCs/>
                      <w:color w:val="auto"/>
                      <w:highlight w:val="none"/>
                      <w:lang w:eastAsia="zh-CN"/>
                    </w:rPr>
                  </w:pPr>
                  <w:r>
                    <w:rPr>
                      <w:rFonts w:hint="eastAsia"/>
                      <w:b/>
                      <w:bCs/>
                      <w:color w:val="auto"/>
                      <w:highlight w:val="none"/>
                      <w:lang w:eastAsia="zh-CN"/>
                    </w:rPr>
                    <w:t>产生量</w:t>
                  </w:r>
                </w:p>
              </w:tc>
              <w:tc>
                <w:tcPr>
                  <w:tcW w:w="975" w:type="dxa"/>
                  <w:vMerge w:val="restart"/>
                  <w:noWrap w:val="0"/>
                  <w:vAlign w:val="center"/>
                </w:tcPr>
                <w:p w14:paraId="61698DD9">
                  <w:pPr>
                    <w:pStyle w:val="53"/>
                    <w:bidi w:val="0"/>
                    <w:jc w:val="center"/>
                    <w:rPr>
                      <w:rFonts w:hint="eastAsia"/>
                      <w:b/>
                      <w:bCs/>
                      <w:color w:val="auto"/>
                      <w:highlight w:val="none"/>
                    </w:rPr>
                  </w:pPr>
                  <w:r>
                    <w:rPr>
                      <w:rFonts w:hint="eastAsia"/>
                      <w:b/>
                      <w:bCs/>
                      <w:color w:val="auto"/>
                      <w:highlight w:val="none"/>
                    </w:rPr>
                    <w:t>治理措施</w:t>
                  </w:r>
                </w:p>
              </w:tc>
              <w:tc>
                <w:tcPr>
                  <w:tcW w:w="932" w:type="dxa"/>
                  <w:vMerge w:val="restart"/>
                  <w:noWrap w:val="0"/>
                  <w:vAlign w:val="center"/>
                </w:tcPr>
                <w:p w14:paraId="7F360C76">
                  <w:pPr>
                    <w:pStyle w:val="53"/>
                    <w:bidi w:val="0"/>
                    <w:jc w:val="center"/>
                    <w:rPr>
                      <w:rFonts w:hint="default"/>
                      <w:b/>
                      <w:bCs/>
                      <w:color w:val="auto"/>
                      <w:highlight w:val="none"/>
                    </w:rPr>
                  </w:pPr>
                  <w:r>
                    <w:rPr>
                      <w:rFonts w:hint="default"/>
                      <w:b/>
                      <w:bCs/>
                      <w:color w:val="auto"/>
                      <w:highlight w:val="none"/>
                    </w:rPr>
                    <w:t>排放浓度</w:t>
                  </w:r>
                </w:p>
                <w:p w14:paraId="470C069E">
                  <w:pPr>
                    <w:pStyle w:val="53"/>
                    <w:bidi w:val="0"/>
                    <w:jc w:val="center"/>
                    <w:rPr>
                      <w:rFonts w:hint="default"/>
                      <w:b/>
                      <w:bCs/>
                      <w:color w:val="auto"/>
                      <w:highlight w:val="none"/>
                    </w:rPr>
                  </w:pPr>
                  <w:r>
                    <w:rPr>
                      <w:rFonts w:hint="eastAsia"/>
                      <w:b/>
                      <w:bCs/>
                      <w:color w:val="auto"/>
                      <w:highlight w:val="none"/>
                      <w:lang w:val="en-US" w:eastAsia="zh-CN"/>
                    </w:rPr>
                    <w:t>(</w:t>
                  </w:r>
                  <w:r>
                    <w:rPr>
                      <w:rFonts w:hint="eastAsia"/>
                      <w:b/>
                      <w:bCs/>
                      <w:color w:val="auto"/>
                      <w:highlight w:val="none"/>
                      <w:lang w:eastAsia="zh-CN"/>
                    </w:rPr>
                    <w:t>mg/m</w:t>
                  </w:r>
                  <w:r>
                    <w:rPr>
                      <w:rFonts w:hint="eastAsia"/>
                      <w:b/>
                      <w:bCs/>
                      <w:color w:val="auto"/>
                      <w:highlight w:val="none"/>
                      <w:vertAlign w:val="superscript"/>
                      <w:lang w:val="en-US" w:eastAsia="zh-CN"/>
                    </w:rPr>
                    <w:t>3</w:t>
                  </w:r>
                  <w:r>
                    <w:rPr>
                      <w:rFonts w:hint="eastAsia"/>
                      <w:b/>
                      <w:bCs/>
                      <w:color w:val="auto"/>
                      <w:highlight w:val="none"/>
                      <w:lang w:val="en-US" w:eastAsia="zh-CN"/>
                    </w:rPr>
                    <w:t>)</w:t>
                  </w:r>
                </w:p>
              </w:tc>
              <w:tc>
                <w:tcPr>
                  <w:tcW w:w="1335" w:type="dxa"/>
                  <w:gridSpan w:val="2"/>
                  <w:tcBorders>
                    <w:right w:val="single" w:color="auto" w:sz="4" w:space="0"/>
                  </w:tcBorders>
                  <w:noWrap w:val="0"/>
                  <w:vAlign w:val="center"/>
                </w:tcPr>
                <w:p w14:paraId="25A9EB98">
                  <w:pPr>
                    <w:pStyle w:val="53"/>
                    <w:bidi w:val="0"/>
                    <w:jc w:val="center"/>
                    <w:rPr>
                      <w:rFonts w:hint="default"/>
                      <w:b/>
                      <w:bCs/>
                      <w:color w:val="auto"/>
                      <w:highlight w:val="none"/>
                    </w:rPr>
                  </w:pPr>
                  <w:r>
                    <w:rPr>
                      <w:rFonts w:hint="default"/>
                      <w:b/>
                      <w:bCs/>
                      <w:color w:val="auto"/>
                      <w:highlight w:val="none"/>
                    </w:rPr>
                    <w:t>排放量</w:t>
                  </w:r>
                </w:p>
              </w:tc>
            </w:tr>
            <w:tr w14:paraId="164462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63" w:type="dxa"/>
                  <w:vMerge w:val="continue"/>
                  <w:tcBorders>
                    <w:top w:val="nil"/>
                  </w:tcBorders>
                  <w:noWrap w:val="0"/>
                  <w:vAlign w:val="center"/>
                </w:tcPr>
                <w:p w14:paraId="1F674A0B">
                  <w:pPr>
                    <w:pStyle w:val="53"/>
                    <w:bidi w:val="0"/>
                    <w:jc w:val="center"/>
                    <w:rPr>
                      <w:rFonts w:hint="default"/>
                      <w:b/>
                      <w:bCs/>
                      <w:color w:val="auto"/>
                      <w:highlight w:val="none"/>
                    </w:rPr>
                  </w:pPr>
                </w:p>
              </w:tc>
              <w:tc>
                <w:tcPr>
                  <w:tcW w:w="685" w:type="dxa"/>
                  <w:vMerge w:val="continue"/>
                  <w:tcBorders>
                    <w:right w:val="single" w:color="auto" w:sz="4" w:space="0"/>
                  </w:tcBorders>
                  <w:noWrap w:val="0"/>
                  <w:vAlign w:val="center"/>
                </w:tcPr>
                <w:p w14:paraId="610EABDB">
                  <w:pPr>
                    <w:pStyle w:val="53"/>
                    <w:bidi w:val="0"/>
                    <w:jc w:val="center"/>
                    <w:rPr>
                      <w:rFonts w:hint="default"/>
                      <w:b/>
                      <w:bCs/>
                      <w:color w:val="auto"/>
                      <w:highlight w:val="none"/>
                    </w:rPr>
                  </w:pPr>
                </w:p>
              </w:tc>
              <w:tc>
                <w:tcPr>
                  <w:tcW w:w="400" w:type="dxa"/>
                  <w:vMerge w:val="continue"/>
                  <w:tcBorders>
                    <w:left w:val="single" w:color="auto" w:sz="4" w:space="0"/>
                  </w:tcBorders>
                  <w:noWrap w:val="0"/>
                  <w:vAlign w:val="center"/>
                </w:tcPr>
                <w:p w14:paraId="2898559E">
                  <w:pPr>
                    <w:pStyle w:val="53"/>
                    <w:bidi w:val="0"/>
                    <w:jc w:val="center"/>
                    <w:rPr>
                      <w:rFonts w:hint="default"/>
                      <w:b/>
                      <w:bCs/>
                      <w:color w:val="auto"/>
                      <w:highlight w:val="none"/>
                    </w:rPr>
                  </w:pPr>
                </w:p>
              </w:tc>
              <w:tc>
                <w:tcPr>
                  <w:tcW w:w="562" w:type="dxa"/>
                  <w:vMerge w:val="continue"/>
                  <w:tcBorders>
                    <w:right w:val="single" w:color="auto" w:sz="4" w:space="0"/>
                  </w:tcBorders>
                  <w:noWrap w:val="0"/>
                  <w:vAlign w:val="center"/>
                </w:tcPr>
                <w:p w14:paraId="579489B8">
                  <w:pPr>
                    <w:pStyle w:val="53"/>
                    <w:bidi w:val="0"/>
                    <w:jc w:val="center"/>
                    <w:rPr>
                      <w:rFonts w:hint="default"/>
                      <w:b/>
                      <w:bCs/>
                      <w:color w:val="auto"/>
                      <w:highlight w:val="none"/>
                    </w:rPr>
                  </w:pPr>
                </w:p>
              </w:tc>
              <w:tc>
                <w:tcPr>
                  <w:tcW w:w="865" w:type="dxa"/>
                  <w:vMerge w:val="continue"/>
                  <w:tcBorders>
                    <w:top w:val="nil"/>
                  </w:tcBorders>
                  <w:noWrap w:val="0"/>
                  <w:vAlign w:val="center"/>
                </w:tcPr>
                <w:p w14:paraId="2BA39DF3">
                  <w:pPr>
                    <w:pStyle w:val="53"/>
                    <w:bidi w:val="0"/>
                    <w:jc w:val="center"/>
                    <w:rPr>
                      <w:rFonts w:hint="default"/>
                      <w:b/>
                      <w:bCs/>
                      <w:color w:val="auto"/>
                      <w:highlight w:val="none"/>
                      <w:lang w:eastAsia="zh-CN"/>
                    </w:rPr>
                  </w:pPr>
                </w:p>
              </w:tc>
              <w:tc>
                <w:tcPr>
                  <w:tcW w:w="720" w:type="dxa"/>
                  <w:noWrap w:val="0"/>
                  <w:vAlign w:val="center"/>
                </w:tcPr>
                <w:p w14:paraId="2F26C003">
                  <w:pPr>
                    <w:pStyle w:val="53"/>
                    <w:bidi w:val="0"/>
                    <w:jc w:val="center"/>
                    <w:rPr>
                      <w:rFonts w:hint="default"/>
                      <w:b/>
                      <w:bCs/>
                      <w:color w:val="auto"/>
                      <w:highlight w:val="none"/>
                      <w:lang w:eastAsia="zh-CN"/>
                    </w:rPr>
                  </w:pPr>
                  <w:r>
                    <w:rPr>
                      <w:rFonts w:hint="default"/>
                      <w:b/>
                      <w:bCs/>
                      <w:color w:val="auto"/>
                      <w:highlight w:val="none"/>
                      <w:lang w:eastAsia="zh-CN"/>
                    </w:rPr>
                    <w:t>t/a</w:t>
                  </w:r>
                </w:p>
              </w:tc>
              <w:tc>
                <w:tcPr>
                  <w:tcW w:w="909" w:type="dxa"/>
                  <w:noWrap w:val="0"/>
                  <w:vAlign w:val="center"/>
                </w:tcPr>
                <w:p w14:paraId="0B146525">
                  <w:pPr>
                    <w:pStyle w:val="53"/>
                    <w:bidi w:val="0"/>
                    <w:jc w:val="center"/>
                    <w:rPr>
                      <w:rFonts w:hint="default"/>
                      <w:b/>
                      <w:bCs/>
                      <w:color w:val="auto"/>
                      <w:highlight w:val="none"/>
                      <w:lang w:eastAsia="zh-CN"/>
                    </w:rPr>
                  </w:pPr>
                  <w:r>
                    <w:rPr>
                      <w:rFonts w:hint="default"/>
                      <w:b/>
                      <w:bCs/>
                      <w:color w:val="auto"/>
                      <w:highlight w:val="none"/>
                      <w:lang w:eastAsia="zh-CN"/>
                    </w:rPr>
                    <w:t>kg/h</w:t>
                  </w:r>
                </w:p>
              </w:tc>
              <w:tc>
                <w:tcPr>
                  <w:tcW w:w="975" w:type="dxa"/>
                  <w:vMerge w:val="continue"/>
                  <w:tcBorders>
                    <w:top w:val="nil"/>
                  </w:tcBorders>
                  <w:noWrap w:val="0"/>
                  <w:vAlign w:val="center"/>
                </w:tcPr>
                <w:p w14:paraId="001B981F">
                  <w:pPr>
                    <w:pStyle w:val="53"/>
                    <w:bidi w:val="0"/>
                    <w:jc w:val="center"/>
                    <w:rPr>
                      <w:rFonts w:hint="default"/>
                      <w:b/>
                      <w:bCs/>
                      <w:color w:val="auto"/>
                      <w:highlight w:val="none"/>
                    </w:rPr>
                  </w:pPr>
                </w:p>
              </w:tc>
              <w:tc>
                <w:tcPr>
                  <w:tcW w:w="932" w:type="dxa"/>
                  <w:vMerge w:val="continue"/>
                  <w:tcBorders>
                    <w:top w:val="nil"/>
                  </w:tcBorders>
                  <w:noWrap w:val="0"/>
                  <w:vAlign w:val="center"/>
                </w:tcPr>
                <w:p w14:paraId="185B500E">
                  <w:pPr>
                    <w:pStyle w:val="53"/>
                    <w:bidi w:val="0"/>
                    <w:jc w:val="center"/>
                    <w:rPr>
                      <w:rFonts w:hint="default"/>
                      <w:b/>
                      <w:bCs/>
                      <w:color w:val="auto"/>
                      <w:highlight w:val="none"/>
                    </w:rPr>
                  </w:pPr>
                </w:p>
              </w:tc>
              <w:tc>
                <w:tcPr>
                  <w:tcW w:w="626" w:type="dxa"/>
                  <w:noWrap w:val="0"/>
                  <w:vAlign w:val="center"/>
                </w:tcPr>
                <w:p w14:paraId="5C0F8530">
                  <w:pPr>
                    <w:pStyle w:val="53"/>
                    <w:bidi w:val="0"/>
                    <w:jc w:val="center"/>
                    <w:rPr>
                      <w:rFonts w:hint="default"/>
                      <w:b/>
                      <w:bCs/>
                      <w:color w:val="auto"/>
                      <w:highlight w:val="none"/>
                    </w:rPr>
                  </w:pPr>
                  <w:r>
                    <w:rPr>
                      <w:rFonts w:hint="default"/>
                      <w:b/>
                      <w:bCs/>
                      <w:color w:val="auto"/>
                      <w:highlight w:val="none"/>
                    </w:rPr>
                    <w:t>t/a</w:t>
                  </w:r>
                </w:p>
              </w:tc>
              <w:tc>
                <w:tcPr>
                  <w:tcW w:w="709" w:type="dxa"/>
                  <w:tcBorders>
                    <w:right w:val="single" w:color="auto" w:sz="4" w:space="0"/>
                  </w:tcBorders>
                  <w:noWrap w:val="0"/>
                  <w:vAlign w:val="center"/>
                </w:tcPr>
                <w:p w14:paraId="24015B0A">
                  <w:pPr>
                    <w:pStyle w:val="53"/>
                    <w:bidi w:val="0"/>
                    <w:jc w:val="center"/>
                    <w:rPr>
                      <w:rFonts w:hint="default"/>
                      <w:b/>
                      <w:bCs/>
                      <w:color w:val="auto"/>
                      <w:highlight w:val="none"/>
                    </w:rPr>
                  </w:pPr>
                  <w:r>
                    <w:rPr>
                      <w:rFonts w:hint="default"/>
                      <w:b/>
                      <w:bCs/>
                      <w:color w:val="auto"/>
                      <w:highlight w:val="none"/>
                    </w:rPr>
                    <w:t>kg/h</w:t>
                  </w:r>
                </w:p>
              </w:tc>
            </w:tr>
            <w:tr w14:paraId="5A4AB3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63" w:type="dxa"/>
                  <w:vMerge w:val="restart"/>
                  <w:noWrap w:val="0"/>
                  <w:vAlign w:val="center"/>
                </w:tcPr>
                <w:p w14:paraId="037CB553">
                  <w:pPr>
                    <w:pStyle w:val="53"/>
                    <w:bidi w:val="0"/>
                    <w:jc w:val="center"/>
                    <w:rPr>
                      <w:rFonts w:hint="default"/>
                      <w:color w:val="auto"/>
                      <w:highlight w:val="none"/>
                      <w:lang w:val="en-US" w:eastAsia="zh-CN"/>
                    </w:rPr>
                  </w:pPr>
                  <w:r>
                    <w:rPr>
                      <w:rFonts w:hint="eastAsia"/>
                      <w:color w:val="auto"/>
                      <w:highlight w:val="none"/>
                      <w:lang w:val="en-US" w:eastAsia="zh-CN"/>
                    </w:rPr>
                    <w:t>热处理废气</w:t>
                  </w:r>
                </w:p>
              </w:tc>
              <w:tc>
                <w:tcPr>
                  <w:tcW w:w="685" w:type="dxa"/>
                  <w:vMerge w:val="restart"/>
                  <w:tcBorders>
                    <w:right w:val="single" w:color="auto" w:sz="4" w:space="0"/>
                  </w:tcBorders>
                  <w:noWrap w:val="0"/>
                  <w:vAlign w:val="center"/>
                </w:tcPr>
                <w:p w14:paraId="16B264DD">
                  <w:pPr>
                    <w:pStyle w:val="53"/>
                    <w:bidi w:val="0"/>
                    <w:jc w:val="center"/>
                    <w:rPr>
                      <w:rFonts w:hint="default"/>
                      <w:color w:val="auto"/>
                      <w:highlight w:val="none"/>
                      <w:lang w:val="en-US" w:eastAsia="zh-CN"/>
                    </w:rPr>
                  </w:pPr>
                  <w:r>
                    <w:rPr>
                      <w:rFonts w:hint="eastAsia" w:cs="Times New Roman"/>
                      <w:color w:val="auto"/>
                      <w:highlight w:val="none"/>
                      <w:lang w:val="en-US" w:eastAsia="zh-CN"/>
                    </w:rPr>
                    <w:t>234</w:t>
                  </w:r>
                  <w:r>
                    <w:rPr>
                      <w:rFonts w:hint="eastAsia" w:ascii="Times New Roman" w:hAnsi="Times New Roman" w:cs="Times New Roman"/>
                      <w:color w:val="auto"/>
                      <w:highlight w:val="none"/>
                      <w:lang w:val="en-US" w:eastAsia="zh-CN"/>
                    </w:rPr>
                    <w:t>万</w:t>
                  </w:r>
                  <w:r>
                    <w:rPr>
                      <w:rFonts w:hint="default" w:ascii="Times New Roman" w:hAnsi="Times New Roman" w:cs="Times New Roman"/>
                      <w:color w:val="auto"/>
                      <w:highlight w:val="none"/>
                      <w:vertAlign w:val="baseli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/a</w:t>
                  </w:r>
                </w:p>
              </w:tc>
              <w:tc>
                <w:tcPr>
                  <w:tcW w:w="400" w:type="dxa"/>
                  <w:vMerge w:val="restart"/>
                  <w:tcBorders>
                    <w:left w:val="single" w:color="auto" w:sz="4" w:space="0"/>
                  </w:tcBorders>
                  <w:noWrap w:val="0"/>
                  <w:vAlign w:val="center"/>
                </w:tcPr>
                <w:p w14:paraId="75BFD231">
                  <w:pPr>
                    <w:pStyle w:val="53"/>
                    <w:bidi w:val="0"/>
                    <w:jc w:val="center"/>
                    <w:rPr>
                      <w:rFonts w:hint="eastAsia" w:eastAsia="宋体"/>
                      <w:color w:val="auto"/>
                      <w:highlight w:val="none"/>
                      <w:lang w:val="zh-CN" w:eastAsia="zh-CN"/>
                    </w:rPr>
                  </w:pPr>
                  <w:r>
                    <w:rPr>
                      <w:rFonts w:hint="eastAsia"/>
                      <w:color w:val="auto"/>
                      <w:highlight w:val="none"/>
                      <w:lang w:val="en-US" w:eastAsia="zh-CN"/>
                    </w:rPr>
                    <w:t>有组织</w:t>
                  </w:r>
                </w:p>
              </w:tc>
              <w:tc>
                <w:tcPr>
                  <w:tcW w:w="562" w:type="dxa"/>
                  <w:tcBorders>
                    <w:right w:val="single" w:color="auto" w:sz="4" w:space="0"/>
                  </w:tcBorders>
                  <w:noWrap w:val="0"/>
                  <w:vAlign w:val="center"/>
                </w:tcPr>
                <w:p w14:paraId="026255DA">
                  <w:pPr>
                    <w:pStyle w:val="53"/>
                    <w:bidi w:val="0"/>
                    <w:jc w:val="center"/>
                    <w:rPr>
                      <w:rFonts w:hint="default"/>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865" w:type="dxa"/>
                  <w:shd w:val="clear" w:color="auto" w:fill="auto"/>
                  <w:noWrap w:val="0"/>
                  <w:vAlign w:val="center"/>
                </w:tcPr>
                <w:p w14:paraId="7614DD0B">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14.71</w:t>
                  </w:r>
                </w:p>
              </w:tc>
              <w:tc>
                <w:tcPr>
                  <w:tcW w:w="720" w:type="dxa"/>
                  <w:shd w:val="clear" w:color="auto" w:fill="auto"/>
                  <w:noWrap w:val="0"/>
                  <w:vAlign w:val="center"/>
                </w:tcPr>
                <w:p w14:paraId="781BB397">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0.030</w:t>
                  </w:r>
                </w:p>
              </w:tc>
              <w:tc>
                <w:tcPr>
                  <w:tcW w:w="909" w:type="dxa"/>
                  <w:shd w:val="clear" w:color="auto" w:fill="auto"/>
                  <w:noWrap w:val="0"/>
                  <w:vAlign w:val="center"/>
                </w:tcPr>
                <w:p w14:paraId="0FB40A5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0.0125</w:t>
                  </w:r>
                </w:p>
              </w:tc>
              <w:tc>
                <w:tcPr>
                  <w:tcW w:w="975" w:type="dxa"/>
                  <w:vMerge w:val="restart"/>
                  <w:noWrap w:val="0"/>
                  <w:vAlign w:val="center"/>
                </w:tcPr>
                <w:p w14:paraId="5C016F18">
                  <w:pPr>
                    <w:pStyle w:val="53"/>
                    <w:bidi w:val="0"/>
                    <w:jc w:val="center"/>
                    <w:rPr>
                      <w:rFonts w:hint="default"/>
                      <w:color w:val="auto"/>
                      <w:highlight w:val="none"/>
                      <w:lang w:val="en-US" w:eastAsia="zh-CN"/>
                    </w:rPr>
                  </w:pPr>
                  <w:r>
                    <w:rPr>
                      <w:rFonts w:hint="eastAsia"/>
                      <w:color w:val="auto"/>
                      <w:highlight w:val="none"/>
                      <w:lang w:val="en-US" w:eastAsia="zh-CN"/>
                    </w:rPr>
                    <w:t>低氮燃烧法</w:t>
                  </w:r>
                  <w:r>
                    <w:rPr>
                      <w:rFonts w:hint="eastAsia"/>
                      <w:color w:val="auto"/>
                      <w:lang w:val="en-US" w:eastAsia="zh-CN"/>
                    </w:rPr>
                    <w:t>+油雾净化器+15m高排气筒排放</w:t>
                  </w:r>
                </w:p>
              </w:tc>
              <w:tc>
                <w:tcPr>
                  <w:tcW w:w="932" w:type="dxa"/>
                  <w:shd w:val="clear" w:color="auto" w:fill="auto"/>
                  <w:noWrap w:val="0"/>
                  <w:vAlign w:val="center"/>
                </w:tcPr>
                <w:p w14:paraId="290B59F2">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12.82</w:t>
                  </w:r>
                </w:p>
              </w:tc>
              <w:tc>
                <w:tcPr>
                  <w:tcW w:w="626" w:type="dxa"/>
                  <w:noWrap w:val="0"/>
                  <w:vAlign w:val="center"/>
                </w:tcPr>
                <w:p w14:paraId="580A2BC6">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0.030</w:t>
                  </w:r>
                </w:p>
              </w:tc>
              <w:tc>
                <w:tcPr>
                  <w:tcW w:w="709" w:type="dxa"/>
                  <w:tcBorders>
                    <w:right w:val="single" w:color="auto" w:sz="4" w:space="0"/>
                  </w:tcBorders>
                  <w:noWrap w:val="0"/>
                  <w:vAlign w:val="center"/>
                </w:tcPr>
                <w:p w14:paraId="2CDDA432">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0.0125</w:t>
                  </w:r>
                </w:p>
              </w:tc>
            </w:tr>
            <w:tr w14:paraId="2A7F51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63" w:type="dxa"/>
                  <w:vMerge w:val="continue"/>
                  <w:noWrap w:val="0"/>
                  <w:vAlign w:val="center"/>
                </w:tcPr>
                <w:p w14:paraId="21B4515F">
                  <w:pPr>
                    <w:pStyle w:val="53"/>
                    <w:bidi w:val="0"/>
                    <w:jc w:val="center"/>
                    <w:rPr>
                      <w:rFonts w:hint="default"/>
                      <w:color w:val="auto"/>
                      <w:highlight w:val="none"/>
                      <w:lang w:val="en-US" w:eastAsia="zh-CN"/>
                    </w:rPr>
                  </w:pPr>
                </w:p>
              </w:tc>
              <w:tc>
                <w:tcPr>
                  <w:tcW w:w="685" w:type="dxa"/>
                  <w:vMerge w:val="continue"/>
                  <w:tcBorders>
                    <w:right w:val="single" w:color="auto" w:sz="4" w:space="0"/>
                  </w:tcBorders>
                  <w:noWrap w:val="0"/>
                  <w:vAlign w:val="center"/>
                </w:tcPr>
                <w:p w14:paraId="0CBD731F">
                  <w:pPr>
                    <w:pStyle w:val="53"/>
                    <w:bidi w:val="0"/>
                    <w:jc w:val="center"/>
                    <w:rPr>
                      <w:rFonts w:hint="default"/>
                      <w:color w:val="auto"/>
                      <w:highlight w:val="none"/>
                      <w:lang w:val="en-US" w:eastAsia="zh-CN"/>
                    </w:rPr>
                  </w:pPr>
                </w:p>
              </w:tc>
              <w:tc>
                <w:tcPr>
                  <w:tcW w:w="400" w:type="dxa"/>
                  <w:vMerge w:val="continue"/>
                  <w:tcBorders>
                    <w:left w:val="single" w:color="auto" w:sz="4" w:space="0"/>
                  </w:tcBorders>
                  <w:noWrap w:val="0"/>
                  <w:vAlign w:val="center"/>
                </w:tcPr>
                <w:p w14:paraId="2454E011">
                  <w:pPr>
                    <w:pStyle w:val="53"/>
                    <w:bidi w:val="0"/>
                    <w:jc w:val="center"/>
                    <w:rPr>
                      <w:rFonts w:hint="default"/>
                      <w:color w:val="auto"/>
                      <w:highlight w:val="none"/>
                      <w:lang w:val="zh-CN" w:eastAsia="zh-CN"/>
                    </w:rPr>
                  </w:pPr>
                </w:p>
              </w:tc>
              <w:tc>
                <w:tcPr>
                  <w:tcW w:w="562" w:type="dxa"/>
                  <w:tcBorders>
                    <w:right w:val="single" w:color="auto" w:sz="4" w:space="0"/>
                  </w:tcBorders>
                  <w:noWrap w:val="0"/>
                  <w:vAlign w:val="center"/>
                </w:tcPr>
                <w:p w14:paraId="1AFC3EE4">
                  <w:pPr>
                    <w:pStyle w:val="53"/>
                    <w:bidi w:val="0"/>
                    <w:jc w:val="center"/>
                    <w:rPr>
                      <w:rFonts w:hint="default"/>
                      <w:color w:val="auto"/>
                      <w:highlight w:val="none"/>
                      <w:vertAlign w:val="subscript"/>
                      <w:lang w:val="en-US" w:eastAsia="zh-CN"/>
                    </w:rPr>
                  </w:pPr>
                  <w:r>
                    <w:rPr>
                      <w:rFonts w:hint="eastAsia"/>
                      <w:color w:val="auto"/>
                      <w:highlight w:val="none"/>
                      <w:lang w:val="en-US" w:eastAsia="zh-CN"/>
                    </w:rPr>
                    <w:t>TSP</w:t>
                  </w:r>
                </w:p>
              </w:tc>
              <w:tc>
                <w:tcPr>
                  <w:tcW w:w="865" w:type="dxa"/>
                  <w:shd w:val="clear" w:color="auto" w:fill="auto"/>
                  <w:noWrap w:val="0"/>
                  <w:vAlign w:val="center"/>
                </w:tcPr>
                <w:p w14:paraId="6409276F">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103.85</w:t>
                  </w:r>
                </w:p>
              </w:tc>
              <w:tc>
                <w:tcPr>
                  <w:tcW w:w="720" w:type="dxa"/>
                  <w:shd w:val="clear" w:color="auto" w:fill="auto"/>
                  <w:noWrap w:val="0"/>
                  <w:vAlign w:val="center"/>
                </w:tcPr>
                <w:p w14:paraId="2928FB1E">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0.243</w:t>
                  </w:r>
                </w:p>
              </w:tc>
              <w:tc>
                <w:tcPr>
                  <w:tcW w:w="909" w:type="dxa"/>
                  <w:shd w:val="clear" w:color="auto" w:fill="auto"/>
                  <w:noWrap w:val="0"/>
                  <w:vAlign w:val="center"/>
                </w:tcPr>
                <w:p w14:paraId="030CB507">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0.101</w:t>
                  </w:r>
                </w:p>
              </w:tc>
              <w:tc>
                <w:tcPr>
                  <w:tcW w:w="975" w:type="dxa"/>
                  <w:vMerge w:val="continue"/>
                  <w:noWrap w:val="0"/>
                  <w:vAlign w:val="center"/>
                </w:tcPr>
                <w:p w14:paraId="41A5EB44">
                  <w:pPr>
                    <w:pStyle w:val="53"/>
                    <w:bidi w:val="0"/>
                    <w:jc w:val="center"/>
                    <w:rPr>
                      <w:rFonts w:hint="default"/>
                      <w:color w:val="auto"/>
                      <w:highlight w:val="none"/>
                      <w:lang w:val="en-US" w:eastAsia="zh-CN"/>
                    </w:rPr>
                  </w:pPr>
                </w:p>
              </w:tc>
              <w:tc>
                <w:tcPr>
                  <w:tcW w:w="932" w:type="dxa"/>
                  <w:shd w:val="clear" w:color="auto" w:fill="auto"/>
                  <w:noWrap w:val="0"/>
                  <w:vAlign w:val="center"/>
                </w:tcPr>
                <w:p w14:paraId="6AEB343B">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26.92</w:t>
                  </w:r>
                </w:p>
              </w:tc>
              <w:tc>
                <w:tcPr>
                  <w:tcW w:w="626" w:type="dxa"/>
                  <w:noWrap w:val="0"/>
                  <w:vAlign w:val="center"/>
                </w:tcPr>
                <w:p w14:paraId="64C206F2">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0.063</w:t>
                  </w:r>
                </w:p>
              </w:tc>
              <w:tc>
                <w:tcPr>
                  <w:tcW w:w="709" w:type="dxa"/>
                  <w:tcBorders>
                    <w:right w:val="single" w:color="auto" w:sz="4" w:space="0"/>
                  </w:tcBorders>
                  <w:noWrap w:val="0"/>
                  <w:vAlign w:val="center"/>
                </w:tcPr>
                <w:p w14:paraId="7171771C">
                  <w:pPr>
                    <w:pStyle w:val="53"/>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0.026</w:t>
                  </w:r>
                </w:p>
              </w:tc>
            </w:tr>
            <w:tr w14:paraId="0CE609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63" w:type="dxa"/>
                  <w:vMerge w:val="continue"/>
                  <w:noWrap w:val="0"/>
                  <w:vAlign w:val="center"/>
                </w:tcPr>
                <w:p w14:paraId="6985220E">
                  <w:pPr>
                    <w:pStyle w:val="53"/>
                    <w:bidi w:val="0"/>
                    <w:jc w:val="center"/>
                    <w:rPr>
                      <w:rFonts w:hint="default"/>
                      <w:color w:val="auto"/>
                      <w:highlight w:val="none"/>
                      <w:lang w:val="en-US" w:eastAsia="zh-CN"/>
                    </w:rPr>
                  </w:pPr>
                </w:p>
              </w:tc>
              <w:tc>
                <w:tcPr>
                  <w:tcW w:w="685" w:type="dxa"/>
                  <w:vMerge w:val="continue"/>
                  <w:tcBorders>
                    <w:right w:val="single" w:color="auto" w:sz="4" w:space="0"/>
                  </w:tcBorders>
                  <w:noWrap w:val="0"/>
                  <w:vAlign w:val="center"/>
                </w:tcPr>
                <w:p w14:paraId="1AEA72CD">
                  <w:pPr>
                    <w:pStyle w:val="53"/>
                    <w:bidi w:val="0"/>
                    <w:jc w:val="center"/>
                    <w:rPr>
                      <w:rFonts w:hint="default"/>
                      <w:color w:val="auto"/>
                      <w:highlight w:val="none"/>
                      <w:lang w:val="en-US" w:eastAsia="zh-CN"/>
                    </w:rPr>
                  </w:pPr>
                </w:p>
              </w:tc>
              <w:tc>
                <w:tcPr>
                  <w:tcW w:w="400" w:type="dxa"/>
                  <w:vMerge w:val="continue"/>
                  <w:tcBorders>
                    <w:left w:val="single" w:color="auto" w:sz="4" w:space="0"/>
                  </w:tcBorders>
                  <w:noWrap w:val="0"/>
                  <w:vAlign w:val="center"/>
                </w:tcPr>
                <w:p w14:paraId="23EAF49F">
                  <w:pPr>
                    <w:pStyle w:val="53"/>
                    <w:bidi w:val="0"/>
                    <w:jc w:val="center"/>
                    <w:rPr>
                      <w:rFonts w:hint="default"/>
                      <w:color w:val="auto"/>
                      <w:highlight w:val="none"/>
                      <w:lang w:val="zh-CN" w:eastAsia="zh-CN"/>
                    </w:rPr>
                  </w:pPr>
                </w:p>
              </w:tc>
              <w:tc>
                <w:tcPr>
                  <w:tcW w:w="562" w:type="dxa"/>
                  <w:tcBorders>
                    <w:right w:val="single" w:color="auto" w:sz="4" w:space="0"/>
                  </w:tcBorders>
                  <w:noWrap w:val="0"/>
                  <w:vAlign w:val="center"/>
                </w:tcPr>
                <w:p w14:paraId="27FEC6A8">
                  <w:pPr>
                    <w:pStyle w:val="53"/>
                    <w:bidi w:val="0"/>
                    <w:jc w:val="center"/>
                    <w:rPr>
                      <w:rFonts w:hint="default"/>
                      <w:color w:val="auto"/>
                      <w:highlight w:val="none"/>
                      <w:vertAlign w:val="subscript"/>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865" w:type="dxa"/>
                  <w:shd w:val="clear" w:color="auto" w:fill="auto"/>
                  <w:noWrap w:val="0"/>
                  <w:vAlign w:val="center"/>
                </w:tcPr>
                <w:p w14:paraId="4828B464">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59.83</w:t>
                  </w:r>
                </w:p>
              </w:tc>
              <w:tc>
                <w:tcPr>
                  <w:tcW w:w="720" w:type="dxa"/>
                  <w:shd w:val="clear" w:color="auto" w:fill="auto"/>
                  <w:noWrap w:val="0"/>
                  <w:vAlign w:val="center"/>
                </w:tcPr>
                <w:p w14:paraId="52867F3B">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0.14</w:t>
                  </w:r>
                </w:p>
              </w:tc>
              <w:tc>
                <w:tcPr>
                  <w:tcW w:w="909" w:type="dxa"/>
                  <w:shd w:val="clear" w:color="auto" w:fill="auto"/>
                  <w:noWrap w:val="0"/>
                  <w:vAlign w:val="center"/>
                </w:tcPr>
                <w:p w14:paraId="1FE136DC">
                  <w:pPr>
                    <w:pStyle w:val="53"/>
                    <w:bidi w:val="0"/>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olor w:val="auto"/>
                      <w:highlight w:val="none"/>
                      <w:lang w:val="en-US" w:eastAsia="zh-CN"/>
                    </w:rPr>
                    <w:t>0.058</w:t>
                  </w:r>
                </w:p>
              </w:tc>
              <w:tc>
                <w:tcPr>
                  <w:tcW w:w="975" w:type="dxa"/>
                  <w:vMerge w:val="continue"/>
                  <w:noWrap w:val="0"/>
                  <w:vAlign w:val="center"/>
                </w:tcPr>
                <w:p w14:paraId="47B64D46">
                  <w:pPr>
                    <w:pStyle w:val="53"/>
                    <w:bidi w:val="0"/>
                    <w:jc w:val="center"/>
                    <w:rPr>
                      <w:rFonts w:hint="default"/>
                      <w:color w:val="auto"/>
                      <w:highlight w:val="none"/>
                      <w:lang w:val="en-US" w:eastAsia="zh-CN"/>
                    </w:rPr>
                  </w:pPr>
                </w:p>
              </w:tc>
              <w:tc>
                <w:tcPr>
                  <w:tcW w:w="932" w:type="dxa"/>
                  <w:shd w:val="clear" w:color="auto" w:fill="auto"/>
                  <w:noWrap w:val="0"/>
                  <w:vAlign w:val="center"/>
                </w:tcPr>
                <w:p w14:paraId="668F984D">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59.83</w:t>
                  </w:r>
                </w:p>
              </w:tc>
              <w:tc>
                <w:tcPr>
                  <w:tcW w:w="626" w:type="dxa"/>
                  <w:noWrap w:val="0"/>
                  <w:vAlign w:val="center"/>
                </w:tcPr>
                <w:p w14:paraId="008A1D09">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0.14</w:t>
                  </w:r>
                </w:p>
              </w:tc>
              <w:tc>
                <w:tcPr>
                  <w:tcW w:w="709" w:type="dxa"/>
                  <w:tcBorders>
                    <w:right w:val="single" w:color="auto" w:sz="4" w:space="0"/>
                  </w:tcBorders>
                  <w:noWrap w:val="0"/>
                  <w:vAlign w:val="center"/>
                </w:tcPr>
                <w:p w14:paraId="401732F6">
                  <w:pPr>
                    <w:pStyle w:val="53"/>
                    <w:bidi w:val="0"/>
                    <w:ind w:left="0" w:leftChars="0" w:firstLine="0" w:firstLineChars="0"/>
                    <w:jc w:val="center"/>
                    <w:rPr>
                      <w:rFonts w:hint="default"/>
                      <w:color w:val="auto"/>
                      <w:lang w:val="en-US" w:eastAsia="zh-CN"/>
                    </w:rPr>
                  </w:pPr>
                  <w:r>
                    <w:rPr>
                      <w:rFonts w:hint="eastAsia"/>
                      <w:color w:val="auto"/>
                      <w:highlight w:val="none"/>
                      <w:lang w:val="en-US" w:eastAsia="zh-CN"/>
                    </w:rPr>
                    <w:t>0.058</w:t>
                  </w:r>
                </w:p>
              </w:tc>
            </w:tr>
            <w:tr w14:paraId="67D50E1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63" w:type="dxa"/>
                  <w:noWrap w:val="0"/>
                  <w:vAlign w:val="center"/>
                </w:tcPr>
                <w:p w14:paraId="72321BB2">
                  <w:pPr>
                    <w:pStyle w:val="53"/>
                    <w:bidi w:val="0"/>
                    <w:jc w:val="center"/>
                    <w:rPr>
                      <w:rFonts w:hint="default"/>
                      <w:color w:val="auto"/>
                      <w:highlight w:val="none"/>
                      <w:lang w:val="en-US" w:eastAsia="zh-CN"/>
                    </w:rPr>
                  </w:pPr>
                  <w:r>
                    <w:rPr>
                      <w:rFonts w:hint="eastAsia"/>
                      <w:color w:val="auto"/>
                      <w:highlight w:val="none"/>
                      <w:lang w:val="en-US" w:eastAsia="zh-CN"/>
                    </w:rPr>
                    <w:t>抛丸机粉尘</w:t>
                  </w:r>
                </w:p>
              </w:tc>
              <w:tc>
                <w:tcPr>
                  <w:tcW w:w="685" w:type="dxa"/>
                  <w:tcBorders>
                    <w:right w:val="single" w:color="auto" w:sz="4" w:space="0"/>
                  </w:tcBorders>
                  <w:noWrap w:val="0"/>
                  <w:vAlign w:val="center"/>
                </w:tcPr>
                <w:p w14:paraId="21603DF6">
                  <w:pPr>
                    <w:pStyle w:val="53"/>
                    <w:bidi w:val="0"/>
                    <w:jc w:val="center"/>
                    <w:rPr>
                      <w:rFonts w:hint="default"/>
                      <w:color w:val="auto"/>
                      <w:highlight w:val="none"/>
                      <w:lang w:val="en-US" w:eastAsia="zh-CN"/>
                    </w:rPr>
                  </w:pPr>
                  <w:r>
                    <w:rPr>
                      <w:rFonts w:hint="eastAsia"/>
                      <w:color w:val="auto"/>
                      <w:highlight w:val="none"/>
                      <w:vertAlign w:val="baseline"/>
                      <w:lang w:val="en-US" w:eastAsia="zh-CN"/>
                    </w:rPr>
                    <w:t>2635万m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tc>
              <w:tc>
                <w:tcPr>
                  <w:tcW w:w="400" w:type="dxa"/>
                  <w:tcBorders>
                    <w:left w:val="single" w:color="auto" w:sz="4" w:space="0"/>
                  </w:tcBorders>
                  <w:noWrap w:val="0"/>
                  <w:vAlign w:val="center"/>
                </w:tcPr>
                <w:p w14:paraId="7DF098C7">
                  <w:pPr>
                    <w:pStyle w:val="53"/>
                    <w:bidi w:val="0"/>
                    <w:jc w:val="center"/>
                    <w:rPr>
                      <w:rFonts w:hint="eastAsia" w:eastAsia="宋体"/>
                      <w:color w:val="auto"/>
                      <w:highlight w:val="none"/>
                      <w:lang w:val="en-US" w:eastAsia="zh-CN"/>
                    </w:rPr>
                  </w:pPr>
                  <w:r>
                    <w:rPr>
                      <w:rFonts w:hint="eastAsia"/>
                      <w:color w:val="auto"/>
                      <w:lang w:val="en-US" w:eastAsia="zh-CN"/>
                    </w:rPr>
                    <w:t>有组织</w:t>
                  </w:r>
                </w:p>
              </w:tc>
              <w:tc>
                <w:tcPr>
                  <w:tcW w:w="562" w:type="dxa"/>
                  <w:tcBorders>
                    <w:right w:val="single" w:color="auto" w:sz="4" w:space="0"/>
                  </w:tcBorders>
                  <w:noWrap w:val="0"/>
                  <w:vAlign w:val="center"/>
                </w:tcPr>
                <w:p w14:paraId="2AED59F9">
                  <w:pPr>
                    <w:pStyle w:val="53"/>
                    <w:bidi w:val="0"/>
                    <w:jc w:val="center"/>
                    <w:rPr>
                      <w:rFonts w:hint="default"/>
                      <w:color w:val="auto"/>
                      <w:highlight w:val="none"/>
                      <w:lang w:val="en-US" w:eastAsia="zh-CN"/>
                    </w:rPr>
                  </w:pPr>
                  <w:r>
                    <w:rPr>
                      <w:rFonts w:hint="eastAsia"/>
                      <w:color w:val="auto"/>
                      <w:highlight w:val="none"/>
                      <w:lang w:val="en-US" w:eastAsia="zh-CN"/>
                    </w:rPr>
                    <w:t>TSP</w:t>
                  </w:r>
                </w:p>
              </w:tc>
              <w:tc>
                <w:tcPr>
                  <w:tcW w:w="865" w:type="dxa"/>
                  <w:noWrap w:val="0"/>
                  <w:vAlign w:val="center"/>
                </w:tcPr>
                <w:p w14:paraId="637B9757">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257</w:t>
                  </w:r>
                  <w:r>
                    <w:rPr>
                      <w:rFonts w:hint="eastAsia" w:cs="Times New Roman"/>
                      <w:color w:val="auto"/>
                      <w:kern w:val="0"/>
                      <w:sz w:val="21"/>
                      <w:szCs w:val="20"/>
                      <w:highlight w:val="none"/>
                      <w:lang w:val="en-US" w:eastAsia="zh-CN" w:bidi="ar-SA"/>
                    </w:rPr>
                    <w:t>.</w:t>
                  </w:r>
                  <w:r>
                    <w:rPr>
                      <w:rFonts w:hint="eastAsia" w:ascii="Times New Roman" w:hAnsi="Times New Roman" w:eastAsia="宋体" w:cs="Times New Roman"/>
                      <w:color w:val="auto"/>
                      <w:kern w:val="0"/>
                      <w:sz w:val="21"/>
                      <w:szCs w:val="20"/>
                      <w:highlight w:val="none"/>
                      <w:lang w:val="en-US" w:eastAsia="zh-CN" w:bidi="ar-SA"/>
                    </w:rPr>
                    <w:t>6</w:t>
                  </w:r>
                  <w:r>
                    <w:rPr>
                      <w:rFonts w:hint="eastAsia" w:cs="Times New Roman"/>
                      <w:color w:val="auto"/>
                      <w:kern w:val="0"/>
                      <w:sz w:val="21"/>
                      <w:szCs w:val="20"/>
                      <w:highlight w:val="none"/>
                      <w:lang w:val="en-US" w:eastAsia="zh-CN" w:bidi="ar-SA"/>
                    </w:rPr>
                    <w:t>5</w:t>
                  </w:r>
                </w:p>
              </w:tc>
              <w:tc>
                <w:tcPr>
                  <w:tcW w:w="720" w:type="dxa"/>
                  <w:shd w:val="clear" w:color="auto" w:fill="auto"/>
                  <w:noWrap w:val="0"/>
                  <w:vAlign w:val="center"/>
                </w:tcPr>
                <w:p w14:paraId="04DBECF8">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6.789</w:t>
                  </w:r>
                </w:p>
              </w:tc>
              <w:tc>
                <w:tcPr>
                  <w:tcW w:w="909" w:type="dxa"/>
                  <w:noWrap w:val="0"/>
                  <w:vAlign w:val="center"/>
                </w:tcPr>
                <w:p w14:paraId="645D4A0E">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2.83</w:t>
                  </w:r>
                </w:p>
              </w:tc>
              <w:tc>
                <w:tcPr>
                  <w:tcW w:w="975" w:type="dxa"/>
                  <w:noWrap w:val="0"/>
                  <w:vAlign w:val="center"/>
                </w:tcPr>
                <w:p w14:paraId="1615CD47">
                  <w:pPr>
                    <w:pStyle w:val="53"/>
                    <w:bidi w:val="0"/>
                    <w:jc w:val="center"/>
                    <w:rPr>
                      <w:rFonts w:hint="default"/>
                      <w:color w:val="auto"/>
                      <w:highlight w:val="none"/>
                      <w:lang w:val="en-US" w:eastAsia="zh-CN"/>
                    </w:rPr>
                  </w:pPr>
                  <w:r>
                    <w:rPr>
                      <w:rFonts w:hint="eastAsia"/>
                      <w:color w:val="auto"/>
                      <w:highlight w:val="none"/>
                      <w:lang w:val="en-US" w:eastAsia="zh-CN"/>
                    </w:rPr>
                    <w:t>采用袋式除尘（除尘效率95%）+15m高排气筒</w:t>
                  </w:r>
                </w:p>
              </w:tc>
              <w:tc>
                <w:tcPr>
                  <w:tcW w:w="932" w:type="dxa"/>
                  <w:shd w:val="clear" w:color="auto" w:fill="auto"/>
                  <w:noWrap w:val="0"/>
                  <w:vAlign w:val="center"/>
                </w:tcPr>
                <w:p w14:paraId="09511BB6">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12.88</w:t>
                  </w:r>
                </w:p>
              </w:tc>
              <w:tc>
                <w:tcPr>
                  <w:tcW w:w="626" w:type="dxa"/>
                  <w:noWrap w:val="0"/>
                  <w:vAlign w:val="center"/>
                </w:tcPr>
                <w:p w14:paraId="4E544D1F">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0.3</w:t>
                  </w:r>
                  <w:r>
                    <w:rPr>
                      <w:rFonts w:hint="eastAsia" w:cs="Times New Roman"/>
                      <w:color w:val="auto"/>
                      <w:kern w:val="0"/>
                      <w:sz w:val="21"/>
                      <w:szCs w:val="20"/>
                      <w:highlight w:val="none"/>
                      <w:lang w:val="en-US" w:eastAsia="zh-CN" w:bidi="ar-SA"/>
                    </w:rPr>
                    <w:t>4</w:t>
                  </w:r>
                </w:p>
              </w:tc>
              <w:tc>
                <w:tcPr>
                  <w:tcW w:w="709" w:type="dxa"/>
                  <w:tcBorders>
                    <w:right w:val="single" w:color="auto" w:sz="4" w:space="0"/>
                  </w:tcBorders>
                  <w:noWrap w:val="0"/>
                  <w:vAlign w:val="center"/>
                </w:tcPr>
                <w:p w14:paraId="1BC66A0A">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0.141</w:t>
                  </w:r>
                </w:p>
              </w:tc>
            </w:tr>
          </w:tbl>
          <w:p w14:paraId="6B7CB79A">
            <w:pPr>
              <w:numPr>
                <w:ilvl w:val="0"/>
                <w:numId w:val="0"/>
              </w:numPr>
              <w:bidi w:val="0"/>
              <w:ind w:left="0" w:leftChars="0" w:firstLine="480" w:firstLineChars="200"/>
              <w:rPr>
                <w:rFonts w:hint="eastAsia"/>
                <w:color w:val="auto"/>
                <w:highlight w:val="none"/>
                <w:lang w:val="en-US" w:eastAsia="zh-CN"/>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color w:val="auto"/>
                <w:highlight w:val="none"/>
                <w:lang w:val="en-US" w:eastAsia="zh-CN"/>
              </w:rPr>
              <w:t>废气治理措施可行性分析</w:t>
            </w:r>
          </w:p>
          <w:p w14:paraId="78275503">
            <w:pPr>
              <w:keepNext w:val="0"/>
              <w:keepLines w:val="0"/>
              <w:widowControl/>
              <w:suppressLineNumbers w:val="0"/>
              <w:jc w:val="left"/>
              <w:rPr>
                <w:rFonts w:hint="eastAsia"/>
                <w:color w:val="auto"/>
                <w:highlight w:val="none"/>
                <w:lang w:val="en-US" w:eastAsia="zh-CN"/>
              </w:rPr>
            </w:pPr>
            <w:r>
              <w:rPr>
                <w:rFonts w:hint="eastAsia"/>
                <w:color w:val="auto"/>
                <w:highlight w:val="none"/>
                <w:lang w:val="en-US" w:eastAsia="zh-CN"/>
              </w:rPr>
              <w:t>①袋式除尘设施工作原理</w:t>
            </w:r>
          </w:p>
          <w:p w14:paraId="7AF3BCE6">
            <w:pPr>
              <w:bidi w:val="0"/>
              <w:rPr>
                <w:rFonts w:hint="default"/>
                <w:color w:val="auto"/>
                <w:highlight w:val="none"/>
                <w:lang w:val="en-US" w:eastAsia="zh-CN"/>
              </w:rPr>
            </w:pPr>
            <w:r>
              <w:rPr>
                <w:rFonts w:hint="default"/>
                <w:color w:val="auto"/>
                <w:highlight w:val="none"/>
                <w:lang w:val="en-US" w:eastAsia="zh-CN"/>
              </w:rPr>
              <w:t>袋式除尘器是一种利用滤袋捕集粉尘颗粒的过滤式除尘装置。其工作流程如下：</w:t>
            </w:r>
          </w:p>
          <w:p w14:paraId="6B0B07C7">
            <w:pPr>
              <w:bidi w:val="0"/>
              <w:rPr>
                <w:rFonts w:hint="default"/>
                <w:color w:val="auto"/>
                <w:highlight w:val="none"/>
                <w:lang w:val="en-US" w:eastAsia="zh-CN"/>
              </w:rPr>
            </w:pPr>
            <w:r>
              <w:rPr>
                <w:rFonts w:hint="default"/>
                <w:color w:val="auto"/>
                <w:highlight w:val="none"/>
                <w:lang w:val="en-US" w:eastAsia="zh-CN"/>
              </w:rPr>
              <w:t>含尘气体经进风口进入灰斗后，因体积骤增，粗颗粒粉尘受惯性或重力作用直接落入灰斗；其余细颗粒随气流上升进入袋室，经滤袋过滤后滞留于滤袋外侧，净化气体则由滤袋内部进入上箱体，最终通过阀板孔和排风口排入大气，完成除尘。</w:t>
            </w:r>
          </w:p>
          <w:p w14:paraId="4F395729">
            <w:pPr>
              <w:bidi w:val="0"/>
              <w:rPr>
                <w:rFonts w:hint="eastAsia"/>
                <w:color w:val="auto"/>
                <w:highlight w:val="none"/>
                <w:lang w:val="en-US" w:eastAsia="zh-CN"/>
              </w:rPr>
            </w:pPr>
            <w:r>
              <w:rPr>
                <w:rFonts w:hint="eastAsia"/>
                <w:color w:val="auto"/>
                <w:highlight w:val="none"/>
                <w:lang w:val="en-US" w:eastAsia="zh-CN"/>
              </w:rPr>
              <w:t>②袋式除尘设施可行性分析</w:t>
            </w:r>
          </w:p>
          <w:p w14:paraId="7F9A45FC">
            <w:pPr>
              <w:bidi w:val="0"/>
              <w:rPr>
                <w:rFonts w:hint="default"/>
                <w:color w:val="auto"/>
                <w:highlight w:val="none"/>
                <w:lang w:val="en-US" w:eastAsia="zh-CN"/>
              </w:rPr>
            </w:pPr>
            <w:r>
              <w:rPr>
                <w:rFonts w:hint="default"/>
                <w:color w:val="auto"/>
                <w:highlight w:val="none"/>
                <w:lang w:val="en-US" w:eastAsia="zh-CN"/>
              </w:rPr>
              <w:t>根据对国内同类企业的调查统计，袋式除尘器在多行业的粉尘治理中获得广泛运行，长期的应用经验表明，袋式除尘器具有除尘效率高（99.5%）、性能稳定，且机体结构紧凑、过滤面积大、密闭性能好、清</w:t>
            </w:r>
            <w:bookmarkStart w:id="6" w:name="_GoBack"/>
            <w:bookmarkEnd w:id="6"/>
            <w:r>
              <w:rPr>
                <w:rFonts w:hint="default"/>
                <w:color w:val="auto"/>
                <w:highlight w:val="none"/>
                <w:lang w:val="en-US" w:eastAsia="zh-CN"/>
              </w:rPr>
              <w:t>灰效果好、维修管理方便、操作简单，获得越来越广泛的应用，故本项目</w:t>
            </w:r>
            <w:r>
              <w:rPr>
                <w:rFonts w:hint="eastAsia"/>
                <w:color w:val="auto"/>
                <w:highlight w:val="none"/>
                <w:lang w:val="en-US" w:eastAsia="zh-CN"/>
              </w:rPr>
              <w:t>抛丸</w:t>
            </w:r>
            <w:r>
              <w:rPr>
                <w:rFonts w:hint="default"/>
                <w:color w:val="auto"/>
                <w:highlight w:val="none"/>
                <w:lang w:val="en-US" w:eastAsia="zh-CN"/>
              </w:rPr>
              <w:t>粉尘采用袋式除尘设施治理粉尘废气是可行的。</w:t>
            </w:r>
          </w:p>
          <w:p w14:paraId="55CF221F">
            <w:pPr>
              <w:pStyle w:val="6"/>
              <w:rPr>
                <w:rFonts w:hint="eastAsia"/>
                <w:color w:val="auto"/>
                <w:highlight w:val="none"/>
                <w:lang w:val="en-US" w:eastAsia="zh-CN"/>
              </w:rPr>
            </w:pPr>
            <w:r>
              <w:rPr>
                <w:rFonts w:hint="eastAsia"/>
                <w:color w:val="auto"/>
                <w:highlight w:val="none"/>
                <w:lang w:val="en-US" w:eastAsia="zh-CN"/>
              </w:rPr>
              <w:t>③低氮燃烧法可行性分析</w:t>
            </w:r>
          </w:p>
          <w:p w14:paraId="432379EF">
            <w:pPr>
              <w:rPr>
                <w:rFonts w:hint="default"/>
                <w:color w:val="auto"/>
                <w:lang w:val="en-US" w:eastAsia="zh-CN"/>
              </w:rPr>
            </w:pPr>
            <w:r>
              <w:rPr>
                <w:rFonts w:hint="eastAsia"/>
                <w:color w:val="auto"/>
                <w:highlight w:val="none"/>
                <w:lang w:val="en-US" w:eastAsia="zh-CN"/>
              </w:rPr>
              <w:t>本项目热处理炉与锻造加热炉采用低氮燃烧法进行氮氧化物控制，该技术通过采用低氮燃烧器、空气分级燃烧及烟气再循环等措施，优化炉内燃烧状态，降低火焰峰值温度与局部氧浓度，从源头抑制热力型氮氧化物生成，属于成熟可靠的工业炉窑源头治理技术。低氮燃烧法可使 NOₓ排放浓度稳定满足区域及行业排放标准要求，具有技术成熟、适配性强、投资及运行成本较低、无二次污染物产生等优势，无需额外设置SCR等末端脱硝设施，对炉体加热质量及生产运行无明显不利影响，能够将NO</w:t>
            </w:r>
            <w:r>
              <w:rPr>
                <w:rFonts w:hint="eastAsia"/>
                <w:color w:val="auto"/>
                <w:highlight w:val="none"/>
                <w:vertAlign w:val="subscript"/>
                <w:lang w:val="en-US" w:eastAsia="zh-CN"/>
              </w:rPr>
              <w:t>x</w:t>
            </w:r>
            <w:r>
              <w:rPr>
                <w:rFonts w:hint="eastAsia"/>
                <w:color w:val="auto"/>
                <w:highlight w:val="none"/>
                <w:lang w:val="en-US" w:eastAsia="zh-CN"/>
              </w:rPr>
              <w:t>排放浓度稳定控制在60-80 mg/m</w:t>
            </w:r>
            <w:r>
              <w:rPr>
                <w:rFonts w:hint="eastAsia"/>
                <w:color w:val="auto"/>
                <w:highlight w:val="none"/>
                <w:vertAlign w:val="superscript"/>
                <w:lang w:val="en-US" w:eastAsia="zh-CN"/>
              </w:rPr>
              <w:t>3</w:t>
            </w:r>
            <w:r>
              <w:rPr>
                <w:rFonts w:hint="eastAsia"/>
                <w:color w:val="auto"/>
                <w:highlight w:val="none"/>
                <w:lang w:val="en-US" w:eastAsia="zh-CN"/>
              </w:rPr>
              <w:t>乃至更低的水平，技术可靠且适配性强。</w:t>
            </w:r>
          </w:p>
          <w:p w14:paraId="6802E08D">
            <w:pPr>
              <w:pStyle w:val="6"/>
              <w:rPr>
                <w:rFonts w:hint="eastAsia"/>
                <w:color w:val="auto"/>
                <w:highlight w:val="none"/>
                <w:lang w:val="en-US" w:eastAsia="zh-CN"/>
              </w:rPr>
            </w:pPr>
            <w:r>
              <w:rPr>
                <w:rFonts w:hint="eastAsia"/>
                <w:color w:val="auto"/>
                <w:highlight w:val="none"/>
                <w:lang w:val="en-US" w:eastAsia="zh-CN"/>
              </w:rPr>
              <w:t>④油雾净化装置可行性分析</w:t>
            </w:r>
          </w:p>
          <w:p w14:paraId="2A60F85A">
            <w:pPr>
              <w:rPr>
                <w:rFonts w:hint="eastAsia"/>
                <w:color w:val="auto"/>
                <w:highlight w:val="none"/>
                <w:lang w:val="en-US" w:eastAsia="zh-CN"/>
              </w:rPr>
            </w:pPr>
            <w:r>
              <w:rPr>
                <w:rFonts w:hint="eastAsia"/>
                <w:color w:val="auto"/>
                <w:lang w:val="en-US" w:eastAsia="zh-CN"/>
              </w:rPr>
              <w:t>淬火油烟尘采用</w:t>
            </w:r>
            <w:r>
              <w:rPr>
                <w:rFonts w:hint="default"/>
                <w:color w:val="auto"/>
                <w:lang w:val="en-US" w:eastAsia="zh-CN"/>
              </w:rPr>
              <w:t>油雾净化装置</w:t>
            </w:r>
            <w:r>
              <w:rPr>
                <w:rFonts w:hint="eastAsia"/>
                <w:color w:val="auto"/>
                <w:lang w:val="en-US" w:eastAsia="zh-CN"/>
              </w:rPr>
              <w:t>进行处理。该</w:t>
            </w:r>
            <w:r>
              <w:rPr>
                <w:rFonts w:hint="default"/>
                <w:color w:val="auto"/>
                <w:lang w:val="en-US" w:eastAsia="zh-CN"/>
              </w:rPr>
              <w:t>装置主要采用</w:t>
            </w:r>
            <w:r>
              <w:rPr>
                <w:rFonts w:hint="eastAsia"/>
                <w:color w:val="auto"/>
                <w:lang w:val="en-US" w:eastAsia="zh-CN"/>
              </w:rPr>
              <w:t>“</w:t>
            </w:r>
            <w:r>
              <w:rPr>
                <w:rFonts w:hint="default"/>
                <w:color w:val="auto"/>
                <w:lang w:val="en-US" w:eastAsia="zh-CN"/>
              </w:rPr>
              <w:t>机械过滤+静电吸附</w:t>
            </w:r>
            <w:r>
              <w:rPr>
                <w:rFonts w:hint="eastAsia"/>
                <w:color w:val="auto"/>
                <w:lang w:val="en-US" w:eastAsia="zh-CN"/>
              </w:rPr>
              <w:t>”</w:t>
            </w:r>
            <w:r>
              <w:rPr>
                <w:rFonts w:hint="default"/>
                <w:color w:val="auto"/>
                <w:lang w:val="en-US" w:eastAsia="zh-CN"/>
              </w:rPr>
              <w:t>的组合式工作原理，技术成熟且处理效率高。其工作流程始于机械式预处理，通过惯性分离和碰撞作用拦截去除大部分大于10微米的油滴，减轻后续处理负荷。核心环节是高压静电沉积，利用电晕极使细微油雾颗粒荷电，随后在沉淀极的电场力作用下被捕集，该单元对微米及亚微米级颗粒的去除率可达9</w:t>
            </w:r>
            <w:r>
              <w:rPr>
                <w:rFonts w:hint="eastAsia"/>
                <w:color w:val="auto"/>
                <w:lang w:val="en-US" w:eastAsia="zh-CN"/>
              </w:rPr>
              <w:t>0</w:t>
            </w:r>
            <w:r>
              <w:rPr>
                <w:rFonts w:hint="default"/>
                <w:color w:val="auto"/>
                <w:lang w:val="en-US" w:eastAsia="zh-CN"/>
              </w:rPr>
              <w:t>%以上。</w:t>
            </w:r>
          </w:p>
          <w:p w14:paraId="0AF9146D">
            <w:pPr>
              <w:pStyle w:val="6"/>
              <w:rPr>
                <w:rFonts w:hint="eastAsia"/>
                <w:color w:val="auto"/>
                <w:highlight w:val="none"/>
                <w:lang w:val="en-US" w:eastAsia="zh-CN"/>
              </w:rPr>
            </w:pPr>
            <w:r>
              <w:rPr>
                <w:rFonts w:hint="eastAsia"/>
                <w:color w:val="auto"/>
                <w:highlight w:val="none"/>
                <w:lang w:val="en-US" w:eastAsia="zh-CN"/>
              </w:rPr>
              <w:t>⑤排气筒高度可行性分析</w:t>
            </w:r>
          </w:p>
          <w:p w14:paraId="056C1FE5">
            <w:pPr>
              <w:bidi w:val="0"/>
              <w:rPr>
                <w:rFonts w:hint="default"/>
                <w:color w:val="auto"/>
                <w:lang w:val="en-US" w:eastAsia="zh-CN"/>
              </w:rPr>
            </w:pPr>
            <w:r>
              <w:rPr>
                <w:rFonts w:hint="eastAsia"/>
                <w:color w:val="auto"/>
                <w:lang w:val="en-US" w:eastAsia="zh-CN"/>
              </w:rPr>
              <w:t>本项目产生的热处理天然气燃烧废气经一根15m排气筒（DA001）达标排放；抛丸机粉尘经收集后通过袋式除尘器处理后经一根15m排气筒（DA002）排放。周边厂房200m最高建筑物为8m，满足</w:t>
            </w:r>
            <w:r>
              <w:rPr>
                <w:rFonts w:hint="eastAsia"/>
                <w:color w:val="auto"/>
              </w:rPr>
              <w:t>《大气污染物综合排放标准》（GB 16297-1996）</w:t>
            </w:r>
            <w:r>
              <w:rPr>
                <w:rFonts w:hint="eastAsia"/>
                <w:color w:val="auto"/>
                <w:lang w:val="en-US" w:eastAsia="zh-CN"/>
              </w:rPr>
              <w:t>中排气筒高度最低15m且高出200m最高建筑物5m的要求。</w:t>
            </w:r>
          </w:p>
          <w:p w14:paraId="4676E40C">
            <w:pPr>
              <w:bidi w:val="0"/>
              <w:rPr>
                <w:rFonts w:hint="default"/>
                <w:color w:val="auto"/>
                <w:lang w:val="en-US" w:eastAsia="zh-CN"/>
              </w:rPr>
            </w:pPr>
            <w:r>
              <w:rPr>
                <w:rFonts w:hint="eastAsia"/>
                <w:color w:val="auto"/>
                <w:lang w:val="en-US" w:eastAsia="zh-CN"/>
              </w:rPr>
              <w:t>根据《排污许可证申请与核发技术规范 汽车制造业》（HJ971-2018）表25</w:t>
            </w:r>
            <w:r>
              <w:rPr>
                <w:rFonts w:hint="eastAsia"/>
                <w:color w:val="auto"/>
                <w:lang w:val="en-US" w:eastAsia="zh-CN"/>
              </w:rPr>
              <w:t>中推荐排污防治措施。本项目针对热处理废气采用的低氮燃烧装置和油雾净化器以及针对抛丸机粉尘采用的袋式除尘设备，均属于“污染防治可行技术”中的技术。</w:t>
            </w:r>
          </w:p>
          <w:p w14:paraId="4C0D40E4">
            <w:pPr>
              <w:bidi w:val="0"/>
              <w:rPr>
                <w:rFonts w:hint="default"/>
                <w:color w:val="auto"/>
                <w:highlight w:val="none"/>
                <w:lang w:val="en-US" w:eastAsia="zh-CN"/>
              </w:rPr>
            </w:pPr>
            <w:r>
              <w:rPr>
                <w:rFonts w:hint="default"/>
                <w:color w:val="auto"/>
                <w:highlight w:val="none"/>
                <w:lang w:val="en-US" w:eastAsia="zh-CN"/>
              </w:rPr>
              <w:t>综上，本项目废气治理措施可行。</w:t>
            </w:r>
          </w:p>
          <w:p w14:paraId="2BEA2F81">
            <w:pPr>
              <w:pStyle w:val="6"/>
              <w:numPr>
                <w:ilvl w:val="0"/>
                <w:numId w:val="0"/>
              </w:numPr>
              <w:ind w:left="0" w:leftChars="0" w:firstLine="480" w:firstLineChars="200"/>
              <w:rPr>
                <w:rFonts w:hint="eastAsia"/>
                <w:color w:val="auto"/>
                <w:highlight w:val="none"/>
                <w:lang w:val="en-US" w:eastAsia="zh-CN"/>
              </w:rPr>
            </w:pPr>
            <w:r>
              <w:rPr>
                <w:rFonts w:hint="eastAsia" w:ascii="Times New Roman" w:hAnsi="Times New Roman" w:eastAsia="宋体" w:cs="Times New Roman"/>
                <w:color w:val="auto"/>
                <w:kern w:val="2"/>
                <w:sz w:val="24"/>
                <w:szCs w:val="24"/>
                <w:lang w:val="en-US" w:eastAsia="zh-CN" w:bidi="ar-SA"/>
              </w:rPr>
              <w:t>（4）</w:t>
            </w:r>
            <w:r>
              <w:rPr>
                <w:rFonts w:hint="eastAsia"/>
                <w:color w:val="auto"/>
                <w:highlight w:val="none"/>
                <w:lang w:val="en-US" w:eastAsia="zh-CN"/>
              </w:rPr>
              <w:t>非正常排放情况下废气对环境的影响</w:t>
            </w:r>
          </w:p>
          <w:p w14:paraId="3B2AAF77">
            <w:pPr>
              <w:bidi w:val="0"/>
              <w:rPr>
                <w:rFonts w:hint="eastAsia"/>
                <w:color w:val="auto"/>
                <w:highlight w:val="none"/>
                <w:lang w:val="en-US" w:eastAsia="zh-CN"/>
              </w:rPr>
            </w:pPr>
            <w:r>
              <w:rPr>
                <w:rFonts w:hint="eastAsia"/>
                <w:color w:val="auto"/>
                <w:highlight w:val="none"/>
                <w:lang w:val="en-US" w:eastAsia="zh-CN"/>
              </w:rPr>
              <w:t>非正常工况主要是污染物排放控制措施达不到应有效率，即废气处理系统失效，造成废气污染物未经净化直接排放。以最不利情况下废气处理系统净化效率为零考虑，废气排放源强最大持续时间为1h，非正常工况下排放情况如下表。</w:t>
            </w:r>
          </w:p>
          <w:p w14:paraId="72516D99">
            <w:pPr>
              <w:pStyle w:val="58"/>
              <w:bidi w:val="0"/>
              <w:rPr>
                <w:rFonts w:hint="eastAsia"/>
                <w:color w:val="auto"/>
                <w:highlight w:val="none"/>
                <w:lang w:val="en-US" w:eastAsia="zh-CN"/>
              </w:rPr>
            </w:pPr>
            <w:r>
              <w:rPr>
                <w:rFonts w:hint="eastAsia"/>
                <w:color w:val="auto"/>
                <w:highlight w:val="none"/>
                <w:lang w:val="en-US" w:eastAsia="zh-CN"/>
              </w:rPr>
              <w:t>表4-6    项目废气非正常工况排放情况一览表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447"/>
              <w:gridCol w:w="1203"/>
              <w:gridCol w:w="1524"/>
              <w:gridCol w:w="746"/>
              <w:gridCol w:w="1135"/>
              <w:gridCol w:w="1135"/>
            </w:tblGrid>
            <w:tr w14:paraId="294E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15F4EEA1">
                  <w:pPr>
                    <w:pStyle w:val="53"/>
                    <w:bidi w:val="0"/>
                    <w:jc w:val="center"/>
                    <w:rPr>
                      <w:rFonts w:hint="default"/>
                      <w:b/>
                      <w:bCs w:val="0"/>
                      <w:color w:val="auto"/>
                      <w:highlight w:val="none"/>
                      <w:lang w:val="en-US" w:eastAsia="zh-CN"/>
                    </w:rPr>
                  </w:pPr>
                  <w:r>
                    <w:rPr>
                      <w:rFonts w:hint="eastAsia"/>
                      <w:b/>
                      <w:bCs w:val="0"/>
                      <w:color w:val="auto"/>
                      <w:highlight w:val="none"/>
                      <w:lang w:val="en-US" w:eastAsia="zh-CN"/>
                    </w:rPr>
                    <w:t>序号</w:t>
                  </w:r>
                </w:p>
              </w:tc>
              <w:tc>
                <w:tcPr>
                  <w:tcW w:w="1447" w:type="dxa"/>
                  <w:vAlign w:val="center"/>
                </w:tcPr>
                <w:p w14:paraId="2F3A233B">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排放源</w:t>
                  </w:r>
                </w:p>
              </w:tc>
              <w:tc>
                <w:tcPr>
                  <w:tcW w:w="1203" w:type="dxa"/>
                  <w:vAlign w:val="center"/>
                </w:tcPr>
                <w:p w14:paraId="34536A45">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污染物</w:t>
                  </w:r>
                </w:p>
              </w:tc>
              <w:tc>
                <w:tcPr>
                  <w:tcW w:w="1524" w:type="dxa"/>
                  <w:vAlign w:val="center"/>
                </w:tcPr>
                <w:p w14:paraId="2AB45824">
                  <w:pPr>
                    <w:pStyle w:val="53"/>
                    <w:bidi w:val="0"/>
                    <w:jc w:val="center"/>
                    <w:rPr>
                      <w:rFonts w:hint="default"/>
                      <w:b/>
                      <w:bCs w:val="0"/>
                      <w:color w:val="auto"/>
                      <w:highlight w:val="none"/>
                      <w:lang w:val="en-US" w:eastAsia="zh-CN"/>
                    </w:rPr>
                  </w:pPr>
                  <w:r>
                    <w:rPr>
                      <w:rFonts w:hint="eastAsia"/>
                      <w:b/>
                      <w:bCs w:val="0"/>
                      <w:color w:val="auto"/>
                      <w:highlight w:val="none"/>
                      <w:lang w:val="en-US" w:eastAsia="zh-CN"/>
                    </w:rPr>
                    <w:t>非正常情况类型</w:t>
                  </w:r>
                </w:p>
              </w:tc>
              <w:tc>
                <w:tcPr>
                  <w:tcW w:w="746" w:type="dxa"/>
                  <w:vAlign w:val="center"/>
                </w:tcPr>
                <w:p w14:paraId="7ACDE759">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持续时间</w:t>
                  </w:r>
                </w:p>
              </w:tc>
              <w:tc>
                <w:tcPr>
                  <w:tcW w:w="1135" w:type="dxa"/>
                  <w:vAlign w:val="center"/>
                </w:tcPr>
                <w:p w14:paraId="7A1F8B5A">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排放量(kg/h)</w:t>
                  </w:r>
                </w:p>
              </w:tc>
              <w:tc>
                <w:tcPr>
                  <w:tcW w:w="1135" w:type="dxa"/>
                  <w:vAlign w:val="center"/>
                </w:tcPr>
                <w:p w14:paraId="42744041">
                  <w:pPr>
                    <w:pStyle w:val="53"/>
                    <w:bidi w:val="0"/>
                    <w:jc w:val="center"/>
                    <w:rPr>
                      <w:rFonts w:hint="default"/>
                      <w:b/>
                      <w:bCs w:val="0"/>
                      <w:color w:val="auto"/>
                      <w:highlight w:val="none"/>
                      <w:lang w:val="en-US" w:eastAsia="zh-CN"/>
                    </w:rPr>
                  </w:pPr>
                  <w:r>
                    <w:rPr>
                      <w:rFonts w:hint="eastAsia"/>
                      <w:b/>
                      <w:bCs w:val="0"/>
                      <w:color w:val="auto"/>
                      <w:highlight w:val="none"/>
                      <w:lang w:val="en-US" w:eastAsia="zh-CN"/>
                    </w:rPr>
                    <w:t>措施</w:t>
                  </w:r>
                </w:p>
              </w:tc>
            </w:tr>
            <w:tr w14:paraId="475E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vAlign w:val="center"/>
                </w:tcPr>
                <w:p w14:paraId="132C2FAE">
                  <w:pPr>
                    <w:pStyle w:val="53"/>
                    <w:bidi w:val="0"/>
                    <w:jc w:val="center"/>
                    <w:rPr>
                      <w:rFonts w:hint="default"/>
                      <w:color w:val="auto"/>
                      <w:highlight w:val="none"/>
                      <w:lang w:val="en-US" w:eastAsia="zh-CN"/>
                    </w:rPr>
                  </w:pPr>
                  <w:r>
                    <w:rPr>
                      <w:rFonts w:hint="eastAsia"/>
                      <w:color w:val="auto"/>
                      <w:highlight w:val="none"/>
                      <w:lang w:val="en-US" w:eastAsia="zh-CN"/>
                    </w:rPr>
                    <w:t>1</w:t>
                  </w:r>
                </w:p>
              </w:tc>
              <w:tc>
                <w:tcPr>
                  <w:tcW w:w="1447" w:type="dxa"/>
                  <w:vMerge w:val="restart"/>
                  <w:vAlign w:val="center"/>
                </w:tcPr>
                <w:p w14:paraId="51F99501">
                  <w:pPr>
                    <w:pStyle w:val="53"/>
                    <w:bidi w:val="0"/>
                    <w:jc w:val="center"/>
                    <w:rPr>
                      <w:rFonts w:hint="default"/>
                      <w:color w:val="auto"/>
                      <w:highlight w:val="none"/>
                      <w:lang w:val="en-US" w:eastAsia="zh-CN"/>
                    </w:rPr>
                  </w:pPr>
                  <w:r>
                    <w:rPr>
                      <w:rFonts w:hint="eastAsia"/>
                      <w:color w:val="auto"/>
                      <w:highlight w:val="none"/>
                      <w:lang w:val="en-US" w:eastAsia="zh-CN"/>
                    </w:rPr>
                    <w:t>热处理废气</w:t>
                  </w:r>
                </w:p>
              </w:tc>
              <w:tc>
                <w:tcPr>
                  <w:tcW w:w="1203" w:type="dxa"/>
                  <w:vAlign w:val="center"/>
                </w:tcPr>
                <w:p w14:paraId="7A8E3538">
                  <w:pPr>
                    <w:pStyle w:val="53"/>
                    <w:bidi w:val="0"/>
                    <w:jc w:val="center"/>
                    <w:rPr>
                      <w:rFonts w:hint="default"/>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524" w:type="dxa"/>
                  <w:vMerge w:val="restart"/>
                  <w:vAlign w:val="center"/>
                </w:tcPr>
                <w:p w14:paraId="3C81759D">
                  <w:pPr>
                    <w:pStyle w:val="53"/>
                    <w:bidi w:val="0"/>
                    <w:ind w:firstLine="0" w:firstLineChars="0"/>
                    <w:jc w:val="center"/>
                    <w:rPr>
                      <w:rFonts w:hint="default"/>
                      <w:color w:val="auto"/>
                      <w:highlight w:val="none"/>
                      <w:lang w:val="en-US" w:eastAsia="zh-CN"/>
                    </w:rPr>
                  </w:pPr>
                  <w:r>
                    <w:rPr>
                      <w:rFonts w:hint="eastAsia"/>
                      <w:color w:val="auto"/>
                      <w:highlight w:val="none"/>
                      <w:lang w:val="en-US" w:eastAsia="zh-CN"/>
                    </w:rPr>
                    <w:t>低氮燃烧和油雾净化器装置</w:t>
                  </w:r>
                  <w:r>
                    <w:rPr>
                      <w:rFonts w:hint="default"/>
                      <w:color w:val="auto"/>
                      <w:highlight w:val="none"/>
                      <w:lang w:val="en-US" w:eastAsia="zh-CN"/>
                    </w:rPr>
                    <w:t>失效，</w:t>
                  </w:r>
                  <w:r>
                    <w:rPr>
                      <w:rFonts w:hint="eastAsia"/>
                      <w:color w:val="auto"/>
                      <w:highlight w:val="none"/>
                      <w:lang w:val="en-US" w:eastAsia="zh-CN"/>
                    </w:rPr>
                    <w:t>热处理废气</w:t>
                  </w:r>
                  <w:r>
                    <w:rPr>
                      <w:rFonts w:hint="default"/>
                      <w:color w:val="auto"/>
                      <w:highlight w:val="none"/>
                      <w:lang w:val="en-US" w:eastAsia="zh-CN"/>
                    </w:rPr>
                    <w:t>直接排放</w:t>
                  </w:r>
                </w:p>
              </w:tc>
              <w:tc>
                <w:tcPr>
                  <w:tcW w:w="746" w:type="dxa"/>
                  <w:vAlign w:val="center"/>
                </w:tcPr>
                <w:p w14:paraId="1CB97129">
                  <w:pPr>
                    <w:pStyle w:val="53"/>
                    <w:bidi w:val="0"/>
                    <w:jc w:val="center"/>
                    <w:rPr>
                      <w:rFonts w:hint="default"/>
                      <w:color w:val="auto"/>
                      <w:highlight w:val="none"/>
                      <w:lang w:val="en-US" w:eastAsia="zh-CN"/>
                    </w:rPr>
                  </w:pPr>
                  <w:r>
                    <w:rPr>
                      <w:rFonts w:hint="eastAsia"/>
                      <w:color w:val="auto"/>
                      <w:highlight w:val="none"/>
                      <w:lang w:val="en-US" w:eastAsia="zh-CN"/>
                    </w:rPr>
                    <w:t>1h</w:t>
                  </w:r>
                </w:p>
              </w:tc>
              <w:tc>
                <w:tcPr>
                  <w:tcW w:w="1135" w:type="dxa"/>
                  <w:vAlign w:val="center"/>
                </w:tcPr>
                <w:p w14:paraId="38AE0DF9">
                  <w:pPr>
                    <w:pStyle w:val="53"/>
                    <w:bidi w:val="0"/>
                    <w:jc w:val="center"/>
                    <w:rPr>
                      <w:rFonts w:hint="default"/>
                      <w:color w:val="auto"/>
                      <w:highlight w:val="none"/>
                      <w:lang w:val="en-US" w:eastAsia="zh-CN"/>
                    </w:rPr>
                  </w:pPr>
                  <w:r>
                    <w:rPr>
                      <w:rFonts w:hint="eastAsia"/>
                      <w:color w:val="auto"/>
                      <w:highlight w:val="none"/>
                      <w:lang w:val="en-US" w:eastAsia="zh-CN"/>
                    </w:rPr>
                    <w:t>0.0125</w:t>
                  </w:r>
                </w:p>
              </w:tc>
              <w:tc>
                <w:tcPr>
                  <w:tcW w:w="1135" w:type="dxa"/>
                  <w:vMerge w:val="restart"/>
                  <w:vAlign w:val="center"/>
                </w:tcPr>
                <w:p w14:paraId="7F18EF43">
                  <w:pPr>
                    <w:pStyle w:val="53"/>
                    <w:bidi w:val="0"/>
                    <w:jc w:val="center"/>
                    <w:rPr>
                      <w:rFonts w:hint="eastAsia"/>
                      <w:color w:val="auto"/>
                      <w:highlight w:val="none"/>
                      <w:lang w:val="en-US" w:eastAsia="zh-CN"/>
                    </w:rPr>
                  </w:pPr>
                  <w:r>
                    <w:rPr>
                      <w:rFonts w:hint="eastAsia"/>
                      <w:color w:val="auto"/>
                      <w:highlight w:val="none"/>
                      <w:lang w:val="en-US" w:eastAsia="zh-CN"/>
                    </w:rPr>
                    <w:t>立即停止工作，进行检修维护</w:t>
                  </w:r>
                </w:p>
              </w:tc>
            </w:tr>
            <w:tr w14:paraId="6901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vAlign w:val="center"/>
                </w:tcPr>
                <w:p w14:paraId="31E078AE">
                  <w:pPr>
                    <w:pStyle w:val="53"/>
                    <w:bidi w:val="0"/>
                    <w:jc w:val="center"/>
                    <w:rPr>
                      <w:rFonts w:hint="eastAsia"/>
                      <w:color w:val="auto"/>
                      <w:highlight w:val="none"/>
                      <w:lang w:val="en-US" w:eastAsia="zh-CN"/>
                    </w:rPr>
                  </w:pPr>
                  <w:r>
                    <w:rPr>
                      <w:rFonts w:hint="eastAsia"/>
                      <w:color w:val="auto"/>
                      <w:highlight w:val="none"/>
                      <w:lang w:val="en-US" w:eastAsia="zh-CN"/>
                    </w:rPr>
                    <w:t>2</w:t>
                  </w:r>
                </w:p>
              </w:tc>
              <w:tc>
                <w:tcPr>
                  <w:tcW w:w="1447" w:type="dxa"/>
                  <w:vMerge w:val="continue"/>
                  <w:vAlign w:val="center"/>
                </w:tcPr>
                <w:p w14:paraId="60250FBC">
                  <w:pPr>
                    <w:pStyle w:val="53"/>
                    <w:bidi w:val="0"/>
                    <w:jc w:val="center"/>
                    <w:rPr>
                      <w:rFonts w:hint="eastAsia"/>
                      <w:color w:val="auto"/>
                      <w:highlight w:val="none"/>
                      <w:lang w:val="en-US" w:eastAsia="zh-CN"/>
                    </w:rPr>
                  </w:pPr>
                </w:p>
              </w:tc>
              <w:tc>
                <w:tcPr>
                  <w:tcW w:w="1203" w:type="dxa"/>
                  <w:vAlign w:val="center"/>
                </w:tcPr>
                <w:p w14:paraId="2CE22CD3">
                  <w:pPr>
                    <w:pStyle w:val="53"/>
                    <w:bidi w:val="0"/>
                    <w:jc w:val="center"/>
                    <w:rPr>
                      <w:rFonts w:hint="eastAsia"/>
                      <w:color w:val="auto"/>
                      <w:highlight w:val="none"/>
                      <w:lang w:val="en-US" w:eastAsia="zh-CN"/>
                    </w:rPr>
                  </w:pPr>
                  <w:r>
                    <w:rPr>
                      <w:rFonts w:hint="eastAsia"/>
                      <w:color w:val="auto"/>
                      <w:highlight w:val="none"/>
                      <w:lang w:val="en-US" w:eastAsia="zh-CN"/>
                    </w:rPr>
                    <w:t>颗粒物</w:t>
                  </w:r>
                </w:p>
              </w:tc>
              <w:tc>
                <w:tcPr>
                  <w:tcW w:w="1524" w:type="dxa"/>
                  <w:vMerge w:val="continue"/>
                  <w:vAlign w:val="center"/>
                </w:tcPr>
                <w:p w14:paraId="748554FC">
                  <w:pPr>
                    <w:pStyle w:val="53"/>
                    <w:bidi w:val="0"/>
                    <w:ind w:firstLine="0" w:firstLineChars="0"/>
                    <w:jc w:val="center"/>
                    <w:rPr>
                      <w:rFonts w:hint="eastAsia"/>
                      <w:color w:val="auto"/>
                      <w:highlight w:val="none"/>
                      <w:lang w:val="en-US" w:eastAsia="zh-CN"/>
                    </w:rPr>
                  </w:pPr>
                </w:p>
              </w:tc>
              <w:tc>
                <w:tcPr>
                  <w:tcW w:w="746" w:type="dxa"/>
                  <w:vAlign w:val="center"/>
                </w:tcPr>
                <w:p w14:paraId="016846C6">
                  <w:pPr>
                    <w:pStyle w:val="53"/>
                    <w:bidi w:val="0"/>
                    <w:jc w:val="center"/>
                    <w:rPr>
                      <w:rFonts w:hint="eastAsia"/>
                      <w:color w:val="auto"/>
                      <w:highlight w:val="none"/>
                      <w:lang w:val="en-US" w:eastAsia="zh-CN"/>
                    </w:rPr>
                  </w:pPr>
                  <w:r>
                    <w:rPr>
                      <w:rFonts w:hint="eastAsia"/>
                      <w:color w:val="auto"/>
                      <w:highlight w:val="none"/>
                      <w:lang w:val="en-US" w:eastAsia="zh-CN"/>
                    </w:rPr>
                    <w:t>1h</w:t>
                  </w:r>
                </w:p>
              </w:tc>
              <w:tc>
                <w:tcPr>
                  <w:tcW w:w="1135" w:type="dxa"/>
                  <w:vAlign w:val="center"/>
                </w:tcPr>
                <w:p w14:paraId="51F98915">
                  <w:pPr>
                    <w:pStyle w:val="53"/>
                    <w:bidi w:val="0"/>
                    <w:jc w:val="center"/>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0.101</w:t>
                  </w:r>
                </w:p>
              </w:tc>
              <w:tc>
                <w:tcPr>
                  <w:tcW w:w="1135" w:type="dxa"/>
                  <w:vMerge w:val="continue"/>
                  <w:vAlign w:val="center"/>
                </w:tcPr>
                <w:p w14:paraId="3E112BF3">
                  <w:pPr>
                    <w:pStyle w:val="53"/>
                    <w:bidi w:val="0"/>
                    <w:jc w:val="center"/>
                    <w:rPr>
                      <w:rFonts w:hint="eastAsia"/>
                      <w:color w:val="auto"/>
                      <w:highlight w:val="none"/>
                      <w:lang w:val="en-US" w:eastAsia="zh-CN"/>
                    </w:rPr>
                  </w:pPr>
                </w:p>
              </w:tc>
            </w:tr>
            <w:tr w14:paraId="429D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vAlign w:val="center"/>
                </w:tcPr>
                <w:p w14:paraId="1BA31D86">
                  <w:pPr>
                    <w:pStyle w:val="53"/>
                    <w:bidi w:val="0"/>
                    <w:jc w:val="center"/>
                    <w:rPr>
                      <w:rFonts w:hint="default"/>
                      <w:color w:val="auto"/>
                      <w:highlight w:val="none"/>
                      <w:lang w:val="en-US" w:eastAsia="zh-CN"/>
                    </w:rPr>
                  </w:pPr>
                  <w:r>
                    <w:rPr>
                      <w:rFonts w:hint="eastAsia"/>
                      <w:color w:val="auto"/>
                      <w:highlight w:val="none"/>
                      <w:lang w:val="en-US" w:eastAsia="zh-CN"/>
                    </w:rPr>
                    <w:t>3</w:t>
                  </w:r>
                </w:p>
              </w:tc>
              <w:tc>
                <w:tcPr>
                  <w:tcW w:w="1447" w:type="dxa"/>
                  <w:vMerge w:val="continue"/>
                  <w:vAlign w:val="center"/>
                </w:tcPr>
                <w:p w14:paraId="63AE3795">
                  <w:pPr>
                    <w:pStyle w:val="53"/>
                    <w:bidi w:val="0"/>
                    <w:jc w:val="center"/>
                    <w:rPr>
                      <w:rFonts w:hint="eastAsia"/>
                      <w:color w:val="auto"/>
                      <w:highlight w:val="none"/>
                      <w:lang w:val="en-US" w:eastAsia="zh-CN"/>
                    </w:rPr>
                  </w:pPr>
                </w:p>
              </w:tc>
              <w:tc>
                <w:tcPr>
                  <w:tcW w:w="1203" w:type="dxa"/>
                  <w:vAlign w:val="center"/>
                </w:tcPr>
                <w:p w14:paraId="05F72309">
                  <w:pPr>
                    <w:pStyle w:val="53"/>
                    <w:bidi w:val="0"/>
                    <w:jc w:val="center"/>
                    <w:rPr>
                      <w:rFonts w:hint="eastAsia"/>
                      <w:color w:val="auto"/>
                      <w:highlight w:val="none"/>
                      <w:lang w:val="en-US" w:eastAsia="zh-CN"/>
                    </w:rPr>
                  </w:pPr>
                  <w:r>
                    <w:rPr>
                      <w:rFonts w:hint="eastAsia"/>
                      <w:color w:val="auto"/>
                      <w:highlight w:val="none"/>
                      <w:lang w:val="en-US" w:eastAsia="zh-CN"/>
                    </w:rPr>
                    <w:t>NOx</w:t>
                  </w:r>
                </w:p>
              </w:tc>
              <w:tc>
                <w:tcPr>
                  <w:tcW w:w="1524" w:type="dxa"/>
                  <w:vMerge w:val="continue"/>
                  <w:vAlign w:val="center"/>
                </w:tcPr>
                <w:p w14:paraId="0433912E">
                  <w:pPr>
                    <w:pStyle w:val="53"/>
                    <w:bidi w:val="0"/>
                    <w:ind w:firstLine="0" w:firstLineChars="0"/>
                    <w:jc w:val="center"/>
                    <w:rPr>
                      <w:rFonts w:hint="eastAsia"/>
                      <w:color w:val="auto"/>
                      <w:highlight w:val="none"/>
                      <w:lang w:val="en-US" w:eastAsia="zh-CN"/>
                    </w:rPr>
                  </w:pPr>
                </w:p>
              </w:tc>
              <w:tc>
                <w:tcPr>
                  <w:tcW w:w="746" w:type="dxa"/>
                  <w:vAlign w:val="center"/>
                </w:tcPr>
                <w:p w14:paraId="72D441E2">
                  <w:pPr>
                    <w:pStyle w:val="53"/>
                    <w:bidi w:val="0"/>
                    <w:jc w:val="center"/>
                    <w:rPr>
                      <w:rFonts w:hint="eastAsia"/>
                      <w:color w:val="auto"/>
                      <w:highlight w:val="none"/>
                      <w:lang w:val="en-US" w:eastAsia="zh-CN"/>
                    </w:rPr>
                  </w:pPr>
                  <w:r>
                    <w:rPr>
                      <w:rFonts w:hint="eastAsia"/>
                      <w:color w:val="auto"/>
                      <w:highlight w:val="none"/>
                      <w:lang w:val="en-US" w:eastAsia="zh-CN"/>
                    </w:rPr>
                    <w:t>1h</w:t>
                  </w:r>
                </w:p>
              </w:tc>
              <w:tc>
                <w:tcPr>
                  <w:tcW w:w="1135" w:type="dxa"/>
                  <w:vAlign w:val="center"/>
                </w:tcPr>
                <w:p w14:paraId="480E8D75">
                  <w:pPr>
                    <w:pStyle w:val="53"/>
                    <w:bidi w:val="0"/>
                    <w:jc w:val="center"/>
                    <w:rPr>
                      <w:rFonts w:hint="eastAsia"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0.116</w:t>
                  </w:r>
                </w:p>
              </w:tc>
              <w:tc>
                <w:tcPr>
                  <w:tcW w:w="1135" w:type="dxa"/>
                  <w:vMerge w:val="continue"/>
                  <w:vAlign w:val="center"/>
                </w:tcPr>
                <w:p w14:paraId="41C80BFC">
                  <w:pPr>
                    <w:pStyle w:val="53"/>
                    <w:bidi w:val="0"/>
                    <w:jc w:val="center"/>
                    <w:rPr>
                      <w:rFonts w:hint="eastAsia"/>
                      <w:color w:val="auto"/>
                      <w:highlight w:val="none"/>
                      <w:lang w:val="en-US" w:eastAsia="zh-CN"/>
                    </w:rPr>
                  </w:pPr>
                </w:p>
              </w:tc>
            </w:tr>
            <w:tr w14:paraId="2B9C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vAlign w:val="center"/>
                </w:tcPr>
                <w:p w14:paraId="07A15374">
                  <w:pPr>
                    <w:pStyle w:val="53"/>
                    <w:bidi w:val="0"/>
                    <w:jc w:val="center"/>
                    <w:rPr>
                      <w:rFonts w:hint="default"/>
                      <w:color w:val="auto"/>
                      <w:highlight w:val="none"/>
                      <w:lang w:val="en-US" w:eastAsia="zh-CN"/>
                    </w:rPr>
                  </w:pPr>
                  <w:r>
                    <w:rPr>
                      <w:rFonts w:hint="eastAsia"/>
                      <w:color w:val="auto"/>
                      <w:highlight w:val="none"/>
                      <w:lang w:val="en-US" w:eastAsia="zh-CN"/>
                    </w:rPr>
                    <w:t>4</w:t>
                  </w:r>
                </w:p>
              </w:tc>
              <w:tc>
                <w:tcPr>
                  <w:tcW w:w="1447" w:type="dxa"/>
                  <w:shd w:val="clear" w:color="auto" w:fill="auto"/>
                  <w:vAlign w:val="center"/>
                </w:tcPr>
                <w:p w14:paraId="79F3D91F">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抛丸机粉尘</w:t>
                  </w:r>
                </w:p>
              </w:tc>
              <w:tc>
                <w:tcPr>
                  <w:tcW w:w="1203" w:type="dxa"/>
                  <w:shd w:val="clear" w:color="auto" w:fill="auto"/>
                  <w:vAlign w:val="center"/>
                </w:tcPr>
                <w:p w14:paraId="5EB8DFCB">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颗粒物</w:t>
                  </w:r>
                </w:p>
              </w:tc>
              <w:tc>
                <w:tcPr>
                  <w:tcW w:w="1524" w:type="dxa"/>
                  <w:shd w:val="clear" w:color="auto" w:fill="auto"/>
                  <w:vAlign w:val="center"/>
                </w:tcPr>
                <w:p w14:paraId="75788591">
                  <w:pPr>
                    <w:pStyle w:val="53"/>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color w:val="auto"/>
                      <w:highlight w:val="none"/>
                      <w:lang w:val="en-US" w:eastAsia="zh-CN"/>
                    </w:rPr>
                    <w:t>布袋除尘器失效，导致颗粒物直接排放</w:t>
                  </w:r>
                </w:p>
              </w:tc>
              <w:tc>
                <w:tcPr>
                  <w:tcW w:w="746" w:type="dxa"/>
                  <w:shd w:val="clear" w:color="auto" w:fill="auto"/>
                  <w:vAlign w:val="center"/>
                </w:tcPr>
                <w:p w14:paraId="78E784E8">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1h</w:t>
                  </w:r>
                </w:p>
              </w:tc>
              <w:tc>
                <w:tcPr>
                  <w:tcW w:w="1135" w:type="dxa"/>
                  <w:shd w:val="clear" w:color="auto" w:fill="auto"/>
                  <w:vAlign w:val="center"/>
                </w:tcPr>
                <w:p w14:paraId="792F88F9">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2.83</w:t>
                  </w:r>
                </w:p>
              </w:tc>
              <w:tc>
                <w:tcPr>
                  <w:tcW w:w="1135" w:type="dxa"/>
                  <w:shd w:val="clear" w:color="auto" w:fill="auto"/>
                  <w:vAlign w:val="center"/>
                </w:tcPr>
                <w:p w14:paraId="2AA970DE">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立即停止工作，进行检修维护</w:t>
                  </w:r>
                </w:p>
              </w:tc>
            </w:tr>
          </w:tbl>
          <w:p w14:paraId="129188F0">
            <w:pPr>
              <w:bidi w:val="0"/>
              <w:rPr>
                <w:rFonts w:hint="eastAsia"/>
                <w:color w:val="auto"/>
                <w:highlight w:val="none"/>
                <w:lang w:val="en-US" w:eastAsia="zh-CN"/>
              </w:rPr>
            </w:pPr>
            <w:r>
              <w:rPr>
                <w:rFonts w:hint="eastAsia"/>
                <w:color w:val="auto"/>
                <w:highlight w:val="none"/>
                <w:lang w:val="en-US" w:eastAsia="zh-CN"/>
              </w:rPr>
              <w:t>为杜绝废气非正常排放，应采取以下措施确保废气达标排放：</w:t>
            </w:r>
          </w:p>
          <w:p w14:paraId="6BF21B5B">
            <w:pPr>
              <w:bidi w:val="0"/>
              <w:rPr>
                <w:rFonts w:hint="eastAsia"/>
                <w:color w:val="auto"/>
                <w:highlight w:val="none"/>
                <w:lang w:val="en-US" w:eastAsia="zh-CN"/>
              </w:rPr>
            </w:pPr>
            <w:r>
              <w:rPr>
                <w:rFonts w:hint="eastAsia"/>
                <w:color w:val="auto"/>
                <w:highlight w:val="none"/>
                <w:lang w:val="en-US" w:eastAsia="zh-CN"/>
              </w:rPr>
              <w:t>①应定期维护、检修负责除尘器的日常维护和管理，定时检查、汇报情况，一旦发现隐患及时处理，确保环保设备正常运行。</w:t>
            </w:r>
          </w:p>
          <w:p w14:paraId="2B396DD8">
            <w:pPr>
              <w:bidi w:val="0"/>
              <w:rPr>
                <w:rFonts w:hint="eastAsia"/>
                <w:color w:val="auto"/>
                <w:highlight w:val="none"/>
                <w:lang w:val="en-US" w:eastAsia="zh-CN"/>
              </w:rPr>
            </w:pPr>
            <w:r>
              <w:rPr>
                <w:rFonts w:hint="eastAsia"/>
                <w:color w:val="auto"/>
                <w:highlight w:val="none"/>
                <w:lang w:val="en-US" w:eastAsia="zh-CN"/>
              </w:rPr>
              <w:t>②对环保管理人员及技术人员进行岗位培训，委托具有专业资质的环境监测单位对项目排放的废气污染物进行定期监测。</w:t>
            </w:r>
          </w:p>
          <w:p w14:paraId="077DD24C">
            <w:pPr>
              <w:pStyle w:val="6"/>
              <w:numPr>
                <w:ilvl w:val="0"/>
                <w:numId w:val="0"/>
              </w:numPr>
              <w:ind w:left="0" w:leftChars="0" w:firstLine="480" w:firstLineChars="200"/>
              <w:rPr>
                <w:rFonts w:hint="eastAsia"/>
                <w:color w:val="auto"/>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（5）大</w:t>
            </w:r>
            <w:r>
              <w:rPr>
                <w:rFonts w:hint="eastAsia"/>
                <w:color w:val="auto"/>
                <w:highlight w:val="none"/>
                <w:lang w:val="en-US" w:eastAsia="zh-CN"/>
              </w:rPr>
              <w:t>气环境监测计划</w:t>
            </w:r>
          </w:p>
          <w:p w14:paraId="1E82FE5C">
            <w:pPr>
              <w:bidi w:val="0"/>
              <w:rPr>
                <w:rFonts w:hint="default"/>
                <w:color w:val="auto"/>
                <w:highlight w:val="none"/>
                <w:lang w:val="en-US" w:eastAsia="zh-CN"/>
              </w:rPr>
            </w:pPr>
            <w:r>
              <w:rPr>
                <w:rFonts w:hint="default"/>
                <w:color w:val="auto"/>
                <w:highlight w:val="none"/>
                <w:lang w:val="en-US" w:eastAsia="zh-CN"/>
              </w:rPr>
              <w:t>根据</w:t>
            </w:r>
            <w:r>
              <w:rPr>
                <w:rFonts w:hint="eastAsia"/>
                <w:color w:val="auto"/>
                <w:highlight w:val="none"/>
                <w:lang w:val="en-US" w:eastAsia="zh-CN"/>
              </w:rPr>
              <w:t>《排污单位自行监测技术指南总则》（</w:t>
            </w:r>
            <w:r>
              <w:rPr>
                <w:rFonts w:hint="default"/>
                <w:color w:val="auto"/>
                <w:highlight w:val="none"/>
                <w:lang w:val="en-US" w:eastAsia="zh-CN"/>
              </w:rPr>
              <w:t>HJ819-2017</w:t>
            </w:r>
            <w:r>
              <w:rPr>
                <w:rFonts w:hint="eastAsia"/>
                <w:color w:val="auto"/>
                <w:highlight w:val="none"/>
                <w:lang w:val="en-US" w:eastAsia="zh-CN"/>
              </w:rPr>
              <w:t>）以及《排污许可证申请与核发技术规范 工业炉窑》（</w:t>
            </w:r>
            <w:r>
              <w:rPr>
                <w:rFonts w:hint="default"/>
                <w:color w:val="auto"/>
                <w:highlight w:val="none"/>
                <w:lang w:val="en-US" w:eastAsia="zh-CN"/>
              </w:rPr>
              <w:t>HJ1121—2020</w:t>
            </w:r>
            <w:r>
              <w:rPr>
                <w:rFonts w:hint="eastAsia"/>
                <w:color w:val="auto"/>
                <w:highlight w:val="none"/>
                <w:lang w:val="en-US" w:eastAsia="zh-CN"/>
              </w:rPr>
              <w:t>）要求</w:t>
            </w:r>
            <w:r>
              <w:rPr>
                <w:rFonts w:hint="default"/>
                <w:color w:val="auto"/>
                <w:highlight w:val="none"/>
                <w:lang w:val="en-US" w:eastAsia="zh-CN"/>
              </w:rPr>
              <w:t>，营运期污染源与环境监测计划见表4</w:t>
            </w:r>
            <w:r>
              <w:rPr>
                <w:rFonts w:hint="eastAsia"/>
                <w:color w:val="auto"/>
                <w:highlight w:val="none"/>
                <w:lang w:val="en-US" w:eastAsia="zh-CN"/>
              </w:rPr>
              <w:t>-7</w:t>
            </w:r>
            <w:r>
              <w:rPr>
                <w:rFonts w:hint="default"/>
                <w:color w:val="auto"/>
                <w:highlight w:val="none"/>
                <w:lang w:val="en-US" w:eastAsia="zh-CN"/>
              </w:rPr>
              <w:t>。</w:t>
            </w:r>
          </w:p>
          <w:p w14:paraId="06B20BD6">
            <w:pPr>
              <w:pStyle w:val="58"/>
              <w:bidi w:val="0"/>
              <w:rPr>
                <w:rFonts w:hint="default" w:eastAsia="宋体"/>
                <w:color w:val="auto"/>
                <w:highlight w:val="none"/>
                <w:vertAlign w:val="superscript"/>
                <w:lang w:val="en-US" w:eastAsia="zh-CN"/>
              </w:rPr>
            </w:pPr>
            <w:r>
              <w:rPr>
                <w:color w:val="auto"/>
                <w:highlight w:val="none"/>
              </w:rPr>
              <w:t>表4-</w:t>
            </w:r>
            <w:r>
              <w:rPr>
                <w:rFonts w:hint="eastAsia"/>
                <w:color w:val="auto"/>
                <w:highlight w:val="none"/>
                <w:lang w:val="en-US" w:eastAsia="zh-CN"/>
              </w:rPr>
              <w:t>7</w:t>
            </w:r>
            <w:r>
              <w:rPr>
                <w:color w:val="auto"/>
                <w:highlight w:val="none"/>
              </w:rPr>
              <w:t xml:space="preserve"> </w:t>
            </w:r>
            <w:r>
              <w:rPr>
                <w:rFonts w:hint="eastAsia"/>
                <w:color w:val="auto"/>
                <w:highlight w:val="none"/>
                <w:lang w:val="en-US" w:eastAsia="zh-CN"/>
              </w:rPr>
              <w:t xml:space="preserve">     </w:t>
            </w:r>
            <w:r>
              <w:rPr>
                <w:color w:val="auto"/>
                <w:highlight w:val="none"/>
              </w:rPr>
              <w:t>废气监测方案</w:t>
            </w:r>
            <w:r>
              <w:rPr>
                <w:rFonts w:hint="eastAsia"/>
                <w:color w:val="auto"/>
                <w:lang w:val="en-US" w:eastAsia="zh-CN"/>
              </w:rPr>
              <w:t xml:space="preserve">     单位：mg/m</w:t>
            </w:r>
            <w:r>
              <w:rPr>
                <w:rFonts w:hint="eastAsia"/>
                <w:color w:val="auto"/>
                <w:vertAlign w:val="superscript"/>
                <w:lang w:val="en-US" w:eastAsia="zh-CN"/>
              </w:rPr>
              <w:t>3</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6"/>
              <w:gridCol w:w="1488"/>
              <w:gridCol w:w="1216"/>
              <w:gridCol w:w="1923"/>
              <w:gridCol w:w="1331"/>
              <w:gridCol w:w="1042"/>
            </w:tblGrid>
            <w:tr w14:paraId="796B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45" w:type="dxa"/>
                  <w:noWrap w:val="0"/>
                  <w:vAlign w:val="center"/>
                </w:tcPr>
                <w:p w14:paraId="5738AD60">
                  <w:pPr>
                    <w:pStyle w:val="53"/>
                    <w:bidi w:val="0"/>
                    <w:rPr>
                      <w:b/>
                      <w:bCs/>
                      <w:color w:val="auto"/>
                      <w:highlight w:val="none"/>
                      <w:lang w:val="zh-CN"/>
                    </w:rPr>
                  </w:pPr>
                  <w:r>
                    <w:rPr>
                      <w:b/>
                      <w:bCs/>
                      <w:color w:val="auto"/>
                      <w:highlight w:val="none"/>
                      <w:lang w:val="zh-CN"/>
                    </w:rPr>
                    <w:t>排放方式</w:t>
                  </w:r>
                </w:p>
              </w:tc>
              <w:tc>
                <w:tcPr>
                  <w:tcW w:w="1486" w:type="dxa"/>
                  <w:noWrap w:val="0"/>
                  <w:vAlign w:val="center"/>
                </w:tcPr>
                <w:p w14:paraId="417CB91C">
                  <w:pPr>
                    <w:pStyle w:val="53"/>
                    <w:bidi w:val="0"/>
                    <w:rPr>
                      <w:b/>
                      <w:bCs/>
                      <w:color w:val="auto"/>
                      <w:highlight w:val="none"/>
                      <w:lang w:val="zh-CN"/>
                    </w:rPr>
                  </w:pPr>
                  <w:r>
                    <w:rPr>
                      <w:b/>
                      <w:bCs/>
                      <w:color w:val="auto"/>
                      <w:highlight w:val="none"/>
                      <w:lang w:val="zh-CN"/>
                    </w:rPr>
                    <w:t>监测点位</w:t>
                  </w:r>
                </w:p>
              </w:tc>
              <w:tc>
                <w:tcPr>
                  <w:tcW w:w="1214" w:type="dxa"/>
                  <w:noWrap w:val="0"/>
                  <w:vAlign w:val="center"/>
                </w:tcPr>
                <w:p w14:paraId="7EC4D29C">
                  <w:pPr>
                    <w:pStyle w:val="53"/>
                    <w:bidi w:val="0"/>
                    <w:rPr>
                      <w:b/>
                      <w:bCs/>
                      <w:color w:val="auto"/>
                      <w:highlight w:val="none"/>
                      <w:lang w:val="zh-CN"/>
                    </w:rPr>
                  </w:pPr>
                  <w:r>
                    <w:rPr>
                      <w:b/>
                      <w:bCs/>
                      <w:color w:val="auto"/>
                      <w:highlight w:val="none"/>
                      <w:lang w:val="zh-CN"/>
                    </w:rPr>
                    <w:t>监测项目</w:t>
                  </w:r>
                </w:p>
              </w:tc>
              <w:tc>
                <w:tcPr>
                  <w:tcW w:w="1921" w:type="dxa"/>
                  <w:noWrap w:val="0"/>
                  <w:vAlign w:val="center"/>
                </w:tcPr>
                <w:p w14:paraId="6DB6FEF2">
                  <w:pPr>
                    <w:pStyle w:val="53"/>
                    <w:bidi w:val="0"/>
                    <w:rPr>
                      <w:b/>
                      <w:bCs/>
                      <w:color w:val="auto"/>
                      <w:highlight w:val="none"/>
                      <w:lang w:val="zh-CN"/>
                    </w:rPr>
                  </w:pPr>
                  <w:r>
                    <w:rPr>
                      <w:b/>
                      <w:bCs/>
                      <w:color w:val="auto"/>
                      <w:highlight w:val="none"/>
                      <w:lang w:val="zh-CN"/>
                    </w:rPr>
                    <w:t>执行标准</w:t>
                  </w:r>
                </w:p>
              </w:tc>
              <w:tc>
                <w:tcPr>
                  <w:tcW w:w="1329" w:type="dxa"/>
                  <w:noWrap w:val="0"/>
                  <w:vAlign w:val="center"/>
                </w:tcPr>
                <w:p w14:paraId="64033D60">
                  <w:pPr>
                    <w:pStyle w:val="53"/>
                    <w:bidi w:val="0"/>
                    <w:rPr>
                      <w:b/>
                      <w:bCs/>
                      <w:color w:val="auto"/>
                      <w:highlight w:val="none"/>
                      <w:lang w:val="zh-CN"/>
                    </w:rPr>
                  </w:pPr>
                  <w:r>
                    <w:rPr>
                      <w:b/>
                      <w:bCs/>
                      <w:color w:val="auto"/>
                      <w:highlight w:val="none"/>
                      <w:lang w:val="zh-CN"/>
                    </w:rPr>
                    <w:t>排放限值</w:t>
                  </w:r>
                </w:p>
              </w:tc>
              <w:tc>
                <w:tcPr>
                  <w:tcW w:w="1041" w:type="dxa"/>
                  <w:noWrap w:val="0"/>
                  <w:vAlign w:val="center"/>
                </w:tcPr>
                <w:p w14:paraId="49FF2091">
                  <w:pPr>
                    <w:pStyle w:val="53"/>
                    <w:bidi w:val="0"/>
                    <w:rPr>
                      <w:b/>
                      <w:bCs/>
                      <w:color w:val="auto"/>
                      <w:highlight w:val="none"/>
                      <w:lang w:val="zh-CN"/>
                    </w:rPr>
                  </w:pPr>
                  <w:r>
                    <w:rPr>
                      <w:b/>
                      <w:bCs/>
                      <w:color w:val="auto"/>
                      <w:highlight w:val="none"/>
                      <w:lang w:val="zh-CN"/>
                    </w:rPr>
                    <w:t>监测频次</w:t>
                  </w:r>
                </w:p>
              </w:tc>
            </w:tr>
            <w:tr w14:paraId="65D0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restart"/>
                  <w:noWrap w:val="0"/>
                  <w:vAlign w:val="center"/>
                </w:tcPr>
                <w:p w14:paraId="43AD225E">
                  <w:pPr>
                    <w:pStyle w:val="53"/>
                    <w:bidi w:val="0"/>
                    <w:rPr>
                      <w:rFonts w:hint="default" w:eastAsia="宋体"/>
                      <w:color w:val="auto"/>
                      <w:highlight w:val="none"/>
                      <w:lang w:val="en-US" w:eastAsia="zh-CN"/>
                    </w:rPr>
                  </w:pPr>
                  <w:r>
                    <w:rPr>
                      <w:rFonts w:hint="eastAsia"/>
                      <w:color w:val="auto"/>
                      <w:highlight w:val="none"/>
                      <w:lang w:val="en-US" w:eastAsia="zh-CN"/>
                    </w:rPr>
                    <w:t>有组织废气</w:t>
                  </w:r>
                </w:p>
              </w:tc>
              <w:tc>
                <w:tcPr>
                  <w:tcW w:w="1486" w:type="dxa"/>
                  <w:vMerge w:val="restart"/>
                  <w:shd w:val="clear" w:color="auto" w:fill="auto"/>
                  <w:noWrap w:val="0"/>
                  <w:vAlign w:val="center"/>
                </w:tcPr>
                <w:p w14:paraId="5F076B79">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热处理废气排气筒（DA001）</w:t>
                  </w:r>
                </w:p>
              </w:tc>
              <w:tc>
                <w:tcPr>
                  <w:tcW w:w="1214" w:type="dxa"/>
                  <w:noWrap w:val="0"/>
                  <w:vAlign w:val="center"/>
                </w:tcPr>
                <w:p w14:paraId="6D6E1A2E">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颗粒物</w:t>
                  </w:r>
                </w:p>
              </w:tc>
              <w:tc>
                <w:tcPr>
                  <w:tcW w:w="1921" w:type="dxa"/>
                  <w:vMerge w:val="restart"/>
                  <w:noWrap w:val="0"/>
                  <w:vAlign w:val="center"/>
                </w:tcPr>
                <w:p w14:paraId="77351AD3">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《陕西省工业炉窑大气污染物综合治理实施方案》（陕环函〔2019〕247号）</w:t>
                  </w:r>
                </w:p>
              </w:tc>
              <w:tc>
                <w:tcPr>
                  <w:tcW w:w="1329" w:type="dxa"/>
                  <w:shd w:val="clear" w:color="auto" w:fill="auto"/>
                  <w:noWrap w:val="0"/>
                  <w:vAlign w:val="center"/>
                </w:tcPr>
                <w:p w14:paraId="5679218B">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30</w:t>
                  </w:r>
                </w:p>
              </w:tc>
              <w:tc>
                <w:tcPr>
                  <w:tcW w:w="1041" w:type="dxa"/>
                  <w:vMerge w:val="restart"/>
                  <w:noWrap w:val="0"/>
                  <w:vAlign w:val="center"/>
                </w:tcPr>
                <w:p w14:paraId="6661EF42">
                  <w:pPr>
                    <w:pStyle w:val="53"/>
                    <w:bidi w:val="0"/>
                    <w:rPr>
                      <w:color w:val="auto"/>
                      <w:highlight w:val="none"/>
                    </w:rPr>
                  </w:pPr>
                  <w:r>
                    <w:rPr>
                      <w:color w:val="auto"/>
                      <w:highlight w:val="none"/>
                    </w:rPr>
                    <w:t>1次/</w:t>
                  </w:r>
                  <w:r>
                    <w:rPr>
                      <w:rFonts w:hint="eastAsia"/>
                      <w:color w:val="auto"/>
                      <w:highlight w:val="none"/>
                      <w:lang w:val="en-US" w:eastAsia="zh-CN"/>
                    </w:rPr>
                    <w:t>年</w:t>
                  </w:r>
                </w:p>
              </w:tc>
            </w:tr>
            <w:tr w14:paraId="14D8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continue"/>
                  <w:noWrap w:val="0"/>
                  <w:vAlign w:val="center"/>
                </w:tcPr>
                <w:p w14:paraId="4AC31ABE">
                  <w:pPr>
                    <w:pStyle w:val="53"/>
                    <w:bidi w:val="0"/>
                    <w:rPr>
                      <w:color w:val="auto"/>
                      <w:highlight w:val="none"/>
                      <w:lang w:val="zh-CN"/>
                    </w:rPr>
                  </w:pPr>
                </w:p>
              </w:tc>
              <w:tc>
                <w:tcPr>
                  <w:tcW w:w="1486" w:type="dxa"/>
                  <w:vMerge w:val="continue"/>
                  <w:noWrap w:val="0"/>
                  <w:vAlign w:val="center"/>
                </w:tcPr>
                <w:p w14:paraId="5C7597B9">
                  <w:pPr>
                    <w:pStyle w:val="53"/>
                    <w:bidi w:val="0"/>
                    <w:rPr>
                      <w:rFonts w:hint="eastAsia"/>
                      <w:color w:val="auto"/>
                      <w:highlight w:val="none"/>
                      <w:lang w:val="en-US" w:eastAsia="zh-CN"/>
                    </w:rPr>
                  </w:pPr>
                </w:p>
              </w:tc>
              <w:tc>
                <w:tcPr>
                  <w:tcW w:w="1214" w:type="dxa"/>
                  <w:noWrap w:val="0"/>
                  <w:vAlign w:val="center"/>
                </w:tcPr>
                <w:p w14:paraId="1C127EC0">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921" w:type="dxa"/>
                  <w:vMerge w:val="continue"/>
                  <w:noWrap w:val="0"/>
                  <w:vAlign w:val="center"/>
                </w:tcPr>
                <w:p w14:paraId="74C7A0E4">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p>
              </w:tc>
              <w:tc>
                <w:tcPr>
                  <w:tcW w:w="1329" w:type="dxa"/>
                  <w:noWrap w:val="0"/>
                  <w:vAlign w:val="center"/>
                </w:tcPr>
                <w:p w14:paraId="2131497F">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200</w:t>
                  </w:r>
                </w:p>
              </w:tc>
              <w:tc>
                <w:tcPr>
                  <w:tcW w:w="1041" w:type="dxa"/>
                  <w:vMerge w:val="continue"/>
                  <w:noWrap w:val="0"/>
                  <w:vAlign w:val="center"/>
                </w:tcPr>
                <w:p w14:paraId="033A10F7">
                  <w:pPr>
                    <w:pStyle w:val="53"/>
                    <w:bidi w:val="0"/>
                    <w:rPr>
                      <w:color w:val="auto"/>
                      <w:highlight w:val="none"/>
                    </w:rPr>
                  </w:pPr>
                </w:p>
              </w:tc>
            </w:tr>
            <w:tr w14:paraId="7D7B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continue"/>
                  <w:noWrap w:val="0"/>
                  <w:vAlign w:val="center"/>
                </w:tcPr>
                <w:p w14:paraId="27B5E2D3">
                  <w:pPr>
                    <w:pStyle w:val="53"/>
                    <w:bidi w:val="0"/>
                    <w:rPr>
                      <w:color w:val="auto"/>
                      <w:highlight w:val="none"/>
                      <w:lang w:val="zh-CN"/>
                    </w:rPr>
                  </w:pPr>
                </w:p>
              </w:tc>
              <w:tc>
                <w:tcPr>
                  <w:tcW w:w="1486" w:type="dxa"/>
                  <w:vMerge w:val="continue"/>
                  <w:noWrap w:val="0"/>
                  <w:vAlign w:val="center"/>
                </w:tcPr>
                <w:p w14:paraId="797181CF">
                  <w:pPr>
                    <w:pStyle w:val="53"/>
                    <w:bidi w:val="0"/>
                    <w:rPr>
                      <w:rFonts w:hint="eastAsia"/>
                      <w:color w:val="auto"/>
                      <w:highlight w:val="none"/>
                      <w:lang w:val="en-US" w:eastAsia="zh-CN"/>
                    </w:rPr>
                  </w:pPr>
                </w:p>
              </w:tc>
              <w:tc>
                <w:tcPr>
                  <w:tcW w:w="1214" w:type="dxa"/>
                  <w:noWrap w:val="0"/>
                  <w:vAlign w:val="center"/>
                </w:tcPr>
                <w:p w14:paraId="7E1EDAB6">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921" w:type="dxa"/>
                  <w:vMerge w:val="continue"/>
                  <w:noWrap w:val="0"/>
                  <w:vAlign w:val="center"/>
                </w:tcPr>
                <w:p w14:paraId="31DB7786">
                  <w:pPr>
                    <w:pStyle w:val="53"/>
                    <w:bidi w:val="0"/>
                    <w:rPr>
                      <w:rFonts w:hint="eastAsia"/>
                      <w:color w:val="auto"/>
                      <w:highlight w:val="none"/>
                      <w:lang w:val="en-US" w:eastAsia="zh-CN"/>
                    </w:rPr>
                  </w:pPr>
                </w:p>
              </w:tc>
              <w:tc>
                <w:tcPr>
                  <w:tcW w:w="1329" w:type="dxa"/>
                  <w:noWrap w:val="0"/>
                  <w:vAlign w:val="center"/>
                </w:tcPr>
                <w:p w14:paraId="0C9FD4AB">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300</w:t>
                  </w:r>
                </w:p>
              </w:tc>
              <w:tc>
                <w:tcPr>
                  <w:tcW w:w="1041" w:type="dxa"/>
                  <w:vMerge w:val="continue"/>
                  <w:noWrap w:val="0"/>
                  <w:vAlign w:val="center"/>
                </w:tcPr>
                <w:p w14:paraId="26B948D2">
                  <w:pPr>
                    <w:pStyle w:val="53"/>
                    <w:bidi w:val="0"/>
                    <w:rPr>
                      <w:color w:val="auto"/>
                      <w:highlight w:val="none"/>
                    </w:rPr>
                  </w:pPr>
                </w:p>
              </w:tc>
            </w:tr>
            <w:tr w14:paraId="4227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continue"/>
                  <w:noWrap w:val="0"/>
                  <w:vAlign w:val="center"/>
                </w:tcPr>
                <w:p w14:paraId="5E3B576B">
                  <w:pPr>
                    <w:pStyle w:val="53"/>
                    <w:bidi w:val="0"/>
                    <w:rPr>
                      <w:color w:val="auto"/>
                      <w:highlight w:val="none"/>
                      <w:lang w:val="zh-CN"/>
                    </w:rPr>
                  </w:pPr>
                </w:p>
              </w:tc>
              <w:tc>
                <w:tcPr>
                  <w:tcW w:w="1486" w:type="dxa"/>
                  <w:noWrap w:val="0"/>
                  <w:vAlign w:val="center"/>
                </w:tcPr>
                <w:p w14:paraId="6B6DB18D">
                  <w:pPr>
                    <w:pStyle w:val="53"/>
                    <w:bidi w:val="0"/>
                    <w:rPr>
                      <w:rFonts w:hint="default" w:eastAsia="宋体"/>
                      <w:color w:val="auto"/>
                      <w:highlight w:val="none"/>
                      <w:lang w:val="en-US" w:eastAsia="zh-CN"/>
                    </w:rPr>
                  </w:pPr>
                  <w:r>
                    <w:rPr>
                      <w:rFonts w:hint="eastAsia"/>
                      <w:color w:val="auto"/>
                      <w:highlight w:val="none"/>
                      <w:lang w:val="en-US" w:eastAsia="zh-CN"/>
                    </w:rPr>
                    <w:t>抛丸粉尘排气筒（DA002）</w:t>
                  </w:r>
                </w:p>
              </w:tc>
              <w:tc>
                <w:tcPr>
                  <w:tcW w:w="1214" w:type="dxa"/>
                  <w:noWrap w:val="0"/>
                  <w:vAlign w:val="center"/>
                </w:tcPr>
                <w:p w14:paraId="709CD974">
                  <w:pPr>
                    <w:pStyle w:val="53"/>
                    <w:bidi w:val="0"/>
                    <w:rPr>
                      <w:color w:val="auto"/>
                      <w:highlight w:val="none"/>
                    </w:rPr>
                  </w:pPr>
                  <w:r>
                    <w:rPr>
                      <w:rFonts w:hint="eastAsia"/>
                      <w:color w:val="auto"/>
                      <w:highlight w:val="none"/>
                      <w:lang w:val="en-US" w:eastAsia="zh-CN"/>
                    </w:rPr>
                    <w:t>颗粒物</w:t>
                  </w:r>
                </w:p>
              </w:tc>
              <w:tc>
                <w:tcPr>
                  <w:tcW w:w="1921" w:type="dxa"/>
                  <w:noWrap w:val="0"/>
                  <w:vAlign w:val="center"/>
                </w:tcPr>
                <w:p w14:paraId="68AFE1A2">
                  <w:pPr>
                    <w:pStyle w:val="53"/>
                    <w:bidi w:val="0"/>
                    <w:rPr>
                      <w:color w:val="auto"/>
                      <w:highlight w:val="none"/>
                    </w:rPr>
                  </w:pPr>
                  <w:r>
                    <w:rPr>
                      <w:color w:val="auto"/>
                      <w:highlight w:val="none"/>
                    </w:rPr>
                    <w:t>《大气污染物综合排放标准》（GB16297-1996）</w:t>
                  </w:r>
                </w:p>
              </w:tc>
              <w:tc>
                <w:tcPr>
                  <w:tcW w:w="1329" w:type="dxa"/>
                  <w:noWrap w:val="0"/>
                  <w:vAlign w:val="center"/>
                </w:tcPr>
                <w:p w14:paraId="068CE0D2">
                  <w:pPr>
                    <w:pStyle w:val="53"/>
                    <w:bidi w:val="0"/>
                    <w:rPr>
                      <w:rFonts w:hint="default" w:eastAsia="宋体"/>
                      <w:color w:val="auto"/>
                      <w:highlight w:val="none"/>
                      <w:lang w:val="en-US" w:eastAsia="zh-CN"/>
                    </w:rPr>
                  </w:pPr>
                  <w:r>
                    <w:rPr>
                      <w:rFonts w:hint="eastAsia"/>
                      <w:color w:val="auto"/>
                      <w:highlight w:val="none"/>
                      <w:lang w:val="en-US" w:eastAsia="zh-CN"/>
                    </w:rPr>
                    <w:t>120</w:t>
                  </w:r>
                </w:p>
              </w:tc>
              <w:tc>
                <w:tcPr>
                  <w:tcW w:w="1041" w:type="dxa"/>
                  <w:noWrap w:val="0"/>
                  <w:vAlign w:val="center"/>
                </w:tcPr>
                <w:p w14:paraId="460C7261">
                  <w:pPr>
                    <w:pStyle w:val="53"/>
                    <w:bidi w:val="0"/>
                    <w:rPr>
                      <w:color w:val="auto"/>
                      <w:highlight w:val="none"/>
                      <w:lang w:val="zh-CN"/>
                    </w:rPr>
                  </w:pPr>
                  <w:r>
                    <w:rPr>
                      <w:color w:val="auto"/>
                      <w:highlight w:val="none"/>
                    </w:rPr>
                    <w:t>1次/</w:t>
                  </w:r>
                  <w:r>
                    <w:rPr>
                      <w:rFonts w:hint="eastAsia"/>
                      <w:color w:val="auto"/>
                      <w:highlight w:val="none"/>
                      <w:lang w:val="en-US" w:eastAsia="zh-CN"/>
                    </w:rPr>
                    <w:t>年</w:t>
                  </w:r>
                </w:p>
              </w:tc>
            </w:tr>
            <w:tr w14:paraId="0512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restart"/>
                  <w:noWrap w:val="0"/>
                  <w:vAlign w:val="center"/>
                </w:tcPr>
                <w:p w14:paraId="6E7AC3AE">
                  <w:pPr>
                    <w:pStyle w:val="53"/>
                    <w:bidi w:val="0"/>
                    <w:rPr>
                      <w:rFonts w:hint="default" w:eastAsia="宋体"/>
                      <w:color w:val="auto"/>
                      <w:highlight w:val="none"/>
                      <w:lang w:val="en-US" w:eastAsia="zh-CN"/>
                    </w:rPr>
                  </w:pPr>
                  <w:r>
                    <w:rPr>
                      <w:rFonts w:hint="eastAsia"/>
                      <w:color w:val="auto"/>
                      <w:highlight w:val="none"/>
                      <w:lang w:val="en-US" w:eastAsia="zh-CN"/>
                    </w:rPr>
                    <w:t>无组织废气</w:t>
                  </w:r>
                </w:p>
              </w:tc>
              <w:tc>
                <w:tcPr>
                  <w:tcW w:w="1486" w:type="dxa"/>
                  <w:vMerge w:val="restart"/>
                  <w:noWrap w:val="0"/>
                  <w:vAlign w:val="center"/>
                </w:tcPr>
                <w:p w14:paraId="00C640DF">
                  <w:pPr>
                    <w:pStyle w:val="53"/>
                    <w:bidi w:val="0"/>
                    <w:rPr>
                      <w:rFonts w:hint="default"/>
                      <w:color w:val="auto"/>
                      <w:highlight w:val="none"/>
                      <w:lang w:val="en-US" w:eastAsia="zh-CN"/>
                    </w:rPr>
                  </w:pPr>
                  <w:r>
                    <w:rPr>
                      <w:rFonts w:hint="eastAsia"/>
                      <w:color w:val="auto"/>
                      <w:highlight w:val="none"/>
                      <w:lang w:val="en-US" w:eastAsia="zh-CN"/>
                    </w:rPr>
                    <w:t>厂界上风向1处，下风向3处</w:t>
                  </w:r>
                </w:p>
              </w:tc>
              <w:tc>
                <w:tcPr>
                  <w:tcW w:w="1214" w:type="dxa"/>
                  <w:noWrap w:val="0"/>
                  <w:vAlign w:val="center"/>
                </w:tcPr>
                <w:p w14:paraId="05E4FFB8">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颗粒物</w:t>
                  </w:r>
                </w:p>
              </w:tc>
              <w:tc>
                <w:tcPr>
                  <w:tcW w:w="1921" w:type="dxa"/>
                  <w:vMerge w:val="restart"/>
                  <w:noWrap w:val="0"/>
                  <w:vAlign w:val="center"/>
                </w:tcPr>
                <w:p w14:paraId="3879B24B">
                  <w:pPr>
                    <w:pStyle w:val="53"/>
                    <w:bidi w:val="0"/>
                    <w:rPr>
                      <w:color w:val="auto"/>
                      <w:highlight w:val="none"/>
                    </w:rPr>
                  </w:pPr>
                  <w:r>
                    <w:rPr>
                      <w:color w:val="auto"/>
                      <w:highlight w:val="none"/>
                    </w:rPr>
                    <w:t>《大气污染物综合排放标准》（GB16297-1996）</w:t>
                  </w:r>
                </w:p>
              </w:tc>
              <w:tc>
                <w:tcPr>
                  <w:tcW w:w="1329" w:type="dxa"/>
                  <w:noWrap w:val="0"/>
                  <w:vAlign w:val="center"/>
                </w:tcPr>
                <w:p w14:paraId="4F6E6A14">
                  <w:pPr>
                    <w:pStyle w:val="53"/>
                    <w:bidi w:val="0"/>
                    <w:rPr>
                      <w:rFonts w:hint="default"/>
                      <w:color w:val="auto"/>
                      <w:highlight w:val="none"/>
                      <w:lang w:val="en-US" w:eastAsia="zh-CN"/>
                    </w:rPr>
                  </w:pPr>
                  <w:r>
                    <w:rPr>
                      <w:rFonts w:hint="eastAsia"/>
                      <w:color w:val="auto"/>
                      <w:highlight w:val="none"/>
                      <w:lang w:val="en-US" w:eastAsia="zh-CN"/>
                    </w:rPr>
                    <w:t>1.0</w:t>
                  </w:r>
                </w:p>
              </w:tc>
              <w:tc>
                <w:tcPr>
                  <w:tcW w:w="1041" w:type="dxa"/>
                  <w:vMerge w:val="restart"/>
                  <w:noWrap w:val="0"/>
                  <w:vAlign w:val="center"/>
                </w:tcPr>
                <w:p w14:paraId="10A3175E">
                  <w:pPr>
                    <w:pStyle w:val="53"/>
                    <w:bidi w:val="0"/>
                    <w:rPr>
                      <w:color w:val="auto"/>
                      <w:highlight w:val="none"/>
                    </w:rPr>
                  </w:pPr>
                  <w:r>
                    <w:rPr>
                      <w:color w:val="auto"/>
                      <w:highlight w:val="none"/>
                    </w:rPr>
                    <w:t>1次/</w:t>
                  </w:r>
                  <w:r>
                    <w:rPr>
                      <w:rFonts w:hint="eastAsia"/>
                      <w:color w:val="auto"/>
                      <w:highlight w:val="none"/>
                      <w:lang w:val="en-US" w:eastAsia="zh-CN"/>
                    </w:rPr>
                    <w:t>年</w:t>
                  </w:r>
                </w:p>
              </w:tc>
            </w:tr>
            <w:tr w14:paraId="4220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continue"/>
                  <w:noWrap w:val="0"/>
                  <w:vAlign w:val="center"/>
                </w:tcPr>
                <w:p w14:paraId="598360C3">
                  <w:pPr>
                    <w:pStyle w:val="53"/>
                    <w:bidi w:val="0"/>
                    <w:rPr>
                      <w:rFonts w:hint="eastAsia"/>
                      <w:color w:val="auto"/>
                      <w:highlight w:val="none"/>
                      <w:lang w:val="en-US" w:eastAsia="zh-CN"/>
                    </w:rPr>
                  </w:pPr>
                </w:p>
              </w:tc>
              <w:tc>
                <w:tcPr>
                  <w:tcW w:w="1486" w:type="dxa"/>
                  <w:vMerge w:val="continue"/>
                  <w:noWrap w:val="0"/>
                  <w:vAlign w:val="center"/>
                </w:tcPr>
                <w:p w14:paraId="19C313FD">
                  <w:pPr>
                    <w:pStyle w:val="53"/>
                    <w:bidi w:val="0"/>
                    <w:rPr>
                      <w:rFonts w:hint="eastAsia"/>
                      <w:color w:val="auto"/>
                      <w:highlight w:val="none"/>
                      <w:lang w:val="en-US" w:eastAsia="zh-CN"/>
                    </w:rPr>
                  </w:pPr>
                </w:p>
              </w:tc>
              <w:tc>
                <w:tcPr>
                  <w:tcW w:w="1214" w:type="dxa"/>
                  <w:noWrap w:val="0"/>
                  <w:vAlign w:val="center"/>
                </w:tcPr>
                <w:p w14:paraId="5CFD086F">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921" w:type="dxa"/>
                  <w:vMerge w:val="continue"/>
                  <w:noWrap w:val="0"/>
                  <w:vAlign w:val="center"/>
                </w:tcPr>
                <w:p w14:paraId="41D24931">
                  <w:pPr>
                    <w:pStyle w:val="53"/>
                    <w:bidi w:val="0"/>
                    <w:rPr>
                      <w:color w:val="auto"/>
                      <w:highlight w:val="none"/>
                    </w:rPr>
                  </w:pPr>
                </w:p>
              </w:tc>
              <w:tc>
                <w:tcPr>
                  <w:tcW w:w="1329" w:type="dxa"/>
                  <w:noWrap w:val="0"/>
                  <w:vAlign w:val="center"/>
                </w:tcPr>
                <w:p w14:paraId="7570E2C1">
                  <w:pPr>
                    <w:pStyle w:val="53"/>
                    <w:bidi w:val="0"/>
                    <w:rPr>
                      <w:rFonts w:hint="default"/>
                      <w:color w:val="auto"/>
                      <w:highlight w:val="none"/>
                      <w:lang w:val="en-US" w:eastAsia="zh-CN"/>
                    </w:rPr>
                  </w:pPr>
                  <w:r>
                    <w:rPr>
                      <w:rFonts w:hint="eastAsia"/>
                      <w:color w:val="auto"/>
                      <w:highlight w:val="none"/>
                      <w:lang w:val="en-US" w:eastAsia="zh-CN"/>
                    </w:rPr>
                    <w:t>0.40</w:t>
                  </w:r>
                </w:p>
              </w:tc>
              <w:tc>
                <w:tcPr>
                  <w:tcW w:w="1041" w:type="dxa"/>
                  <w:vMerge w:val="continue"/>
                  <w:noWrap w:val="0"/>
                  <w:vAlign w:val="center"/>
                </w:tcPr>
                <w:p w14:paraId="0BEBD802">
                  <w:pPr>
                    <w:pStyle w:val="53"/>
                    <w:bidi w:val="0"/>
                    <w:rPr>
                      <w:color w:val="auto"/>
                      <w:highlight w:val="none"/>
                    </w:rPr>
                  </w:pPr>
                </w:p>
              </w:tc>
            </w:tr>
            <w:tr w14:paraId="7356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5" w:type="dxa"/>
                  <w:vMerge w:val="continue"/>
                  <w:noWrap w:val="0"/>
                  <w:vAlign w:val="center"/>
                </w:tcPr>
                <w:p w14:paraId="4E87291A">
                  <w:pPr>
                    <w:pStyle w:val="53"/>
                    <w:bidi w:val="0"/>
                    <w:rPr>
                      <w:rFonts w:hint="eastAsia"/>
                      <w:color w:val="auto"/>
                      <w:highlight w:val="none"/>
                      <w:lang w:val="en-US" w:eastAsia="zh-CN"/>
                    </w:rPr>
                  </w:pPr>
                </w:p>
              </w:tc>
              <w:tc>
                <w:tcPr>
                  <w:tcW w:w="1486" w:type="dxa"/>
                  <w:vMerge w:val="continue"/>
                  <w:noWrap w:val="0"/>
                  <w:vAlign w:val="center"/>
                </w:tcPr>
                <w:p w14:paraId="7DF57205">
                  <w:pPr>
                    <w:pStyle w:val="53"/>
                    <w:bidi w:val="0"/>
                    <w:rPr>
                      <w:rFonts w:hint="eastAsia"/>
                      <w:color w:val="auto"/>
                      <w:highlight w:val="none"/>
                      <w:lang w:val="en-US" w:eastAsia="zh-CN"/>
                    </w:rPr>
                  </w:pPr>
                </w:p>
              </w:tc>
              <w:tc>
                <w:tcPr>
                  <w:tcW w:w="1214" w:type="dxa"/>
                  <w:noWrap w:val="0"/>
                  <w:vAlign w:val="center"/>
                </w:tcPr>
                <w:p w14:paraId="6EB6669D">
                  <w:pPr>
                    <w:pStyle w:val="53"/>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921" w:type="dxa"/>
                  <w:vMerge w:val="continue"/>
                  <w:noWrap w:val="0"/>
                  <w:vAlign w:val="center"/>
                </w:tcPr>
                <w:p w14:paraId="046C063B">
                  <w:pPr>
                    <w:pStyle w:val="53"/>
                    <w:bidi w:val="0"/>
                    <w:rPr>
                      <w:color w:val="auto"/>
                      <w:highlight w:val="none"/>
                    </w:rPr>
                  </w:pPr>
                </w:p>
              </w:tc>
              <w:tc>
                <w:tcPr>
                  <w:tcW w:w="1329" w:type="dxa"/>
                  <w:noWrap w:val="0"/>
                  <w:vAlign w:val="center"/>
                </w:tcPr>
                <w:p w14:paraId="4132C75D">
                  <w:pPr>
                    <w:pStyle w:val="53"/>
                    <w:bidi w:val="0"/>
                    <w:rPr>
                      <w:rFonts w:hint="default"/>
                      <w:color w:val="auto"/>
                      <w:highlight w:val="none"/>
                      <w:lang w:val="en-US" w:eastAsia="zh-CN"/>
                    </w:rPr>
                  </w:pPr>
                  <w:r>
                    <w:rPr>
                      <w:rFonts w:hint="eastAsia"/>
                      <w:color w:val="auto"/>
                      <w:highlight w:val="none"/>
                      <w:lang w:val="en-US" w:eastAsia="zh-CN"/>
                    </w:rPr>
                    <w:t>0.12</w:t>
                  </w:r>
                </w:p>
              </w:tc>
              <w:tc>
                <w:tcPr>
                  <w:tcW w:w="1041" w:type="dxa"/>
                  <w:vMerge w:val="continue"/>
                  <w:noWrap w:val="0"/>
                  <w:vAlign w:val="center"/>
                </w:tcPr>
                <w:p w14:paraId="1F408128">
                  <w:pPr>
                    <w:pStyle w:val="53"/>
                    <w:bidi w:val="0"/>
                    <w:rPr>
                      <w:color w:val="auto"/>
                      <w:highlight w:val="none"/>
                    </w:rPr>
                  </w:pPr>
                </w:p>
              </w:tc>
            </w:tr>
          </w:tbl>
          <w:p w14:paraId="5FA1C2DC">
            <w:pPr>
              <w:numPr>
                <w:ilvl w:val="0"/>
                <w:numId w:val="11"/>
              </w:numPr>
              <w:bidi w:val="0"/>
              <w:rPr>
                <w:rFonts w:hint="eastAsia"/>
                <w:b/>
                <w:bCs/>
                <w:color w:val="auto"/>
                <w:highlight w:val="none"/>
                <w:lang w:val="en-US" w:eastAsia="zh-CN"/>
              </w:rPr>
            </w:pPr>
            <w:r>
              <w:rPr>
                <w:rFonts w:hint="eastAsia"/>
                <w:b/>
                <w:bCs/>
                <w:color w:val="auto"/>
                <w:highlight w:val="none"/>
                <w:lang w:val="en-US" w:eastAsia="zh-CN"/>
              </w:rPr>
              <w:t>运营期水环境影响和保护措施</w:t>
            </w:r>
          </w:p>
          <w:p w14:paraId="5D77D748">
            <w:pPr>
              <w:pStyle w:val="6"/>
              <w:numPr>
                <w:ilvl w:val="0"/>
                <w:numId w:val="12"/>
              </w:numPr>
              <w:rPr>
                <w:rFonts w:hint="eastAsia"/>
                <w:b w:val="0"/>
                <w:bCs w:val="0"/>
                <w:color w:val="auto"/>
                <w:highlight w:val="none"/>
                <w:lang w:val="en-US" w:eastAsia="zh-CN"/>
              </w:rPr>
            </w:pPr>
            <w:r>
              <w:rPr>
                <w:rFonts w:hint="eastAsia"/>
                <w:b w:val="0"/>
                <w:bCs w:val="0"/>
                <w:color w:val="auto"/>
                <w:highlight w:val="none"/>
                <w:lang w:val="en-US" w:eastAsia="zh-CN"/>
              </w:rPr>
              <w:t>环境影响分析</w:t>
            </w:r>
          </w:p>
          <w:p w14:paraId="6C0DEAC0">
            <w:pPr>
              <w:bidi w:val="0"/>
              <w:rPr>
                <w:rFonts w:hint="default"/>
                <w:color w:val="auto"/>
                <w:highlight w:val="none"/>
                <w:lang w:val="en-US" w:eastAsia="zh-CN"/>
              </w:rPr>
            </w:pPr>
            <w:r>
              <w:rPr>
                <w:rFonts w:hint="eastAsia"/>
                <w:color w:val="auto"/>
                <w:highlight w:val="none"/>
                <w:lang w:val="en-US" w:eastAsia="zh-CN"/>
              </w:rPr>
              <w:t>本项目运营期废水主要为生活污水，生产所用冷却用水和脱膜用水均循环使用，</w:t>
            </w:r>
            <w:r>
              <w:rPr>
                <w:color w:val="auto"/>
                <w:highlight w:val="none"/>
              </w:rPr>
              <w:t>仅需定期补充损耗水量</w:t>
            </w:r>
            <w:r>
              <w:rPr>
                <w:rFonts w:hint="eastAsia"/>
                <w:color w:val="auto"/>
                <w:highlight w:val="none"/>
                <w:lang w:val="en-US" w:eastAsia="zh-CN"/>
              </w:rPr>
              <w:t>。</w:t>
            </w:r>
          </w:p>
          <w:p w14:paraId="4DC5F02B">
            <w:pPr>
              <w:bidi w:val="0"/>
              <w:rPr>
                <w:rFonts w:ascii="Times New Roman" w:cs="Times New Roman" w:eastAsiaTheme="minorEastAsia"/>
                <w:bCs/>
                <w:color w:val="auto"/>
                <w:spacing w:val="-10"/>
                <w:sz w:val="24"/>
                <w:szCs w:val="21"/>
                <w:highlight w:val="none"/>
              </w:rPr>
            </w:pPr>
            <w:r>
              <w:rPr>
                <w:rFonts w:hint="eastAsia"/>
                <w:color w:val="auto"/>
                <w:sz w:val="24"/>
                <w:highlight w:val="none"/>
              </w:rPr>
              <w:t>本项目</w:t>
            </w:r>
            <w:r>
              <w:rPr>
                <w:rFonts w:hint="eastAsia"/>
                <w:color w:val="auto"/>
                <w:sz w:val="24"/>
                <w:highlight w:val="none"/>
                <w:lang w:val="en-US" w:eastAsia="zh-CN"/>
              </w:rPr>
              <w:t>劳动定员80人，</w:t>
            </w:r>
            <w:r>
              <w:rPr>
                <w:rFonts w:hint="eastAsia"/>
                <w:color w:val="auto"/>
                <w:sz w:val="24"/>
                <w:highlight w:val="none"/>
              </w:rPr>
              <w:t>生活</w:t>
            </w:r>
            <w:r>
              <w:rPr>
                <w:rFonts w:hint="eastAsia"/>
                <w:color w:val="auto"/>
                <w:sz w:val="24"/>
                <w:highlight w:val="none"/>
                <w:lang w:val="en-US" w:eastAsia="zh-CN"/>
              </w:rPr>
              <w:t>污水产生系数按照0.8计，生活污水产生量为2.88</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rFonts w:hint="eastAsia"/>
                <w:color w:val="auto"/>
                <w:sz w:val="24"/>
                <w:highlight w:val="none"/>
                <w:lang w:val="en-US" w:eastAsia="zh-CN"/>
              </w:rPr>
              <w:t>864</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rPr>
              <w:t>a）</w:t>
            </w:r>
            <w:r>
              <w:rPr>
                <w:rFonts w:hint="eastAsia"/>
                <w:bCs/>
                <w:snapToGrid w:val="0"/>
                <w:color w:val="auto"/>
                <w:kern w:val="0"/>
                <w:sz w:val="24"/>
                <w:highlight w:val="none"/>
                <w:lang w:val="en-US" w:eastAsia="zh-CN"/>
              </w:rPr>
              <w:t>，依托厂区化粪池进行处理，经处理达标后排入市政污水管网，最终由五丈原污水处理厂集中处理。</w:t>
            </w:r>
            <w:r>
              <w:rPr>
                <w:rFonts w:ascii="Times New Roman" w:cs="Times New Roman" w:eastAsiaTheme="minorEastAsia"/>
                <w:bCs/>
                <w:color w:val="auto"/>
                <w:spacing w:val="-10"/>
                <w:sz w:val="24"/>
                <w:szCs w:val="21"/>
                <w:highlight w:val="none"/>
              </w:rPr>
              <w:t>本项目产水、排水水质及执行标准限值见表</w:t>
            </w:r>
            <w:r>
              <w:rPr>
                <w:rFonts w:hint="eastAsia" w:ascii="Times New Roman" w:cs="Times New Roman" w:eastAsiaTheme="minorEastAsia"/>
                <w:bCs/>
                <w:color w:val="auto"/>
                <w:spacing w:val="-10"/>
                <w:sz w:val="24"/>
                <w:szCs w:val="21"/>
                <w:highlight w:val="none"/>
              </w:rPr>
              <w:t>4-</w:t>
            </w:r>
            <w:r>
              <w:rPr>
                <w:rFonts w:hint="eastAsia" w:ascii="Times New Roman" w:cs="Times New Roman" w:eastAsiaTheme="minorEastAsia"/>
                <w:bCs/>
                <w:color w:val="auto"/>
                <w:spacing w:val="-10"/>
                <w:sz w:val="24"/>
                <w:szCs w:val="21"/>
                <w:highlight w:val="none"/>
                <w:lang w:val="en-US" w:eastAsia="zh-CN"/>
              </w:rPr>
              <w:t>8</w:t>
            </w:r>
            <w:r>
              <w:rPr>
                <w:rFonts w:ascii="Times New Roman" w:cs="Times New Roman" w:eastAsiaTheme="minorEastAsia"/>
                <w:bCs/>
                <w:color w:val="auto"/>
                <w:spacing w:val="-10"/>
                <w:sz w:val="24"/>
                <w:szCs w:val="21"/>
                <w:highlight w:val="none"/>
              </w:rPr>
              <w:t>。</w:t>
            </w:r>
          </w:p>
          <w:p w14:paraId="524BA426">
            <w:pPr>
              <w:pStyle w:val="6"/>
              <w:spacing w:line="240" w:lineRule="auto"/>
              <w:jc w:val="center"/>
              <w:rPr>
                <w:rFonts w:hint="default" w:ascii="Times New Roman" w:cs="Times New Roman" w:eastAsiaTheme="minorEastAsia"/>
                <w:b/>
                <w:color w:val="auto"/>
                <w:spacing w:val="-10"/>
                <w:sz w:val="21"/>
                <w:szCs w:val="18"/>
                <w:highlight w:val="none"/>
                <w:lang w:val="en-US"/>
              </w:rPr>
            </w:pPr>
            <w:r>
              <w:rPr>
                <w:rFonts w:ascii="Times New Roman" w:cs="Times New Roman" w:eastAsiaTheme="minorEastAsia"/>
                <w:b/>
                <w:color w:val="auto"/>
                <w:spacing w:val="-10"/>
                <w:sz w:val="21"/>
                <w:szCs w:val="18"/>
                <w:highlight w:val="none"/>
              </w:rPr>
              <w:t>表</w:t>
            </w:r>
            <w:r>
              <w:rPr>
                <w:rFonts w:hint="eastAsia" w:ascii="Times New Roman" w:cs="Times New Roman" w:eastAsiaTheme="minorEastAsia"/>
                <w:b/>
                <w:color w:val="auto"/>
                <w:spacing w:val="-10"/>
                <w:sz w:val="21"/>
                <w:szCs w:val="18"/>
                <w:highlight w:val="none"/>
              </w:rPr>
              <w:t>4-</w:t>
            </w:r>
            <w:r>
              <w:rPr>
                <w:rFonts w:hint="eastAsia" w:ascii="Times New Roman" w:cs="Times New Roman" w:eastAsiaTheme="minorEastAsia"/>
                <w:b/>
                <w:color w:val="auto"/>
                <w:spacing w:val="-10"/>
                <w:sz w:val="21"/>
                <w:szCs w:val="18"/>
                <w:highlight w:val="none"/>
                <w:lang w:val="en-US" w:eastAsia="zh-CN"/>
              </w:rPr>
              <w:t xml:space="preserve">8  </w:t>
            </w:r>
            <w:r>
              <w:rPr>
                <w:rFonts w:ascii="Times New Roman" w:cs="Times New Roman" w:eastAsiaTheme="minorEastAsia"/>
                <w:b/>
                <w:color w:val="auto"/>
                <w:spacing w:val="-10"/>
                <w:sz w:val="21"/>
                <w:szCs w:val="18"/>
                <w:highlight w:val="none"/>
              </w:rPr>
              <w:t xml:space="preserve">  项目废水产排</w:t>
            </w:r>
            <w:r>
              <w:rPr>
                <w:rFonts w:hint="eastAsia" w:ascii="Times New Roman" w:cs="Times New Roman" w:eastAsiaTheme="minorEastAsia"/>
                <w:b/>
                <w:color w:val="auto"/>
                <w:spacing w:val="-10"/>
                <w:sz w:val="21"/>
                <w:szCs w:val="18"/>
                <w:highlight w:val="none"/>
                <w:lang w:val="en-US" w:eastAsia="zh-CN"/>
              </w:rPr>
              <w:t>情况一览表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766"/>
              <w:gridCol w:w="1113"/>
              <w:gridCol w:w="873"/>
              <w:gridCol w:w="1043"/>
              <w:gridCol w:w="871"/>
              <w:gridCol w:w="848"/>
              <w:gridCol w:w="668"/>
              <w:gridCol w:w="847"/>
            </w:tblGrid>
            <w:tr w14:paraId="78F7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restart"/>
                  <w:noWrap w:val="0"/>
                  <w:vAlign w:val="center"/>
                </w:tcPr>
                <w:p w14:paraId="1F7A8350">
                  <w:pPr>
                    <w:pStyle w:val="53"/>
                    <w:bidi w:val="0"/>
                    <w:rPr>
                      <w:rFonts w:hint="default"/>
                      <w:b/>
                      <w:bCs/>
                      <w:color w:val="auto"/>
                      <w:highlight w:val="none"/>
                      <w:lang w:eastAsia="zh-CN"/>
                    </w:rPr>
                  </w:pPr>
                  <w:r>
                    <w:rPr>
                      <w:rFonts w:hint="default"/>
                      <w:b/>
                      <w:bCs/>
                      <w:color w:val="auto"/>
                      <w:highlight w:val="none"/>
                      <w:lang w:eastAsia="zh-CN"/>
                    </w:rPr>
                    <w:t>废水量</w:t>
                  </w:r>
                </w:p>
              </w:tc>
              <w:tc>
                <w:tcPr>
                  <w:tcW w:w="482" w:type="pct"/>
                  <w:vMerge w:val="restart"/>
                  <w:noWrap w:val="0"/>
                  <w:vAlign w:val="center"/>
                </w:tcPr>
                <w:p w14:paraId="6DFDDF7E">
                  <w:pPr>
                    <w:pStyle w:val="53"/>
                    <w:bidi w:val="0"/>
                    <w:rPr>
                      <w:rFonts w:hint="default"/>
                      <w:b/>
                      <w:bCs/>
                      <w:color w:val="auto"/>
                      <w:highlight w:val="none"/>
                    </w:rPr>
                  </w:pPr>
                  <w:r>
                    <w:rPr>
                      <w:rFonts w:hint="default"/>
                      <w:b/>
                      <w:bCs/>
                      <w:color w:val="auto"/>
                      <w:highlight w:val="none"/>
                    </w:rPr>
                    <w:t>污染物</w:t>
                  </w:r>
                </w:p>
              </w:tc>
              <w:tc>
                <w:tcPr>
                  <w:tcW w:w="1250" w:type="pct"/>
                  <w:gridSpan w:val="2"/>
                  <w:noWrap w:val="0"/>
                  <w:vAlign w:val="center"/>
                </w:tcPr>
                <w:p w14:paraId="43DEEE5A">
                  <w:pPr>
                    <w:pStyle w:val="53"/>
                    <w:bidi w:val="0"/>
                    <w:rPr>
                      <w:rFonts w:hint="default"/>
                      <w:b/>
                      <w:bCs/>
                      <w:color w:val="auto"/>
                      <w:highlight w:val="none"/>
                    </w:rPr>
                  </w:pPr>
                  <w:r>
                    <w:rPr>
                      <w:rFonts w:hint="default"/>
                      <w:b/>
                      <w:bCs/>
                      <w:color w:val="auto"/>
                      <w:highlight w:val="none"/>
                    </w:rPr>
                    <w:t>处理前</w:t>
                  </w:r>
                </w:p>
              </w:tc>
              <w:tc>
                <w:tcPr>
                  <w:tcW w:w="1204" w:type="pct"/>
                  <w:gridSpan w:val="2"/>
                  <w:noWrap w:val="0"/>
                  <w:vAlign w:val="center"/>
                </w:tcPr>
                <w:p w14:paraId="2B0E6261">
                  <w:pPr>
                    <w:pStyle w:val="53"/>
                    <w:bidi w:val="0"/>
                    <w:rPr>
                      <w:rFonts w:hint="default"/>
                      <w:b/>
                      <w:bCs/>
                      <w:color w:val="auto"/>
                      <w:highlight w:val="none"/>
                    </w:rPr>
                  </w:pPr>
                  <w:r>
                    <w:rPr>
                      <w:rFonts w:hint="default"/>
                      <w:b/>
                      <w:bCs/>
                      <w:color w:val="auto"/>
                      <w:highlight w:val="none"/>
                    </w:rPr>
                    <w:t>处理后</w:t>
                  </w:r>
                </w:p>
              </w:tc>
              <w:tc>
                <w:tcPr>
                  <w:tcW w:w="533" w:type="pct"/>
                  <w:vMerge w:val="restart"/>
                  <w:noWrap w:val="0"/>
                  <w:vAlign w:val="center"/>
                </w:tcPr>
                <w:p w14:paraId="4AADC971">
                  <w:pPr>
                    <w:pStyle w:val="53"/>
                    <w:bidi w:val="0"/>
                    <w:rPr>
                      <w:rFonts w:hint="default"/>
                      <w:b/>
                      <w:bCs/>
                      <w:color w:val="auto"/>
                      <w:highlight w:val="none"/>
                      <w:lang w:eastAsia="zh-CN"/>
                    </w:rPr>
                  </w:pPr>
                  <w:r>
                    <w:rPr>
                      <w:rFonts w:hint="default"/>
                      <w:b/>
                      <w:bCs/>
                      <w:color w:val="auto"/>
                      <w:highlight w:val="none"/>
                      <w:lang w:eastAsia="zh-CN"/>
                    </w:rPr>
                    <w:t>去除效率（</w:t>
                  </w:r>
                  <w:r>
                    <w:rPr>
                      <w:rFonts w:hint="default"/>
                      <w:b/>
                      <w:bCs/>
                      <w:color w:val="auto"/>
                      <w:highlight w:val="none"/>
                      <w:lang w:val="en-US" w:eastAsia="zh-CN"/>
                    </w:rPr>
                    <w:t>%</w:t>
                  </w:r>
                  <w:r>
                    <w:rPr>
                      <w:rFonts w:hint="default"/>
                      <w:b/>
                      <w:bCs/>
                      <w:color w:val="auto"/>
                      <w:highlight w:val="none"/>
                      <w:lang w:eastAsia="zh-CN"/>
                    </w:rPr>
                    <w:t>）</w:t>
                  </w:r>
                </w:p>
              </w:tc>
              <w:tc>
                <w:tcPr>
                  <w:tcW w:w="420" w:type="pct"/>
                  <w:vMerge w:val="restart"/>
                  <w:noWrap w:val="0"/>
                  <w:vAlign w:val="center"/>
                </w:tcPr>
                <w:p w14:paraId="7B37F1FB">
                  <w:pPr>
                    <w:pStyle w:val="53"/>
                    <w:bidi w:val="0"/>
                    <w:rPr>
                      <w:rFonts w:hint="default"/>
                      <w:b/>
                      <w:bCs/>
                      <w:color w:val="auto"/>
                      <w:highlight w:val="none"/>
                      <w:lang w:eastAsia="zh-CN"/>
                    </w:rPr>
                  </w:pPr>
                  <w:r>
                    <w:rPr>
                      <w:rFonts w:hint="default"/>
                      <w:b/>
                      <w:bCs/>
                      <w:color w:val="auto"/>
                      <w:highlight w:val="none"/>
                      <w:lang w:eastAsia="zh-CN"/>
                    </w:rPr>
                    <w:t>接管标准</w:t>
                  </w:r>
                </w:p>
              </w:tc>
              <w:tc>
                <w:tcPr>
                  <w:tcW w:w="533" w:type="pct"/>
                  <w:vMerge w:val="restart"/>
                  <w:noWrap w:val="0"/>
                  <w:vAlign w:val="center"/>
                </w:tcPr>
                <w:p w14:paraId="3E092423">
                  <w:pPr>
                    <w:pStyle w:val="53"/>
                    <w:bidi w:val="0"/>
                    <w:rPr>
                      <w:rFonts w:hint="default"/>
                      <w:b/>
                      <w:bCs/>
                      <w:color w:val="auto"/>
                      <w:highlight w:val="none"/>
                      <w:lang w:eastAsia="zh-CN"/>
                    </w:rPr>
                  </w:pPr>
                  <w:r>
                    <w:rPr>
                      <w:rFonts w:hint="default"/>
                      <w:b/>
                      <w:bCs/>
                      <w:color w:val="auto"/>
                      <w:highlight w:val="none"/>
                      <w:lang w:eastAsia="zh-CN"/>
                    </w:rPr>
                    <w:t>是否达标</w:t>
                  </w:r>
                </w:p>
              </w:tc>
            </w:tr>
            <w:tr w14:paraId="7458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continue"/>
                  <w:noWrap w:val="0"/>
                  <w:vAlign w:val="center"/>
                </w:tcPr>
                <w:p w14:paraId="37D23D87">
                  <w:pPr>
                    <w:pStyle w:val="53"/>
                    <w:bidi w:val="0"/>
                    <w:rPr>
                      <w:rFonts w:hint="default"/>
                      <w:color w:val="auto"/>
                      <w:highlight w:val="none"/>
                      <w:lang w:val="en-US" w:eastAsia="zh-CN"/>
                    </w:rPr>
                  </w:pPr>
                </w:p>
              </w:tc>
              <w:tc>
                <w:tcPr>
                  <w:tcW w:w="482" w:type="pct"/>
                  <w:vMerge w:val="continue"/>
                  <w:noWrap w:val="0"/>
                  <w:vAlign w:val="center"/>
                </w:tcPr>
                <w:p w14:paraId="4B6E6A6F">
                  <w:pPr>
                    <w:pStyle w:val="53"/>
                    <w:bidi w:val="0"/>
                    <w:rPr>
                      <w:rFonts w:hint="default"/>
                      <w:color w:val="auto"/>
                      <w:highlight w:val="none"/>
                    </w:rPr>
                  </w:pPr>
                </w:p>
              </w:tc>
              <w:tc>
                <w:tcPr>
                  <w:tcW w:w="701" w:type="pct"/>
                  <w:noWrap w:val="0"/>
                  <w:vAlign w:val="center"/>
                </w:tcPr>
                <w:p w14:paraId="6F44DD2D">
                  <w:pPr>
                    <w:pStyle w:val="53"/>
                    <w:bidi w:val="0"/>
                    <w:rPr>
                      <w:rFonts w:hint="default"/>
                      <w:b/>
                      <w:bCs/>
                      <w:color w:val="auto"/>
                      <w:highlight w:val="none"/>
                    </w:rPr>
                  </w:pPr>
                  <w:r>
                    <w:rPr>
                      <w:rFonts w:hint="default"/>
                      <w:b/>
                      <w:bCs/>
                      <w:color w:val="auto"/>
                      <w:highlight w:val="none"/>
                    </w:rPr>
                    <w:t>进水浓度(mg/L)</w:t>
                  </w:r>
                </w:p>
              </w:tc>
              <w:tc>
                <w:tcPr>
                  <w:tcW w:w="548" w:type="pct"/>
                  <w:noWrap w:val="0"/>
                  <w:vAlign w:val="center"/>
                </w:tcPr>
                <w:p w14:paraId="14471571">
                  <w:pPr>
                    <w:pStyle w:val="53"/>
                    <w:bidi w:val="0"/>
                    <w:rPr>
                      <w:rFonts w:hint="default"/>
                      <w:b/>
                      <w:bCs/>
                      <w:color w:val="auto"/>
                      <w:highlight w:val="none"/>
                    </w:rPr>
                  </w:pPr>
                  <w:r>
                    <w:rPr>
                      <w:rFonts w:hint="default"/>
                      <w:b/>
                      <w:bCs/>
                      <w:color w:val="auto"/>
                      <w:highlight w:val="none"/>
                    </w:rPr>
                    <w:t>产生量</w:t>
                  </w:r>
                  <w:r>
                    <w:rPr>
                      <w:rFonts w:hint="default"/>
                      <w:b/>
                      <w:bCs/>
                      <w:color w:val="auto"/>
                      <w:highlight w:val="none"/>
                      <w:lang w:eastAsia="zh-CN"/>
                    </w:rPr>
                    <w:t>（</w:t>
                  </w:r>
                  <w:r>
                    <w:rPr>
                      <w:rFonts w:hint="eastAsia"/>
                      <w:b/>
                      <w:bCs/>
                      <w:color w:val="auto"/>
                      <w:highlight w:val="none"/>
                      <w:lang w:val="en-US" w:eastAsia="zh-CN"/>
                    </w:rPr>
                    <w:t>t</w:t>
                  </w:r>
                  <w:r>
                    <w:rPr>
                      <w:rFonts w:hint="default"/>
                      <w:b/>
                      <w:bCs/>
                      <w:color w:val="auto"/>
                      <w:highlight w:val="none"/>
                    </w:rPr>
                    <w:t>/</w:t>
                  </w:r>
                  <w:r>
                    <w:rPr>
                      <w:rFonts w:hint="eastAsia"/>
                      <w:b/>
                      <w:bCs/>
                      <w:color w:val="auto"/>
                      <w:highlight w:val="none"/>
                      <w:lang w:val="en-US" w:eastAsia="zh-CN"/>
                    </w:rPr>
                    <w:t>a</w:t>
                  </w:r>
                  <w:r>
                    <w:rPr>
                      <w:rFonts w:hint="default"/>
                      <w:b/>
                      <w:bCs/>
                      <w:color w:val="auto"/>
                      <w:highlight w:val="none"/>
                      <w:lang w:eastAsia="zh-CN"/>
                    </w:rPr>
                    <w:t>）</w:t>
                  </w:r>
                </w:p>
              </w:tc>
              <w:tc>
                <w:tcPr>
                  <w:tcW w:w="656" w:type="pct"/>
                  <w:noWrap w:val="0"/>
                  <w:vAlign w:val="center"/>
                </w:tcPr>
                <w:p w14:paraId="56330FBA">
                  <w:pPr>
                    <w:pStyle w:val="53"/>
                    <w:bidi w:val="0"/>
                    <w:rPr>
                      <w:rFonts w:hint="default"/>
                      <w:b/>
                      <w:bCs/>
                      <w:color w:val="auto"/>
                      <w:highlight w:val="none"/>
                    </w:rPr>
                  </w:pPr>
                  <w:r>
                    <w:rPr>
                      <w:rFonts w:hint="default"/>
                      <w:b/>
                      <w:bCs/>
                      <w:color w:val="auto"/>
                      <w:highlight w:val="none"/>
                    </w:rPr>
                    <w:t>出水浓度(mg/L)</w:t>
                  </w:r>
                </w:p>
              </w:tc>
              <w:tc>
                <w:tcPr>
                  <w:tcW w:w="548" w:type="pct"/>
                  <w:noWrap w:val="0"/>
                  <w:vAlign w:val="center"/>
                </w:tcPr>
                <w:p w14:paraId="4E7CCF48">
                  <w:pPr>
                    <w:pStyle w:val="53"/>
                    <w:bidi w:val="0"/>
                    <w:rPr>
                      <w:rFonts w:hint="default"/>
                      <w:b/>
                      <w:bCs/>
                      <w:color w:val="auto"/>
                      <w:highlight w:val="none"/>
                    </w:rPr>
                  </w:pPr>
                  <w:r>
                    <w:rPr>
                      <w:rFonts w:hint="default"/>
                      <w:b/>
                      <w:bCs/>
                      <w:color w:val="auto"/>
                      <w:highlight w:val="none"/>
                    </w:rPr>
                    <w:t>排放量</w:t>
                  </w:r>
                  <w:r>
                    <w:rPr>
                      <w:rFonts w:hint="default"/>
                      <w:b/>
                      <w:bCs/>
                      <w:color w:val="auto"/>
                      <w:highlight w:val="none"/>
                      <w:lang w:eastAsia="zh-CN"/>
                    </w:rPr>
                    <w:t>（</w:t>
                  </w:r>
                  <w:r>
                    <w:rPr>
                      <w:rFonts w:hint="eastAsia"/>
                      <w:b/>
                      <w:bCs/>
                      <w:color w:val="auto"/>
                      <w:highlight w:val="none"/>
                      <w:lang w:val="en-US" w:eastAsia="zh-CN"/>
                    </w:rPr>
                    <w:t>t</w:t>
                  </w:r>
                  <w:r>
                    <w:rPr>
                      <w:rFonts w:hint="default"/>
                      <w:b/>
                      <w:bCs/>
                      <w:color w:val="auto"/>
                      <w:highlight w:val="none"/>
                    </w:rPr>
                    <w:t>/</w:t>
                  </w:r>
                  <w:r>
                    <w:rPr>
                      <w:rFonts w:hint="eastAsia"/>
                      <w:b/>
                      <w:bCs/>
                      <w:color w:val="auto"/>
                      <w:highlight w:val="none"/>
                      <w:lang w:val="en-US" w:eastAsia="zh-CN"/>
                    </w:rPr>
                    <w:t>a</w:t>
                  </w:r>
                  <w:r>
                    <w:rPr>
                      <w:rFonts w:hint="default"/>
                      <w:b/>
                      <w:bCs/>
                      <w:color w:val="auto"/>
                      <w:highlight w:val="none"/>
                      <w:lang w:eastAsia="zh-CN"/>
                    </w:rPr>
                    <w:t>）</w:t>
                  </w:r>
                </w:p>
              </w:tc>
              <w:tc>
                <w:tcPr>
                  <w:tcW w:w="533" w:type="pct"/>
                  <w:vMerge w:val="continue"/>
                  <w:noWrap w:val="0"/>
                  <w:vAlign w:val="center"/>
                </w:tcPr>
                <w:p w14:paraId="5671CF32">
                  <w:pPr>
                    <w:pStyle w:val="53"/>
                    <w:bidi w:val="0"/>
                    <w:rPr>
                      <w:rFonts w:hint="default"/>
                      <w:color w:val="auto"/>
                      <w:highlight w:val="none"/>
                    </w:rPr>
                  </w:pPr>
                </w:p>
              </w:tc>
              <w:tc>
                <w:tcPr>
                  <w:tcW w:w="420" w:type="pct"/>
                  <w:vMerge w:val="continue"/>
                  <w:noWrap w:val="0"/>
                  <w:vAlign w:val="center"/>
                </w:tcPr>
                <w:p w14:paraId="67DED965">
                  <w:pPr>
                    <w:pStyle w:val="53"/>
                    <w:bidi w:val="0"/>
                    <w:rPr>
                      <w:rFonts w:hint="default"/>
                      <w:color w:val="auto"/>
                      <w:highlight w:val="none"/>
                    </w:rPr>
                  </w:pPr>
                </w:p>
              </w:tc>
              <w:tc>
                <w:tcPr>
                  <w:tcW w:w="533" w:type="pct"/>
                  <w:vMerge w:val="continue"/>
                  <w:noWrap w:val="0"/>
                  <w:vAlign w:val="center"/>
                </w:tcPr>
                <w:p w14:paraId="2A2D967E">
                  <w:pPr>
                    <w:pStyle w:val="53"/>
                    <w:bidi w:val="0"/>
                    <w:rPr>
                      <w:rFonts w:hint="default"/>
                      <w:color w:val="auto"/>
                      <w:highlight w:val="none"/>
                    </w:rPr>
                  </w:pPr>
                </w:p>
              </w:tc>
            </w:tr>
            <w:tr w14:paraId="3CEA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restart"/>
                  <w:noWrap w:val="0"/>
                  <w:vAlign w:val="center"/>
                </w:tcPr>
                <w:p w14:paraId="16488E1C">
                  <w:pPr>
                    <w:pStyle w:val="53"/>
                    <w:bidi w:val="0"/>
                    <w:rPr>
                      <w:rFonts w:hint="default"/>
                      <w:color w:val="auto"/>
                      <w:highlight w:val="none"/>
                    </w:rPr>
                  </w:pPr>
                  <w:r>
                    <w:rPr>
                      <w:rFonts w:hint="eastAsia"/>
                      <w:color w:val="auto"/>
                      <w:highlight w:val="none"/>
                      <w:lang w:val="en-US" w:eastAsia="zh-CN"/>
                    </w:rPr>
                    <w:t>864</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w:t>
                  </w:r>
                </w:p>
              </w:tc>
              <w:tc>
                <w:tcPr>
                  <w:tcW w:w="482" w:type="pct"/>
                  <w:noWrap w:val="0"/>
                  <w:vAlign w:val="center"/>
                </w:tcPr>
                <w:p w14:paraId="42116295">
                  <w:pPr>
                    <w:pStyle w:val="53"/>
                    <w:bidi w:val="0"/>
                    <w:rPr>
                      <w:rFonts w:hint="eastAsia" w:eastAsia="宋体"/>
                      <w:color w:val="auto"/>
                      <w:highlight w:val="none"/>
                      <w:vertAlign w:val="subscript"/>
                      <w:lang w:val="en-US" w:eastAsia="zh-CN"/>
                    </w:rPr>
                  </w:pPr>
                  <w:r>
                    <w:rPr>
                      <w:rFonts w:hint="default"/>
                      <w:color w:val="auto"/>
                      <w:highlight w:val="none"/>
                    </w:rPr>
                    <w:t>COD</w:t>
                  </w:r>
                  <w:r>
                    <w:rPr>
                      <w:rFonts w:hint="eastAsia"/>
                      <w:color w:val="auto"/>
                      <w:highlight w:val="none"/>
                      <w:vertAlign w:val="subscript"/>
                      <w:lang w:val="en-US" w:eastAsia="zh-CN"/>
                    </w:rPr>
                    <w:t>cr</w:t>
                  </w:r>
                </w:p>
              </w:tc>
              <w:tc>
                <w:tcPr>
                  <w:tcW w:w="701" w:type="pct"/>
                  <w:noWrap w:val="0"/>
                  <w:vAlign w:val="center"/>
                </w:tcPr>
                <w:p w14:paraId="736A3A9F">
                  <w:pPr>
                    <w:pStyle w:val="53"/>
                    <w:bidi w:val="0"/>
                    <w:rPr>
                      <w:rFonts w:hint="default"/>
                      <w:color w:val="auto"/>
                      <w:highlight w:val="none"/>
                      <w:lang w:val="en-US" w:eastAsia="zh-CN"/>
                    </w:rPr>
                  </w:pPr>
                  <w:r>
                    <w:rPr>
                      <w:rFonts w:hint="eastAsia"/>
                      <w:color w:val="auto"/>
                      <w:highlight w:val="none"/>
                      <w:lang w:val="en-US" w:eastAsia="zh-CN"/>
                    </w:rPr>
                    <w:t>350</w:t>
                  </w:r>
                </w:p>
              </w:tc>
              <w:tc>
                <w:tcPr>
                  <w:tcW w:w="548" w:type="pct"/>
                  <w:noWrap w:val="0"/>
                  <w:vAlign w:val="center"/>
                </w:tcPr>
                <w:p w14:paraId="56172E62">
                  <w:pPr>
                    <w:pStyle w:val="53"/>
                    <w:bidi w:val="0"/>
                    <w:rPr>
                      <w:rFonts w:hint="default"/>
                      <w:color w:val="auto"/>
                      <w:highlight w:val="none"/>
                      <w:lang w:val="en-US" w:eastAsia="zh-CN"/>
                    </w:rPr>
                  </w:pPr>
                  <w:r>
                    <w:rPr>
                      <w:rFonts w:hint="eastAsia"/>
                      <w:color w:val="auto"/>
                      <w:highlight w:val="none"/>
                      <w:lang w:val="en-US" w:eastAsia="zh-CN"/>
                    </w:rPr>
                    <w:t>0.302</w:t>
                  </w:r>
                </w:p>
              </w:tc>
              <w:tc>
                <w:tcPr>
                  <w:tcW w:w="656" w:type="pct"/>
                  <w:noWrap w:val="0"/>
                  <w:vAlign w:val="center"/>
                </w:tcPr>
                <w:p w14:paraId="0BCEECEF">
                  <w:pPr>
                    <w:pStyle w:val="53"/>
                    <w:bidi w:val="0"/>
                    <w:rPr>
                      <w:rFonts w:hint="default"/>
                      <w:color w:val="auto"/>
                      <w:highlight w:val="none"/>
                      <w:lang w:val="en-US" w:eastAsia="zh-CN"/>
                    </w:rPr>
                  </w:pPr>
                  <w:r>
                    <w:rPr>
                      <w:rFonts w:hint="eastAsia"/>
                      <w:color w:val="auto"/>
                      <w:highlight w:val="none"/>
                      <w:lang w:val="en-US" w:eastAsia="zh-CN"/>
                    </w:rPr>
                    <w:t>300</w:t>
                  </w:r>
                </w:p>
              </w:tc>
              <w:tc>
                <w:tcPr>
                  <w:tcW w:w="548" w:type="pct"/>
                  <w:noWrap w:val="0"/>
                  <w:vAlign w:val="center"/>
                </w:tcPr>
                <w:p w14:paraId="1A3E9F19">
                  <w:pPr>
                    <w:pStyle w:val="53"/>
                    <w:bidi w:val="0"/>
                    <w:rPr>
                      <w:rFonts w:hint="default"/>
                      <w:color w:val="auto"/>
                      <w:highlight w:val="none"/>
                      <w:lang w:val="en-US" w:eastAsia="zh-CN"/>
                    </w:rPr>
                  </w:pPr>
                  <w:r>
                    <w:rPr>
                      <w:rFonts w:hint="eastAsia"/>
                      <w:color w:val="auto"/>
                      <w:highlight w:val="none"/>
                      <w:lang w:val="en-US" w:eastAsia="zh-CN"/>
                    </w:rPr>
                    <w:t>0.259</w:t>
                  </w:r>
                </w:p>
              </w:tc>
              <w:tc>
                <w:tcPr>
                  <w:tcW w:w="533" w:type="pct"/>
                  <w:noWrap w:val="0"/>
                  <w:vAlign w:val="center"/>
                </w:tcPr>
                <w:p w14:paraId="46574D3C">
                  <w:pPr>
                    <w:pStyle w:val="53"/>
                    <w:bidi w:val="0"/>
                    <w:rPr>
                      <w:rFonts w:hint="default"/>
                      <w:color w:val="auto"/>
                      <w:highlight w:val="none"/>
                      <w:lang w:val="en-US" w:eastAsia="zh-CN"/>
                    </w:rPr>
                  </w:pPr>
                  <w:r>
                    <w:rPr>
                      <w:rFonts w:hint="eastAsia"/>
                      <w:color w:val="auto"/>
                      <w:highlight w:val="none"/>
                      <w:lang w:val="en-US" w:eastAsia="zh-CN"/>
                    </w:rPr>
                    <w:t>14.3</w:t>
                  </w:r>
                </w:p>
              </w:tc>
              <w:tc>
                <w:tcPr>
                  <w:tcW w:w="420" w:type="pct"/>
                  <w:noWrap w:val="0"/>
                  <w:vAlign w:val="center"/>
                </w:tcPr>
                <w:p w14:paraId="0D151AB1">
                  <w:pPr>
                    <w:pStyle w:val="53"/>
                    <w:bidi w:val="0"/>
                    <w:rPr>
                      <w:rFonts w:hint="default"/>
                      <w:color w:val="auto"/>
                      <w:highlight w:val="none"/>
                      <w:lang w:val="en-US" w:eastAsia="zh-CN"/>
                    </w:rPr>
                  </w:pPr>
                  <w:r>
                    <w:rPr>
                      <w:rFonts w:hint="default"/>
                      <w:color w:val="auto"/>
                      <w:highlight w:val="none"/>
                      <w:lang w:val="en-US" w:eastAsia="zh-CN"/>
                    </w:rPr>
                    <w:t>500</w:t>
                  </w:r>
                </w:p>
              </w:tc>
              <w:tc>
                <w:tcPr>
                  <w:tcW w:w="533" w:type="pct"/>
                  <w:noWrap w:val="0"/>
                  <w:vAlign w:val="center"/>
                </w:tcPr>
                <w:p w14:paraId="749461A6">
                  <w:pPr>
                    <w:pStyle w:val="53"/>
                    <w:bidi w:val="0"/>
                    <w:rPr>
                      <w:rFonts w:hint="default"/>
                      <w:color w:val="auto"/>
                      <w:highlight w:val="none"/>
                    </w:rPr>
                  </w:pPr>
                  <w:r>
                    <w:rPr>
                      <w:rFonts w:hint="default"/>
                      <w:color w:val="auto"/>
                      <w:highlight w:val="none"/>
                      <w:lang w:eastAsia="zh-CN"/>
                    </w:rPr>
                    <w:t>达标</w:t>
                  </w:r>
                </w:p>
              </w:tc>
            </w:tr>
            <w:tr w14:paraId="26A9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continue"/>
                  <w:noWrap w:val="0"/>
                  <w:vAlign w:val="center"/>
                </w:tcPr>
                <w:p w14:paraId="4DCF458F">
                  <w:pPr>
                    <w:pStyle w:val="53"/>
                    <w:bidi w:val="0"/>
                    <w:rPr>
                      <w:rFonts w:hint="default"/>
                      <w:color w:val="auto"/>
                      <w:highlight w:val="none"/>
                    </w:rPr>
                  </w:pPr>
                </w:p>
              </w:tc>
              <w:tc>
                <w:tcPr>
                  <w:tcW w:w="482" w:type="pct"/>
                  <w:noWrap w:val="0"/>
                  <w:vAlign w:val="center"/>
                </w:tcPr>
                <w:p w14:paraId="4D635012">
                  <w:pPr>
                    <w:pStyle w:val="53"/>
                    <w:bidi w:val="0"/>
                    <w:rPr>
                      <w:rFonts w:hint="eastAsia" w:eastAsia="宋体"/>
                      <w:color w:val="auto"/>
                      <w:highlight w:val="none"/>
                      <w:vertAlign w:val="subscript"/>
                      <w:lang w:val="en-US" w:eastAsia="zh-CN"/>
                    </w:rPr>
                  </w:pPr>
                  <w:r>
                    <w:rPr>
                      <w:rFonts w:hint="default"/>
                      <w:color w:val="auto"/>
                      <w:highlight w:val="none"/>
                    </w:rPr>
                    <w:t>BOD</w:t>
                  </w:r>
                  <w:r>
                    <w:rPr>
                      <w:rFonts w:hint="eastAsia"/>
                      <w:color w:val="auto"/>
                      <w:highlight w:val="none"/>
                      <w:vertAlign w:val="subscript"/>
                      <w:lang w:val="en-US" w:eastAsia="zh-CN"/>
                    </w:rPr>
                    <w:t>5</w:t>
                  </w:r>
                </w:p>
              </w:tc>
              <w:tc>
                <w:tcPr>
                  <w:tcW w:w="701" w:type="pct"/>
                  <w:noWrap w:val="0"/>
                  <w:vAlign w:val="center"/>
                </w:tcPr>
                <w:p w14:paraId="2DF26567">
                  <w:pPr>
                    <w:pStyle w:val="53"/>
                    <w:bidi w:val="0"/>
                    <w:rPr>
                      <w:rFonts w:hint="default"/>
                      <w:color w:val="auto"/>
                      <w:highlight w:val="none"/>
                      <w:lang w:val="en-US" w:eastAsia="zh-CN"/>
                    </w:rPr>
                  </w:pPr>
                  <w:r>
                    <w:rPr>
                      <w:rFonts w:hint="eastAsia"/>
                      <w:color w:val="auto"/>
                      <w:highlight w:val="none"/>
                      <w:lang w:val="en-US" w:eastAsia="zh-CN"/>
                    </w:rPr>
                    <w:t>200</w:t>
                  </w:r>
                </w:p>
              </w:tc>
              <w:tc>
                <w:tcPr>
                  <w:tcW w:w="548" w:type="pct"/>
                  <w:noWrap w:val="0"/>
                  <w:vAlign w:val="center"/>
                </w:tcPr>
                <w:p w14:paraId="1DC014C0">
                  <w:pPr>
                    <w:pStyle w:val="53"/>
                    <w:bidi w:val="0"/>
                    <w:rPr>
                      <w:rFonts w:hint="default"/>
                      <w:color w:val="auto"/>
                      <w:highlight w:val="none"/>
                      <w:lang w:val="en-US" w:eastAsia="zh-CN"/>
                    </w:rPr>
                  </w:pPr>
                  <w:r>
                    <w:rPr>
                      <w:rFonts w:hint="eastAsia"/>
                      <w:color w:val="auto"/>
                      <w:highlight w:val="none"/>
                      <w:lang w:val="en-US" w:eastAsia="zh-CN"/>
                    </w:rPr>
                    <w:t>0.173</w:t>
                  </w:r>
                </w:p>
              </w:tc>
              <w:tc>
                <w:tcPr>
                  <w:tcW w:w="656" w:type="pct"/>
                  <w:noWrap w:val="0"/>
                  <w:vAlign w:val="center"/>
                </w:tcPr>
                <w:p w14:paraId="4F848671">
                  <w:pPr>
                    <w:pStyle w:val="53"/>
                    <w:bidi w:val="0"/>
                    <w:rPr>
                      <w:rFonts w:hint="default"/>
                      <w:color w:val="auto"/>
                      <w:highlight w:val="none"/>
                      <w:lang w:val="en-US" w:eastAsia="zh-CN"/>
                    </w:rPr>
                  </w:pPr>
                  <w:r>
                    <w:rPr>
                      <w:rFonts w:hint="eastAsia"/>
                      <w:color w:val="auto"/>
                      <w:highlight w:val="none"/>
                      <w:lang w:val="en-US" w:eastAsia="zh-CN"/>
                    </w:rPr>
                    <w:t>180</w:t>
                  </w:r>
                </w:p>
              </w:tc>
              <w:tc>
                <w:tcPr>
                  <w:tcW w:w="548" w:type="pct"/>
                  <w:noWrap w:val="0"/>
                  <w:vAlign w:val="center"/>
                </w:tcPr>
                <w:p w14:paraId="18B8D61C">
                  <w:pPr>
                    <w:pStyle w:val="53"/>
                    <w:bidi w:val="0"/>
                    <w:rPr>
                      <w:rFonts w:hint="default"/>
                      <w:color w:val="auto"/>
                      <w:highlight w:val="none"/>
                      <w:lang w:val="en-US" w:eastAsia="zh-CN"/>
                    </w:rPr>
                  </w:pPr>
                  <w:r>
                    <w:rPr>
                      <w:rFonts w:hint="eastAsia"/>
                      <w:color w:val="auto"/>
                      <w:highlight w:val="none"/>
                      <w:lang w:val="en-US" w:eastAsia="zh-CN"/>
                    </w:rPr>
                    <w:t>0.156</w:t>
                  </w:r>
                </w:p>
              </w:tc>
              <w:tc>
                <w:tcPr>
                  <w:tcW w:w="533" w:type="pct"/>
                  <w:noWrap w:val="0"/>
                  <w:vAlign w:val="center"/>
                </w:tcPr>
                <w:p w14:paraId="6791DAD7">
                  <w:pPr>
                    <w:pStyle w:val="53"/>
                    <w:bidi w:val="0"/>
                    <w:rPr>
                      <w:rFonts w:hint="default"/>
                      <w:color w:val="auto"/>
                      <w:highlight w:val="none"/>
                      <w:lang w:val="en-US" w:eastAsia="zh-CN"/>
                    </w:rPr>
                  </w:pPr>
                  <w:r>
                    <w:rPr>
                      <w:rFonts w:hint="eastAsia"/>
                      <w:color w:val="auto"/>
                      <w:highlight w:val="none"/>
                      <w:lang w:val="en-US" w:eastAsia="zh-CN"/>
                    </w:rPr>
                    <w:t>10.0</w:t>
                  </w:r>
                </w:p>
              </w:tc>
              <w:tc>
                <w:tcPr>
                  <w:tcW w:w="420" w:type="pct"/>
                  <w:noWrap w:val="0"/>
                  <w:vAlign w:val="center"/>
                </w:tcPr>
                <w:p w14:paraId="7D27B34A">
                  <w:pPr>
                    <w:pStyle w:val="53"/>
                    <w:bidi w:val="0"/>
                    <w:rPr>
                      <w:rFonts w:hint="default"/>
                      <w:color w:val="auto"/>
                      <w:highlight w:val="none"/>
                      <w:lang w:val="en-US" w:eastAsia="zh-CN"/>
                    </w:rPr>
                  </w:pPr>
                  <w:r>
                    <w:rPr>
                      <w:rFonts w:hint="default"/>
                      <w:color w:val="auto"/>
                      <w:highlight w:val="none"/>
                      <w:lang w:val="en-US" w:eastAsia="zh-CN"/>
                    </w:rPr>
                    <w:t>300</w:t>
                  </w:r>
                </w:p>
              </w:tc>
              <w:tc>
                <w:tcPr>
                  <w:tcW w:w="533" w:type="pct"/>
                  <w:noWrap w:val="0"/>
                  <w:vAlign w:val="center"/>
                </w:tcPr>
                <w:p w14:paraId="47D4CAFF">
                  <w:pPr>
                    <w:pStyle w:val="53"/>
                    <w:bidi w:val="0"/>
                    <w:rPr>
                      <w:rFonts w:hint="default"/>
                      <w:color w:val="auto"/>
                      <w:highlight w:val="none"/>
                    </w:rPr>
                  </w:pPr>
                  <w:r>
                    <w:rPr>
                      <w:rFonts w:hint="default"/>
                      <w:color w:val="auto"/>
                      <w:highlight w:val="none"/>
                      <w:lang w:eastAsia="zh-CN"/>
                    </w:rPr>
                    <w:t>达标</w:t>
                  </w:r>
                </w:p>
              </w:tc>
            </w:tr>
            <w:tr w14:paraId="6D5D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continue"/>
                  <w:noWrap w:val="0"/>
                  <w:vAlign w:val="center"/>
                </w:tcPr>
                <w:p w14:paraId="5A63FA32">
                  <w:pPr>
                    <w:pStyle w:val="53"/>
                    <w:bidi w:val="0"/>
                    <w:rPr>
                      <w:rFonts w:hint="default"/>
                      <w:color w:val="auto"/>
                      <w:highlight w:val="none"/>
                    </w:rPr>
                  </w:pPr>
                </w:p>
              </w:tc>
              <w:tc>
                <w:tcPr>
                  <w:tcW w:w="482" w:type="pct"/>
                  <w:noWrap w:val="0"/>
                  <w:vAlign w:val="center"/>
                </w:tcPr>
                <w:p w14:paraId="26C2B10A">
                  <w:pPr>
                    <w:pStyle w:val="53"/>
                    <w:bidi w:val="0"/>
                    <w:rPr>
                      <w:rFonts w:hint="default"/>
                      <w:color w:val="auto"/>
                      <w:highlight w:val="none"/>
                      <w:lang w:val="en-US" w:eastAsia="zh-CN"/>
                    </w:rPr>
                  </w:pPr>
                  <w:r>
                    <w:rPr>
                      <w:rFonts w:hint="default"/>
                      <w:color w:val="auto"/>
                      <w:highlight w:val="none"/>
                    </w:rPr>
                    <w:t>SS</w:t>
                  </w:r>
                </w:p>
              </w:tc>
              <w:tc>
                <w:tcPr>
                  <w:tcW w:w="701" w:type="pct"/>
                  <w:noWrap w:val="0"/>
                  <w:vAlign w:val="center"/>
                </w:tcPr>
                <w:p w14:paraId="6536FA0B">
                  <w:pPr>
                    <w:pStyle w:val="53"/>
                    <w:bidi w:val="0"/>
                    <w:rPr>
                      <w:rFonts w:hint="default"/>
                      <w:color w:val="auto"/>
                      <w:highlight w:val="none"/>
                      <w:lang w:val="en-US" w:eastAsia="zh-CN"/>
                    </w:rPr>
                  </w:pPr>
                  <w:r>
                    <w:rPr>
                      <w:rFonts w:hint="eastAsia"/>
                      <w:color w:val="auto"/>
                      <w:highlight w:val="none"/>
                      <w:lang w:val="en-US" w:eastAsia="zh-CN"/>
                    </w:rPr>
                    <w:t>280</w:t>
                  </w:r>
                </w:p>
              </w:tc>
              <w:tc>
                <w:tcPr>
                  <w:tcW w:w="548" w:type="pct"/>
                  <w:noWrap w:val="0"/>
                  <w:vAlign w:val="center"/>
                </w:tcPr>
                <w:p w14:paraId="61BE390E">
                  <w:pPr>
                    <w:pStyle w:val="53"/>
                    <w:bidi w:val="0"/>
                    <w:rPr>
                      <w:rFonts w:hint="default"/>
                      <w:color w:val="auto"/>
                      <w:highlight w:val="none"/>
                      <w:lang w:val="en-US" w:eastAsia="zh-CN"/>
                    </w:rPr>
                  </w:pPr>
                  <w:r>
                    <w:rPr>
                      <w:rFonts w:hint="eastAsia"/>
                      <w:color w:val="auto"/>
                      <w:highlight w:val="none"/>
                      <w:lang w:val="en-US" w:eastAsia="zh-CN"/>
                    </w:rPr>
                    <w:t>0.243</w:t>
                  </w:r>
                </w:p>
              </w:tc>
              <w:tc>
                <w:tcPr>
                  <w:tcW w:w="656" w:type="pct"/>
                  <w:noWrap w:val="0"/>
                  <w:vAlign w:val="center"/>
                </w:tcPr>
                <w:p w14:paraId="57062EE7">
                  <w:pPr>
                    <w:pStyle w:val="53"/>
                    <w:bidi w:val="0"/>
                    <w:rPr>
                      <w:rFonts w:hint="default"/>
                      <w:color w:val="auto"/>
                      <w:highlight w:val="none"/>
                      <w:lang w:val="en-US" w:eastAsia="zh-CN"/>
                    </w:rPr>
                  </w:pPr>
                  <w:r>
                    <w:rPr>
                      <w:rFonts w:hint="eastAsia"/>
                      <w:color w:val="auto"/>
                      <w:highlight w:val="none"/>
                      <w:lang w:val="en-US" w:eastAsia="zh-CN"/>
                    </w:rPr>
                    <w:t>80</w:t>
                  </w:r>
                </w:p>
              </w:tc>
              <w:tc>
                <w:tcPr>
                  <w:tcW w:w="548" w:type="pct"/>
                  <w:noWrap w:val="0"/>
                  <w:vAlign w:val="center"/>
                </w:tcPr>
                <w:p w14:paraId="266850A4">
                  <w:pPr>
                    <w:pStyle w:val="53"/>
                    <w:bidi w:val="0"/>
                    <w:rPr>
                      <w:rFonts w:hint="default"/>
                      <w:color w:val="auto"/>
                      <w:highlight w:val="none"/>
                      <w:lang w:val="en-US" w:eastAsia="zh-CN"/>
                    </w:rPr>
                  </w:pPr>
                  <w:r>
                    <w:rPr>
                      <w:rFonts w:hint="eastAsia"/>
                      <w:color w:val="auto"/>
                      <w:highlight w:val="none"/>
                      <w:lang w:val="en-US" w:eastAsia="zh-CN"/>
                    </w:rPr>
                    <w:t>0.069</w:t>
                  </w:r>
                </w:p>
              </w:tc>
              <w:tc>
                <w:tcPr>
                  <w:tcW w:w="533" w:type="pct"/>
                  <w:noWrap w:val="0"/>
                  <w:vAlign w:val="center"/>
                </w:tcPr>
                <w:p w14:paraId="278B210B">
                  <w:pPr>
                    <w:pStyle w:val="53"/>
                    <w:bidi w:val="0"/>
                    <w:rPr>
                      <w:rFonts w:hint="default"/>
                      <w:color w:val="auto"/>
                      <w:highlight w:val="none"/>
                      <w:lang w:val="en-US" w:eastAsia="zh-CN"/>
                    </w:rPr>
                  </w:pPr>
                  <w:r>
                    <w:rPr>
                      <w:rFonts w:hint="eastAsia"/>
                      <w:color w:val="auto"/>
                      <w:highlight w:val="none"/>
                      <w:lang w:val="en-US" w:eastAsia="zh-CN"/>
                    </w:rPr>
                    <w:t>71.4</w:t>
                  </w:r>
                </w:p>
              </w:tc>
              <w:tc>
                <w:tcPr>
                  <w:tcW w:w="420" w:type="pct"/>
                  <w:noWrap w:val="0"/>
                  <w:vAlign w:val="center"/>
                </w:tcPr>
                <w:p w14:paraId="0803C7A1">
                  <w:pPr>
                    <w:pStyle w:val="53"/>
                    <w:bidi w:val="0"/>
                    <w:rPr>
                      <w:rFonts w:hint="default"/>
                      <w:color w:val="auto"/>
                      <w:highlight w:val="none"/>
                      <w:lang w:val="en-US" w:eastAsia="zh-CN"/>
                    </w:rPr>
                  </w:pPr>
                  <w:r>
                    <w:rPr>
                      <w:rFonts w:hint="default"/>
                      <w:color w:val="auto"/>
                      <w:highlight w:val="none"/>
                      <w:lang w:val="en-US" w:eastAsia="zh-CN"/>
                    </w:rPr>
                    <w:t>400</w:t>
                  </w:r>
                </w:p>
              </w:tc>
              <w:tc>
                <w:tcPr>
                  <w:tcW w:w="533" w:type="pct"/>
                  <w:noWrap w:val="0"/>
                  <w:vAlign w:val="center"/>
                </w:tcPr>
                <w:p w14:paraId="20072658">
                  <w:pPr>
                    <w:pStyle w:val="53"/>
                    <w:bidi w:val="0"/>
                    <w:rPr>
                      <w:rFonts w:hint="default"/>
                      <w:color w:val="auto"/>
                      <w:highlight w:val="none"/>
                    </w:rPr>
                  </w:pPr>
                  <w:r>
                    <w:rPr>
                      <w:rFonts w:hint="default"/>
                      <w:color w:val="auto"/>
                      <w:highlight w:val="none"/>
                      <w:lang w:eastAsia="zh-CN"/>
                    </w:rPr>
                    <w:t>达标</w:t>
                  </w:r>
                </w:p>
              </w:tc>
            </w:tr>
            <w:tr w14:paraId="48DE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continue"/>
                  <w:noWrap w:val="0"/>
                  <w:vAlign w:val="center"/>
                </w:tcPr>
                <w:p w14:paraId="4CA866A1">
                  <w:pPr>
                    <w:pStyle w:val="53"/>
                    <w:bidi w:val="0"/>
                    <w:rPr>
                      <w:rFonts w:hint="default"/>
                      <w:color w:val="auto"/>
                      <w:highlight w:val="none"/>
                    </w:rPr>
                  </w:pPr>
                </w:p>
              </w:tc>
              <w:tc>
                <w:tcPr>
                  <w:tcW w:w="482" w:type="pct"/>
                  <w:noWrap w:val="0"/>
                  <w:vAlign w:val="center"/>
                </w:tcPr>
                <w:p w14:paraId="12882D57">
                  <w:pPr>
                    <w:pStyle w:val="53"/>
                    <w:bidi w:val="0"/>
                    <w:rPr>
                      <w:rFonts w:hint="default"/>
                      <w:color w:val="auto"/>
                      <w:highlight w:val="none"/>
                    </w:rPr>
                  </w:pPr>
                  <w:r>
                    <w:rPr>
                      <w:rFonts w:hint="eastAsia"/>
                      <w:color w:val="auto"/>
                      <w:highlight w:val="none"/>
                      <w:lang w:val="en-US" w:eastAsia="zh-CN"/>
                    </w:rPr>
                    <w:t>氨氮</w:t>
                  </w:r>
                </w:p>
              </w:tc>
              <w:tc>
                <w:tcPr>
                  <w:tcW w:w="701" w:type="pct"/>
                  <w:noWrap w:val="0"/>
                  <w:vAlign w:val="center"/>
                </w:tcPr>
                <w:p w14:paraId="691AA744">
                  <w:pPr>
                    <w:pStyle w:val="53"/>
                    <w:bidi w:val="0"/>
                    <w:rPr>
                      <w:rFonts w:hint="default"/>
                      <w:color w:val="auto"/>
                      <w:highlight w:val="none"/>
                      <w:lang w:val="en-US" w:eastAsia="zh-CN"/>
                    </w:rPr>
                  </w:pPr>
                  <w:r>
                    <w:rPr>
                      <w:rFonts w:hint="eastAsia"/>
                      <w:color w:val="auto"/>
                      <w:highlight w:val="none"/>
                      <w:lang w:val="en-US" w:eastAsia="zh-CN"/>
                    </w:rPr>
                    <w:t>35</w:t>
                  </w:r>
                </w:p>
              </w:tc>
              <w:tc>
                <w:tcPr>
                  <w:tcW w:w="548" w:type="pct"/>
                  <w:noWrap w:val="0"/>
                  <w:vAlign w:val="center"/>
                </w:tcPr>
                <w:p w14:paraId="5A229878">
                  <w:pPr>
                    <w:pStyle w:val="53"/>
                    <w:bidi w:val="0"/>
                    <w:rPr>
                      <w:rFonts w:hint="default"/>
                      <w:color w:val="auto"/>
                      <w:highlight w:val="none"/>
                      <w:lang w:val="en-US" w:eastAsia="zh-CN"/>
                    </w:rPr>
                  </w:pPr>
                  <w:r>
                    <w:rPr>
                      <w:rFonts w:hint="eastAsia"/>
                      <w:color w:val="auto"/>
                      <w:highlight w:val="none"/>
                      <w:lang w:val="en-US" w:eastAsia="zh-CN"/>
                    </w:rPr>
                    <w:t>0.030</w:t>
                  </w:r>
                </w:p>
              </w:tc>
              <w:tc>
                <w:tcPr>
                  <w:tcW w:w="656" w:type="pct"/>
                  <w:noWrap w:val="0"/>
                  <w:vAlign w:val="center"/>
                </w:tcPr>
                <w:p w14:paraId="48566B7D">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35</w:t>
                  </w:r>
                </w:p>
              </w:tc>
              <w:tc>
                <w:tcPr>
                  <w:tcW w:w="548" w:type="pct"/>
                  <w:noWrap w:val="0"/>
                  <w:vAlign w:val="center"/>
                </w:tcPr>
                <w:p w14:paraId="48CF12D0">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0.030</w:t>
                  </w:r>
                </w:p>
              </w:tc>
              <w:tc>
                <w:tcPr>
                  <w:tcW w:w="533" w:type="pct"/>
                  <w:noWrap w:val="0"/>
                  <w:vAlign w:val="center"/>
                </w:tcPr>
                <w:p w14:paraId="4AF21415">
                  <w:pPr>
                    <w:pStyle w:val="53"/>
                    <w:bidi w:val="0"/>
                    <w:rPr>
                      <w:rFonts w:hint="default"/>
                      <w:color w:val="auto"/>
                      <w:highlight w:val="none"/>
                      <w:lang w:val="en-US" w:eastAsia="zh-CN"/>
                    </w:rPr>
                  </w:pPr>
                  <w:r>
                    <w:rPr>
                      <w:rFonts w:hint="eastAsia"/>
                      <w:color w:val="auto"/>
                      <w:highlight w:val="none"/>
                      <w:lang w:val="en-US" w:eastAsia="zh-CN"/>
                    </w:rPr>
                    <w:t>0</w:t>
                  </w:r>
                </w:p>
              </w:tc>
              <w:tc>
                <w:tcPr>
                  <w:tcW w:w="420" w:type="pct"/>
                  <w:noWrap w:val="0"/>
                  <w:vAlign w:val="center"/>
                </w:tcPr>
                <w:p w14:paraId="035DF774">
                  <w:pPr>
                    <w:pStyle w:val="53"/>
                    <w:bidi w:val="0"/>
                    <w:rPr>
                      <w:rFonts w:hint="default"/>
                      <w:color w:val="auto"/>
                      <w:highlight w:val="none"/>
                      <w:lang w:val="en-US" w:eastAsia="zh-CN"/>
                    </w:rPr>
                  </w:pPr>
                  <w:r>
                    <w:rPr>
                      <w:rFonts w:hint="eastAsia"/>
                      <w:color w:val="auto"/>
                      <w:highlight w:val="none"/>
                      <w:lang w:val="en-US" w:eastAsia="zh-CN"/>
                    </w:rPr>
                    <w:t>45</w:t>
                  </w:r>
                </w:p>
              </w:tc>
              <w:tc>
                <w:tcPr>
                  <w:tcW w:w="533" w:type="pct"/>
                  <w:noWrap w:val="0"/>
                  <w:vAlign w:val="center"/>
                </w:tcPr>
                <w:p w14:paraId="7A5EBDBA">
                  <w:pPr>
                    <w:pStyle w:val="53"/>
                    <w:bidi w:val="0"/>
                    <w:rPr>
                      <w:rFonts w:hint="default"/>
                      <w:color w:val="auto"/>
                      <w:highlight w:val="none"/>
                      <w:lang w:eastAsia="zh-CN"/>
                    </w:rPr>
                  </w:pPr>
                  <w:r>
                    <w:rPr>
                      <w:rFonts w:hint="default"/>
                      <w:color w:val="auto"/>
                      <w:highlight w:val="none"/>
                      <w:lang w:eastAsia="zh-CN"/>
                    </w:rPr>
                    <w:t>达标</w:t>
                  </w:r>
                </w:p>
              </w:tc>
            </w:tr>
            <w:tr w14:paraId="5408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continue"/>
                  <w:noWrap w:val="0"/>
                  <w:vAlign w:val="center"/>
                </w:tcPr>
                <w:p w14:paraId="7F33407A">
                  <w:pPr>
                    <w:pStyle w:val="53"/>
                    <w:bidi w:val="0"/>
                    <w:rPr>
                      <w:rFonts w:hint="default"/>
                      <w:color w:val="auto"/>
                      <w:highlight w:val="none"/>
                    </w:rPr>
                  </w:pPr>
                </w:p>
              </w:tc>
              <w:tc>
                <w:tcPr>
                  <w:tcW w:w="482" w:type="pct"/>
                  <w:noWrap w:val="0"/>
                  <w:vAlign w:val="center"/>
                </w:tcPr>
                <w:p w14:paraId="2570D490">
                  <w:pPr>
                    <w:pStyle w:val="53"/>
                    <w:bidi w:val="0"/>
                    <w:rPr>
                      <w:rFonts w:hint="eastAsia"/>
                      <w:color w:val="auto"/>
                      <w:highlight w:val="none"/>
                      <w:lang w:val="en-US" w:eastAsia="zh-CN"/>
                    </w:rPr>
                  </w:pPr>
                  <w:r>
                    <w:rPr>
                      <w:rFonts w:hint="eastAsia"/>
                      <w:color w:val="auto"/>
                      <w:highlight w:val="none"/>
                      <w:lang w:val="en-US" w:eastAsia="zh-CN"/>
                    </w:rPr>
                    <w:t>总氮</w:t>
                  </w:r>
                </w:p>
              </w:tc>
              <w:tc>
                <w:tcPr>
                  <w:tcW w:w="701" w:type="pct"/>
                  <w:noWrap w:val="0"/>
                  <w:vAlign w:val="center"/>
                </w:tcPr>
                <w:p w14:paraId="5170037C">
                  <w:pPr>
                    <w:pStyle w:val="53"/>
                    <w:bidi w:val="0"/>
                    <w:rPr>
                      <w:rFonts w:hint="default"/>
                      <w:color w:val="auto"/>
                      <w:highlight w:val="none"/>
                      <w:lang w:val="en-US" w:eastAsia="zh-CN"/>
                    </w:rPr>
                  </w:pPr>
                  <w:r>
                    <w:rPr>
                      <w:rFonts w:hint="eastAsia"/>
                      <w:color w:val="auto"/>
                      <w:highlight w:val="none"/>
                      <w:lang w:val="en-US" w:eastAsia="zh-CN"/>
                    </w:rPr>
                    <w:t>40</w:t>
                  </w:r>
                </w:p>
              </w:tc>
              <w:tc>
                <w:tcPr>
                  <w:tcW w:w="548" w:type="pct"/>
                  <w:noWrap w:val="0"/>
                  <w:vAlign w:val="center"/>
                </w:tcPr>
                <w:p w14:paraId="30A05F65">
                  <w:pPr>
                    <w:pStyle w:val="53"/>
                    <w:bidi w:val="0"/>
                    <w:rPr>
                      <w:rFonts w:hint="default"/>
                      <w:color w:val="auto"/>
                      <w:highlight w:val="none"/>
                      <w:lang w:val="en-US" w:eastAsia="zh-CN"/>
                    </w:rPr>
                  </w:pPr>
                  <w:r>
                    <w:rPr>
                      <w:rFonts w:hint="eastAsia"/>
                      <w:color w:val="auto"/>
                      <w:highlight w:val="none"/>
                      <w:lang w:val="en-US" w:eastAsia="zh-CN"/>
                    </w:rPr>
                    <w:t>0.035</w:t>
                  </w:r>
                </w:p>
              </w:tc>
              <w:tc>
                <w:tcPr>
                  <w:tcW w:w="656" w:type="pct"/>
                  <w:noWrap w:val="0"/>
                  <w:vAlign w:val="center"/>
                </w:tcPr>
                <w:p w14:paraId="6ECE1F3E">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40</w:t>
                  </w:r>
                </w:p>
              </w:tc>
              <w:tc>
                <w:tcPr>
                  <w:tcW w:w="548" w:type="pct"/>
                  <w:shd w:val="clear" w:color="auto" w:fill="auto"/>
                  <w:noWrap w:val="0"/>
                  <w:vAlign w:val="center"/>
                </w:tcPr>
                <w:p w14:paraId="34C6B51D">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0.035</w:t>
                  </w:r>
                </w:p>
              </w:tc>
              <w:tc>
                <w:tcPr>
                  <w:tcW w:w="533" w:type="pct"/>
                  <w:noWrap w:val="0"/>
                  <w:vAlign w:val="center"/>
                </w:tcPr>
                <w:p w14:paraId="2F460961">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0</w:t>
                  </w:r>
                </w:p>
              </w:tc>
              <w:tc>
                <w:tcPr>
                  <w:tcW w:w="420" w:type="pct"/>
                  <w:noWrap w:val="0"/>
                  <w:vAlign w:val="center"/>
                </w:tcPr>
                <w:p w14:paraId="1D2CC019">
                  <w:pPr>
                    <w:pStyle w:val="53"/>
                    <w:bidi w:val="0"/>
                    <w:rPr>
                      <w:rFonts w:hint="default"/>
                      <w:color w:val="auto"/>
                      <w:highlight w:val="none"/>
                      <w:lang w:val="en-US" w:eastAsia="zh-CN"/>
                    </w:rPr>
                  </w:pPr>
                  <w:r>
                    <w:rPr>
                      <w:rFonts w:hint="eastAsia"/>
                      <w:color w:val="auto"/>
                      <w:highlight w:val="none"/>
                      <w:lang w:val="en-US" w:eastAsia="zh-CN"/>
                    </w:rPr>
                    <w:t>70</w:t>
                  </w:r>
                </w:p>
              </w:tc>
              <w:tc>
                <w:tcPr>
                  <w:tcW w:w="533" w:type="pct"/>
                  <w:noWrap w:val="0"/>
                  <w:vAlign w:val="center"/>
                </w:tcPr>
                <w:p w14:paraId="26C4EE0F">
                  <w:pPr>
                    <w:pStyle w:val="53"/>
                    <w:bidi w:val="0"/>
                    <w:rPr>
                      <w:rFonts w:hint="default"/>
                      <w:color w:val="auto"/>
                      <w:highlight w:val="none"/>
                      <w:lang w:val="en-US" w:eastAsia="zh-CN"/>
                    </w:rPr>
                  </w:pPr>
                  <w:r>
                    <w:rPr>
                      <w:rFonts w:hint="default"/>
                      <w:color w:val="auto"/>
                      <w:highlight w:val="none"/>
                      <w:lang w:eastAsia="zh-CN"/>
                    </w:rPr>
                    <w:t>达标</w:t>
                  </w:r>
                </w:p>
              </w:tc>
            </w:tr>
            <w:tr w14:paraId="5A75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5" w:type="pct"/>
                  <w:vMerge w:val="continue"/>
                  <w:noWrap w:val="0"/>
                  <w:vAlign w:val="center"/>
                </w:tcPr>
                <w:p w14:paraId="74EF06BE">
                  <w:pPr>
                    <w:pStyle w:val="53"/>
                    <w:bidi w:val="0"/>
                    <w:rPr>
                      <w:rFonts w:hint="default"/>
                      <w:color w:val="auto"/>
                      <w:highlight w:val="none"/>
                    </w:rPr>
                  </w:pPr>
                </w:p>
              </w:tc>
              <w:tc>
                <w:tcPr>
                  <w:tcW w:w="482" w:type="pct"/>
                  <w:noWrap w:val="0"/>
                  <w:vAlign w:val="center"/>
                </w:tcPr>
                <w:p w14:paraId="697FA7B3">
                  <w:pPr>
                    <w:pStyle w:val="53"/>
                    <w:bidi w:val="0"/>
                    <w:rPr>
                      <w:rFonts w:hint="default"/>
                      <w:color w:val="auto"/>
                      <w:highlight w:val="none"/>
                      <w:lang w:val="en-US" w:eastAsia="zh-CN"/>
                    </w:rPr>
                  </w:pPr>
                  <w:r>
                    <w:rPr>
                      <w:rFonts w:hint="eastAsia"/>
                      <w:color w:val="auto"/>
                      <w:highlight w:val="none"/>
                      <w:lang w:val="en-US" w:eastAsia="zh-CN"/>
                    </w:rPr>
                    <w:t>总磷</w:t>
                  </w:r>
                </w:p>
              </w:tc>
              <w:tc>
                <w:tcPr>
                  <w:tcW w:w="701" w:type="pct"/>
                  <w:noWrap w:val="0"/>
                  <w:vAlign w:val="center"/>
                </w:tcPr>
                <w:p w14:paraId="468B12D7">
                  <w:pPr>
                    <w:pStyle w:val="53"/>
                    <w:bidi w:val="0"/>
                    <w:rPr>
                      <w:rFonts w:hint="default"/>
                      <w:color w:val="auto"/>
                      <w:highlight w:val="none"/>
                      <w:lang w:val="en-US" w:eastAsia="zh-CN"/>
                    </w:rPr>
                  </w:pPr>
                  <w:r>
                    <w:rPr>
                      <w:rFonts w:hint="eastAsia"/>
                      <w:color w:val="auto"/>
                      <w:highlight w:val="none"/>
                      <w:lang w:val="en-US" w:eastAsia="zh-CN"/>
                    </w:rPr>
                    <w:t>6</w:t>
                  </w:r>
                </w:p>
              </w:tc>
              <w:tc>
                <w:tcPr>
                  <w:tcW w:w="548" w:type="pct"/>
                  <w:noWrap w:val="0"/>
                  <w:vAlign w:val="center"/>
                </w:tcPr>
                <w:p w14:paraId="6EAB110B">
                  <w:pPr>
                    <w:pStyle w:val="53"/>
                    <w:bidi w:val="0"/>
                    <w:rPr>
                      <w:rFonts w:hint="default"/>
                      <w:color w:val="auto"/>
                      <w:highlight w:val="none"/>
                      <w:lang w:val="en-US" w:eastAsia="zh-CN"/>
                    </w:rPr>
                  </w:pPr>
                  <w:r>
                    <w:rPr>
                      <w:rFonts w:hint="eastAsia"/>
                      <w:color w:val="auto"/>
                      <w:highlight w:val="none"/>
                      <w:lang w:val="en-US" w:eastAsia="zh-CN"/>
                    </w:rPr>
                    <w:t>0.0052</w:t>
                  </w:r>
                </w:p>
              </w:tc>
              <w:tc>
                <w:tcPr>
                  <w:tcW w:w="656" w:type="pct"/>
                  <w:noWrap w:val="0"/>
                  <w:vAlign w:val="center"/>
                </w:tcPr>
                <w:p w14:paraId="0598D5CC">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6</w:t>
                  </w:r>
                </w:p>
              </w:tc>
              <w:tc>
                <w:tcPr>
                  <w:tcW w:w="548" w:type="pct"/>
                  <w:noWrap w:val="0"/>
                  <w:vAlign w:val="center"/>
                </w:tcPr>
                <w:p w14:paraId="1CE5D0D0">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0.0052</w:t>
                  </w:r>
                </w:p>
              </w:tc>
              <w:tc>
                <w:tcPr>
                  <w:tcW w:w="533" w:type="pct"/>
                  <w:noWrap w:val="0"/>
                  <w:vAlign w:val="center"/>
                </w:tcPr>
                <w:p w14:paraId="0CBBE588">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0</w:t>
                  </w:r>
                </w:p>
              </w:tc>
              <w:tc>
                <w:tcPr>
                  <w:tcW w:w="420" w:type="pct"/>
                  <w:noWrap w:val="0"/>
                  <w:vAlign w:val="center"/>
                </w:tcPr>
                <w:p w14:paraId="3E9BC3A0">
                  <w:pPr>
                    <w:pStyle w:val="53"/>
                    <w:bidi w:val="0"/>
                    <w:rPr>
                      <w:rFonts w:hint="default"/>
                      <w:color w:val="auto"/>
                      <w:highlight w:val="none"/>
                      <w:lang w:val="en-US" w:eastAsia="zh-CN"/>
                    </w:rPr>
                  </w:pPr>
                  <w:r>
                    <w:rPr>
                      <w:rFonts w:hint="eastAsia"/>
                      <w:color w:val="auto"/>
                      <w:highlight w:val="none"/>
                      <w:lang w:val="en-US" w:eastAsia="zh-CN"/>
                    </w:rPr>
                    <w:t>8</w:t>
                  </w:r>
                </w:p>
              </w:tc>
              <w:tc>
                <w:tcPr>
                  <w:tcW w:w="533" w:type="pct"/>
                  <w:noWrap w:val="0"/>
                  <w:vAlign w:val="center"/>
                </w:tcPr>
                <w:p w14:paraId="6820668E">
                  <w:pPr>
                    <w:pStyle w:val="53"/>
                    <w:bidi w:val="0"/>
                    <w:rPr>
                      <w:rFonts w:hint="default"/>
                      <w:color w:val="auto"/>
                      <w:highlight w:val="none"/>
                      <w:lang w:val="en-US" w:eastAsia="zh-CN"/>
                    </w:rPr>
                  </w:pPr>
                  <w:r>
                    <w:rPr>
                      <w:rFonts w:hint="eastAsia"/>
                      <w:color w:val="auto"/>
                      <w:highlight w:val="none"/>
                      <w:lang w:val="en-US" w:eastAsia="zh-CN"/>
                    </w:rPr>
                    <w:t>达标</w:t>
                  </w:r>
                </w:p>
              </w:tc>
            </w:tr>
          </w:tbl>
          <w:p w14:paraId="58EFF6CF">
            <w:pPr>
              <w:bidi w:val="0"/>
              <w:rPr>
                <w:rFonts w:hint="default"/>
                <w:color w:val="auto"/>
                <w:highlight w:val="none"/>
                <w:lang w:val="en-US" w:eastAsia="zh-CN"/>
              </w:rPr>
            </w:pPr>
            <w:r>
              <w:rPr>
                <w:rFonts w:hint="eastAsia"/>
                <w:color w:val="auto"/>
                <w:highlight w:val="none"/>
                <w:lang w:val="en-US" w:eastAsia="zh-CN"/>
              </w:rPr>
              <w:t>（2）项目废水依托五丈原污水处理厂的依托可行性分析</w:t>
            </w:r>
          </w:p>
          <w:p w14:paraId="60D99536">
            <w:pPr>
              <w:pStyle w:val="83"/>
              <w:rPr>
                <w:rFonts w:hint="default"/>
                <w:color w:val="auto"/>
              </w:rPr>
            </w:pPr>
            <w:r>
              <w:rPr>
                <w:color w:val="auto"/>
              </w:rPr>
              <w:t>①五丈原污水处理厂概况</w:t>
            </w:r>
          </w:p>
          <w:p w14:paraId="163E2FFB">
            <w:pPr>
              <w:pStyle w:val="83"/>
              <w:rPr>
                <w:rFonts w:hint="default"/>
                <w:color w:val="auto"/>
              </w:rPr>
            </w:pPr>
            <w:r>
              <w:rPr>
                <w:color w:val="auto"/>
              </w:rPr>
              <w:t>五丈原污水处理厂位于宝鸡蔡家坡渭河南岸五丈原片区，该项目已于2017年6月26日取得了宝鸡市环境保护局岐山分局的批复，批复文号宝环岐函〔2017〕85号。污水处理厂北临滨河南路南侧50m绿化带，南临德馨路北侧20m绿化带，东临华明村耕地，西临规划兴业路，主要服务陕西省宝鸡市蔡家坡经济技术开发区渭河南岸区域。</w:t>
            </w:r>
          </w:p>
          <w:p w14:paraId="6AC37138">
            <w:pPr>
              <w:pStyle w:val="83"/>
              <w:rPr>
                <w:rFonts w:hint="default"/>
                <w:color w:val="auto"/>
              </w:rPr>
            </w:pPr>
            <w:r>
              <w:rPr>
                <w:color w:val="auto"/>
              </w:rPr>
              <w:t>②接管可行性分析</w:t>
            </w:r>
          </w:p>
          <w:p w14:paraId="66DB64A8">
            <w:pPr>
              <w:pStyle w:val="83"/>
              <w:rPr>
                <w:rFonts w:hint="default"/>
                <w:color w:val="auto"/>
              </w:rPr>
            </w:pPr>
            <w:r>
              <w:rPr>
                <w:color w:val="auto"/>
              </w:rPr>
              <w:t>五丈原污水处理厂与本项目直线距离4.86km，设计总处理能力为6.0万m</w:t>
            </w:r>
            <w:r>
              <w:rPr>
                <w:rFonts w:hint="eastAsia"/>
                <w:color w:val="auto"/>
                <w:vertAlign w:val="superscript"/>
                <w:lang w:val="en-US" w:eastAsia="zh-CN"/>
              </w:rPr>
              <w:t>3</w:t>
            </w:r>
            <w:r>
              <w:rPr>
                <w:color w:val="auto"/>
              </w:rPr>
              <w:t>/d，一期设计处理能力为2.0万m</w:t>
            </w:r>
            <w:r>
              <w:rPr>
                <w:rFonts w:hint="eastAsia"/>
                <w:color w:val="auto"/>
                <w:vertAlign w:val="superscript"/>
                <w:lang w:val="en-US" w:eastAsia="zh-CN"/>
              </w:rPr>
              <w:t>3</w:t>
            </w:r>
            <w:r>
              <w:rPr>
                <w:color w:val="auto"/>
              </w:rPr>
              <w:t>/d，工艺采用改良A</w:t>
            </w:r>
            <w:r>
              <w:rPr>
                <w:color w:val="auto"/>
                <w:vertAlign w:val="superscript"/>
              </w:rPr>
              <w:t>2</w:t>
            </w:r>
            <w:r>
              <w:rPr>
                <w:color w:val="auto"/>
              </w:rPr>
              <w:t>/O水处理工艺，出水标准执行《城镇污水处理厂污染物排放标准》及中一级A标准，目前已投运。配套收水管网分A、B两段，总长度14034m，目前本项目南侧站前大道管网已铺设到位。因此本项目产生的污水纳入园区污水管网是可行的。</w:t>
            </w:r>
          </w:p>
          <w:p w14:paraId="09B16FC7">
            <w:pPr>
              <w:pStyle w:val="83"/>
              <w:rPr>
                <w:rFonts w:hint="default"/>
                <w:color w:val="auto"/>
              </w:rPr>
            </w:pPr>
            <w:r>
              <w:rPr>
                <w:color w:val="auto"/>
              </w:rPr>
              <w:t>③水质、水量可行性分析</w:t>
            </w:r>
          </w:p>
          <w:p w14:paraId="3849F076">
            <w:pPr>
              <w:pStyle w:val="83"/>
              <w:rPr>
                <w:rFonts w:hint="default"/>
                <w:color w:val="auto"/>
              </w:rPr>
            </w:pPr>
            <w:r>
              <w:rPr>
                <w:color w:val="auto"/>
              </w:rPr>
              <w:t>企业排放废水经厂区内的污水处理站处理后浓度满足《污水综合排放标准》（GB8978-1996）表4中的三级标准及《污水排入城镇下水道水质标准》（GB/T31962-2015）B级标准，符合污水处理厂进水要求，根据初步设计资料，该污水处理厂设计收集五丈原社区及周边村庄生活污水，法士特、陕汽、通力等企业生产废水，初步核算废水量为1.6万~1.8万m</w:t>
            </w:r>
            <w:r>
              <w:rPr>
                <w:color w:val="auto"/>
                <w:vertAlign w:val="superscript"/>
              </w:rPr>
              <w:t>3</w:t>
            </w:r>
            <w:r>
              <w:rPr>
                <w:color w:val="auto"/>
              </w:rPr>
              <w:t>/d。本项目外排</w:t>
            </w:r>
            <w:r>
              <w:rPr>
                <w:rFonts w:hint="eastAsia"/>
                <w:color w:val="auto"/>
                <w:lang w:val="en-US" w:eastAsia="zh-CN"/>
              </w:rPr>
              <w:t>生活污水</w:t>
            </w:r>
            <w:r>
              <w:rPr>
                <w:color w:val="auto"/>
              </w:rPr>
              <w:t>量</w:t>
            </w:r>
            <w:r>
              <w:rPr>
                <w:rFonts w:hint="eastAsia"/>
                <w:color w:val="auto"/>
                <w:lang w:val="en-US" w:eastAsia="zh-CN"/>
              </w:rPr>
              <w:t>2.88</w:t>
            </w:r>
            <w:r>
              <w:rPr>
                <w:color w:val="auto"/>
              </w:rPr>
              <w:t>m</w:t>
            </w:r>
            <w:r>
              <w:rPr>
                <w:color w:val="auto"/>
                <w:vertAlign w:val="superscript"/>
              </w:rPr>
              <w:t>3</w:t>
            </w:r>
            <w:r>
              <w:rPr>
                <w:color w:val="auto"/>
              </w:rPr>
              <w:t>/d，所以五丈原污水处理厂剩余处理能力足够消纳本项目污水排放量，且排水量不会对该污水处理厂产生水量冲击。</w:t>
            </w:r>
          </w:p>
          <w:p w14:paraId="079AA288">
            <w:pPr>
              <w:pStyle w:val="83"/>
              <w:rPr>
                <w:rFonts w:hint="default"/>
                <w:color w:val="auto"/>
              </w:rPr>
            </w:pPr>
            <w:r>
              <w:rPr>
                <w:color w:val="auto"/>
              </w:rPr>
              <w:t>根据项目现场踏勘，项目所在区属于污水处理厂收水范围，且项目地污水管网已经铺设到位，因此，本项目生活污水经化粪池处理后排入五丈原污水处理厂措施可行。五丈原污水处理厂已于2021年10月20日正式运行，故依托可行。</w:t>
            </w:r>
          </w:p>
          <w:p w14:paraId="2975DA6F">
            <w:pPr>
              <w:bidi w:val="0"/>
              <w:rPr>
                <w:rFonts w:hint="default"/>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综上，项目废水经市政污水管网排入</w:t>
            </w:r>
            <w:r>
              <w:rPr>
                <w:color w:val="auto"/>
              </w:rPr>
              <w:t>五丈原</w:t>
            </w:r>
            <w:r>
              <w:rPr>
                <w:rFonts w:hint="default" w:ascii="Times New Roman" w:hAnsi="Times New Roman" w:eastAsia="宋体" w:cs="Times New Roman"/>
                <w:color w:val="auto"/>
                <w:sz w:val="24"/>
                <w:szCs w:val="24"/>
                <w:highlight w:val="none"/>
                <w:lang w:val="en-US" w:eastAsia="zh-CN"/>
              </w:rPr>
              <w:t>污水处理厂可行。</w:t>
            </w:r>
          </w:p>
          <w:p w14:paraId="0970E31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32"/>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cs="Times New Roman"/>
                <w:color w:val="auto"/>
                <w:highlight w:val="none"/>
                <w:lang w:val="en-US" w:eastAsia="zh-CN"/>
              </w:rPr>
              <w:t>3</w:t>
            </w:r>
            <w:r>
              <w:rPr>
                <w:rFonts w:hint="default" w:ascii="Times New Roman" w:hAnsi="Times New Roman" w:cs="Times New Roman"/>
                <w:color w:val="auto"/>
                <w:highlight w:val="none"/>
                <w:lang w:val="en-US" w:eastAsia="zh-CN"/>
              </w:rPr>
              <w:t>）</w:t>
            </w:r>
            <w:r>
              <w:rPr>
                <w:rFonts w:hint="eastAsia"/>
                <w:color w:val="auto"/>
                <w:sz w:val="24"/>
                <w:szCs w:val="32"/>
                <w:highlight w:val="none"/>
                <w:lang w:val="en-US" w:eastAsia="zh-CN"/>
              </w:rPr>
              <w:t>排放口情况</w:t>
            </w:r>
          </w:p>
          <w:p w14:paraId="02EFE18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32"/>
                <w:highlight w:val="none"/>
                <w:lang w:val="en-US" w:eastAsia="zh-CN"/>
              </w:rPr>
            </w:pPr>
            <w:r>
              <w:rPr>
                <w:rFonts w:hint="eastAsia"/>
                <w:color w:val="auto"/>
                <w:sz w:val="24"/>
                <w:szCs w:val="32"/>
                <w:highlight w:val="none"/>
                <w:lang w:val="en-US" w:eastAsia="zh-CN"/>
              </w:rPr>
              <w:t>项目废水设一个综合排放口，排放口基础信息见下表：</w:t>
            </w:r>
          </w:p>
          <w:p w14:paraId="7FCEDAA1">
            <w:pPr>
              <w:pStyle w:val="58"/>
              <w:bidi w:val="0"/>
              <w:rPr>
                <w:rFonts w:hint="default"/>
                <w:color w:val="auto"/>
                <w:highlight w:val="none"/>
                <w:lang w:val="en-US" w:eastAsia="zh-CN"/>
              </w:rPr>
            </w:pPr>
            <w:r>
              <w:rPr>
                <w:rFonts w:hint="eastAsia"/>
                <w:color w:val="auto"/>
                <w:highlight w:val="none"/>
                <w:lang w:val="en-US" w:eastAsia="zh-CN"/>
              </w:rPr>
              <w:t xml:space="preserve">表4-9   废水类别、污染物及污染治理设施信息表 </w:t>
            </w:r>
          </w:p>
          <w:tbl>
            <w:tblPr>
              <w:tblStyle w:val="31"/>
              <w:tblW w:w="4949"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618"/>
              <w:gridCol w:w="938"/>
              <w:gridCol w:w="718"/>
              <w:gridCol w:w="858"/>
              <w:gridCol w:w="771"/>
              <w:gridCol w:w="1012"/>
              <w:gridCol w:w="881"/>
              <w:gridCol w:w="859"/>
              <w:gridCol w:w="783"/>
            </w:tblGrid>
            <w:tr w14:paraId="5CDCAB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9" w:hRule="atLeast"/>
              </w:trPr>
              <w:tc>
                <w:tcPr>
                  <w:tcW w:w="406" w:type="dxa"/>
                  <w:vMerge w:val="restart"/>
                  <w:tcBorders>
                    <w:tl2br w:val="nil"/>
                    <w:tr2bl w:val="nil"/>
                  </w:tcBorders>
                  <w:noWrap w:val="0"/>
                  <w:vAlign w:val="center"/>
                </w:tcPr>
                <w:p w14:paraId="45381089">
                  <w:pPr>
                    <w:pStyle w:val="53"/>
                    <w:bidi w:val="0"/>
                    <w:rPr>
                      <w:rFonts w:hint="eastAsia"/>
                      <w:b/>
                      <w:bCs/>
                      <w:color w:val="auto"/>
                      <w:highlight w:val="none"/>
                      <w:lang w:val="en-US" w:eastAsia="zh-CN"/>
                    </w:rPr>
                  </w:pPr>
                  <w:r>
                    <w:rPr>
                      <w:rFonts w:hint="eastAsia"/>
                      <w:b/>
                      <w:bCs/>
                      <w:color w:val="auto"/>
                      <w:highlight w:val="none"/>
                      <w:lang w:val="en-US" w:eastAsia="zh-CN"/>
                    </w:rPr>
                    <w:t>序号</w:t>
                  </w:r>
                </w:p>
              </w:tc>
              <w:tc>
                <w:tcPr>
                  <w:tcW w:w="642" w:type="dxa"/>
                  <w:vMerge w:val="restart"/>
                  <w:tcBorders>
                    <w:tl2br w:val="nil"/>
                    <w:tr2bl w:val="nil"/>
                  </w:tcBorders>
                  <w:noWrap w:val="0"/>
                  <w:vAlign w:val="center"/>
                </w:tcPr>
                <w:p w14:paraId="6BE602D1">
                  <w:pPr>
                    <w:pStyle w:val="53"/>
                    <w:bidi w:val="0"/>
                    <w:rPr>
                      <w:rFonts w:hint="eastAsia"/>
                      <w:b/>
                      <w:bCs/>
                      <w:color w:val="auto"/>
                      <w:highlight w:val="none"/>
                      <w:lang w:val="en-US" w:eastAsia="zh-CN"/>
                    </w:rPr>
                  </w:pPr>
                  <w:r>
                    <w:rPr>
                      <w:rFonts w:hint="eastAsia"/>
                      <w:b/>
                      <w:bCs/>
                      <w:color w:val="auto"/>
                      <w:highlight w:val="none"/>
                      <w:lang w:val="en-US" w:eastAsia="zh-CN"/>
                    </w:rPr>
                    <w:t>废水类别</w:t>
                  </w:r>
                </w:p>
              </w:tc>
              <w:tc>
                <w:tcPr>
                  <w:tcW w:w="798" w:type="dxa"/>
                  <w:vMerge w:val="restart"/>
                  <w:tcBorders>
                    <w:tl2br w:val="nil"/>
                    <w:tr2bl w:val="nil"/>
                  </w:tcBorders>
                  <w:noWrap w:val="0"/>
                  <w:vAlign w:val="center"/>
                </w:tcPr>
                <w:p w14:paraId="72D2180C">
                  <w:pPr>
                    <w:pStyle w:val="53"/>
                    <w:bidi w:val="0"/>
                    <w:rPr>
                      <w:rFonts w:hint="eastAsia"/>
                      <w:b/>
                      <w:bCs/>
                      <w:color w:val="auto"/>
                      <w:highlight w:val="none"/>
                      <w:lang w:val="en-US" w:eastAsia="zh-CN"/>
                    </w:rPr>
                  </w:pPr>
                  <w:r>
                    <w:rPr>
                      <w:rFonts w:hint="eastAsia"/>
                      <w:b/>
                      <w:bCs/>
                      <w:color w:val="auto"/>
                      <w:highlight w:val="none"/>
                      <w:lang w:val="en-US" w:eastAsia="zh-CN"/>
                    </w:rPr>
                    <w:t>污染物种类</w:t>
                  </w:r>
                </w:p>
              </w:tc>
              <w:tc>
                <w:tcPr>
                  <w:tcW w:w="729" w:type="dxa"/>
                  <w:vMerge w:val="restart"/>
                  <w:tcBorders>
                    <w:tl2br w:val="nil"/>
                    <w:tr2bl w:val="nil"/>
                  </w:tcBorders>
                  <w:noWrap w:val="0"/>
                  <w:vAlign w:val="center"/>
                </w:tcPr>
                <w:p w14:paraId="2CDD6AF6">
                  <w:pPr>
                    <w:pStyle w:val="53"/>
                    <w:bidi w:val="0"/>
                    <w:rPr>
                      <w:rFonts w:hint="eastAsia"/>
                      <w:b/>
                      <w:bCs/>
                      <w:color w:val="auto"/>
                      <w:highlight w:val="none"/>
                      <w:lang w:val="en-US" w:eastAsia="zh-CN"/>
                    </w:rPr>
                  </w:pPr>
                  <w:r>
                    <w:rPr>
                      <w:rFonts w:hint="eastAsia"/>
                      <w:b/>
                      <w:bCs/>
                      <w:color w:val="auto"/>
                      <w:highlight w:val="none"/>
                      <w:lang w:val="en-US" w:eastAsia="zh-CN"/>
                    </w:rPr>
                    <w:t>排放规律</w:t>
                  </w:r>
                </w:p>
              </w:tc>
              <w:tc>
                <w:tcPr>
                  <w:tcW w:w="2752" w:type="dxa"/>
                  <w:gridSpan w:val="3"/>
                  <w:tcBorders>
                    <w:tl2br w:val="nil"/>
                    <w:tr2bl w:val="nil"/>
                  </w:tcBorders>
                  <w:noWrap w:val="0"/>
                  <w:vAlign w:val="center"/>
                </w:tcPr>
                <w:p w14:paraId="61D18FEC">
                  <w:pPr>
                    <w:pStyle w:val="53"/>
                    <w:bidi w:val="0"/>
                    <w:rPr>
                      <w:rFonts w:hint="eastAsia"/>
                      <w:b/>
                      <w:bCs/>
                      <w:color w:val="auto"/>
                      <w:highlight w:val="none"/>
                      <w:lang w:val="en-US" w:eastAsia="zh-CN"/>
                    </w:rPr>
                  </w:pPr>
                  <w:r>
                    <w:rPr>
                      <w:rFonts w:hint="eastAsia"/>
                      <w:b/>
                      <w:bCs/>
                      <w:color w:val="auto"/>
                      <w:highlight w:val="none"/>
                      <w:lang w:val="en-US" w:eastAsia="zh-CN"/>
                    </w:rPr>
                    <w:t>污染治理设施</w:t>
                  </w:r>
                </w:p>
              </w:tc>
              <w:tc>
                <w:tcPr>
                  <w:tcW w:w="786" w:type="dxa"/>
                  <w:vMerge w:val="restart"/>
                  <w:tcBorders>
                    <w:tl2br w:val="nil"/>
                    <w:tr2bl w:val="nil"/>
                  </w:tcBorders>
                  <w:noWrap w:val="0"/>
                  <w:vAlign w:val="center"/>
                </w:tcPr>
                <w:p w14:paraId="7F17B6C5">
                  <w:pPr>
                    <w:pStyle w:val="53"/>
                    <w:bidi w:val="0"/>
                    <w:rPr>
                      <w:rFonts w:hint="eastAsia"/>
                      <w:b/>
                      <w:bCs/>
                      <w:color w:val="auto"/>
                      <w:highlight w:val="none"/>
                      <w:lang w:val="en-US" w:eastAsia="zh-CN"/>
                    </w:rPr>
                  </w:pPr>
                  <w:r>
                    <w:rPr>
                      <w:rFonts w:hint="eastAsia"/>
                      <w:b/>
                      <w:bCs/>
                      <w:color w:val="auto"/>
                      <w:highlight w:val="none"/>
                      <w:lang w:val="en-US" w:eastAsia="zh-CN"/>
                    </w:rPr>
                    <w:t>排放口编号</w:t>
                  </w:r>
                </w:p>
              </w:tc>
              <w:tc>
                <w:tcPr>
                  <w:tcW w:w="914" w:type="dxa"/>
                  <w:vMerge w:val="restart"/>
                  <w:tcBorders>
                    <w:tl2br w:val="nil"/>
                    <w:tr2bl w:val="nil"/>
                  </w:tcBorders>
                  <w:noWrap w:val="0"/>
                  <w:vAlign w:val="center"/>
                </w:tcPr>
                <w:p w14:paraId="35A3528E">
                  <w:pPr>
                    <w:pStyle w:val="53"/>
                    <w:bidi w:val="0"/>
                    <w:rPr>
                      <w:rFonts w:hint="eastAsia"/>
                      <w:b/>
                      <w:bCs/>
                      <w:color w:val="auto"/>
                      <w:highlight w:val="none"/>
                      <w:lang w:val="en-US" w:eastAsia="zh-CN"/>
                    </w:rPr>
                  </w:pPr>
                  <w:r>
                    <w:rPr>
                      <w:rFonts w:hint="eastAsia"/>
                      <w:b/>
                      <w:bCs/>
                      <w:color w:val="auto"/>
                      <w:highlight w:val="none"/>
                      <w:lang w:val="en-US" w:eastAsia="zh-CN"/>
                    </w:rPr>
                    <w:t>排放口设施是否符合要求</w:t>
                  </w:r>
                </w:p>
              </w:tc>
              <w:tc>
                <w:tcPr>
                  <w:tcW w:w="829" w:type="dxa"/>
                  <w:vMerge w:val="restart"/>
                  <w:tcBorders>
                    <w:tl2br w:val="nil"/>
                    <w:tr2bl w:val="nil"/>
                  </w:tcBorders>
                  <w:noWrap w:val="0"/>
                  <w:vAlign w:val="center"/>
                </w:tcPr>
                <w:p w14:paraId="216A9B66">
                  <w:pPr>
                    <w:pStyle w:val="53"/>
                    <w:bidi w:val="0"/>
                    <w:rPr>
                      <w:rFonts w:hint="eastAsia"/>
                      <w:b/>
                      <w:bCs/>
                      <w:color w:val="auto"/>
                      <w:highlight w:val="none"/>
                      <w:lang w:val="en-US" w:eastAsia="zh-CN"/>
                    </w:rPr>
                  </w:pPr>
                  <w:r>
                    <w:rPr>
                      <w:rFonts w:hint="eastAsia"/>
                      <w:b/>
                      <w:bCs/>
                      <w:color w:val="auto"/>
                      <w:highlight w:val="none"/>
                      <w:lang w:val="en-US" w:eastAsia="zh-CN"/>
                    </w:rPr>
                    <w:t>排放口类型</w:t>
                  </w:r>
                </w:p>
              </w:tc>
            </w:tr>
            <w:tr w14:paraId="173749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6" w:type="dxa"/>
                  <w:vMerge w:val="continue"/>
                  <w:tcBorders>
                    <w:tl2br w:val="nil"/>
                    <w:tr2bl w:val="nil"/>
                  </w:tcBorders>
                  <w:noWrap w:val="0"/>
                  <w:vAlign w:val="center"/>
                </w:tcPr>
                <w:p w14:paraId="2548CE22">
                  <w:pPr>
                    <w:pStyle w:val="53"/>
                    <w:bidi w:val="0"/>
                    <w:rPr>
                      <w:rFonts w:hint="eastAsia"/>
                      <w:color w:val="auto"/>
                      <w:highlight w:val="none"/>
                      <w:lang w:val="en-US" w:eastAsia="zh-CN"/>
                    </w:rPr>
                  </w:pPr>
                </w:p>
              </w:tc>
              <w:tc>
                <w:tcPr>
                  <w:tcW w:w="642" w:type="dxa"/>
                  <w:vMerge w:val="continue"/>
                  <w:tcBorders>
                    <w:tl2br w:val="nil"/>
                    <w:tr2bl w:val="nil"/>
                  </w:tcBorders>
                  <w:noWrap w:val="0"/>
                  <w:vAlign w:val="center"/>
                </w:tcPr>
                <w:p w14:paraId="5FBF28DC">
                  <w:pPr>
                    <w:pStyle w:val="53"/>
                    <w:bidi w:val="0"/>
                    <w:rPr>
                      <w:rFonts w:hint="eastAsia"/>
                      <w:color w:val="auto"/>
                      <w:highlight w:val="none"/>
                      <w:lang w:val="en-US" w:eastAsia="zh-CN"/>
                    </w:rPr>
                  </w:pPr>
                </w:p>
              </w:tc>
              <w:tc>
                <w:tcPr>
                  <w:tcW w:w="798" w:type="dxa"/>
                  <w:vMerge w:val="continue"/>
                  <w:tcBorders>
                    <w:tl2br w:val="nil"/>
                    <w:tr2bl w:val="nil"/>
                  </w:tcBorders>
                  <w:noWrap w:val="0"/>
                  <w:vAlign w:val="center"/>
                </w:tcPr>
                <w:p w14:paraId="749D1009">
                  <w:pPr>
                    <w:pStyle w:val="53"/>
                    <w:bidi w:val="0"/>
                    <w:rPr>
                      <w:rFonts w:hint="eastAsia"/>
                      <w:color w:val="auto"/>
                      <w:highlight w:val="none"/>
                      <w:lang w:val="en-US" w:eastAsia="zh-CN"/>
                    </w:rPr>
                  </w:pPr>
                </w:p>
              </w:tc>
              <w:tc>
                <w:tcPr>
                  <w:tcW w:w="729" w:type="dxa"/>
                  <w:vMerge w:val="continue"/>
                  <w:tcBorders>
                    <w:tl2br w:val="nil"/>
                    <w:tr2bl w:val="nil"/>
                  </w:tcBorders>
                  <w:noWrap w:val="0"/>
                  <w:vAlign w:val="center"/>
                </w:tcPr>
                <w:p w14:paraId="4DC02063">
                  <w:pPr>
                    <w:pStyle w:val="53"/>
                    <w:bidi w:val="0"/>
                    <w:rPr>
                      <w:rFonts w:hint="eastAsia"/>
                      <w:color w:val="auto"/>
                      <w:highlight w:val="none"/>
                      <w:lang w:val="en-US" w:eastAsia="zh-CN"/>
                    </w:rPr>
                  </w:pPr>
                </w:p>
              </w:tc>
              <w:tc>
                <w:tcPr>
                  <w:tcW w:w="850" w:type="dxa"/>
                  <w:tcBorders>
                    <w:tl2br w:val="nil"/>
                    <w:tr2bl w:val="nil"/>
                  </w:tcBorders>
                  <w:noWrap w:val="0"/>
                  <w:vAlign w:val="center"/>
                </w:tcPr>
                <w:p w14:paraId="7ED41CA1">
                  <w:pPr>
                    <w:pStyle w:val="53"/>
                    <w:bidi w:val="0"/>
                    <w:rPr>
                      <w:rFonts w:hint="eastAsia"/>
                      <w:b/>
                      <w:bCs/>
                      <w:color w:val="auto"/>
                      <w:highlight w:val="none"/>
                      <w:lang w:val="en-US" w:eastAsia="zh-CN"/>
                    </w:rPr>
                  </w:pPr>
                  <w:r>
                    <w:rPr>
                      <w:rFonts w:hint="eastAsia"/>
                      <w:b/>
                      <w:bCs/>
                      <w:color w:val="auto"/>
                      <w:highlight w:val="none"/>
                      <w:lang w:val="en-US" w:eastAsia="zh-CN"/>
                    </w:rPr>
                    <w:t>污染治理设施编号</w:t>
                  </w:r>
                </w:p>
              </w:tc>
              <w:tc>
                <w:tcPr>
                  <w:tcW w:w="815" w:type="dxa"/>
                  <w:tcBorders>
                    <w:tl2br w:val="nil"/>
                    <w:tr2bl w:val="nil"/>
                  </w:tcBorders>
                  <w:noWrap w:val="0"/>
                  <w:vAlign w:val="center"/>
                </w:tcPr>
                <w:p w14:paraId="36D24702">
                  <w:pPr>
                    <w:pStyle w:val="53"/>
                    <w:bidi w:val="0"/>
                    <w:rPr>
                      <w:rFonts w:hint="eastAsia"/>
                      <w:b/>
                      <w:bCs/>
                      <w:color w:val="auto"/>
                      <w:highlight w:val="none"/>
                      <w:lang w:val="en-US" w:eastAsia="zh-CN"/>
                    </w:rPr>
                  </w:pPr>
                  <w:r>
                    <w:rPr>
                      <w:rFonts w:hint="eastAsia"/>
                      <w:b/>
                      <w:bCs/>
                      <w:color w:val="auto"/>
                      <w:highlight w:val="none"/>
                      <w:lang w:val="en-US" w:eastAsia="zh-CN"/>
                    </w:rPr>
                    <w:t>污染治理设施名称</w:t>
                  </w:r>
                </w:p>
              </w:tc>
              <w:tc>
                <w:tcPr>
                  <w:tcW w:w="1087" w:type="dxa"/>
                  <w:tcBorders>
                    <w:tl2br w:val="nil"/>
                    <w:tr2bl w:val="nil"/>
                  </w:tcBorders>
                  <w:noWrap w:val="0"/>
                  <w:vAlign w:val="center"/>
                </w:tcPr>
                <w:p w14:paraId="4C94B076">
                  <w:pPr>
                    <w:pStyle w:val="53"/>
                    <w:bidi w:val="0"/>
                    <w:rPr>
                      <w:rFonts w:hint="eastAsia"/>
                      <w:b/>
                      <w:bCs/>
                      <w:color w:val="auto"/>
                      <w:highlight w:val="none"/>
                      <w:lang w:val="en-US" w:eastAsia="zh-CN"/>
                    </w:rPr>
                  </w:pPr>
                  <w:r>
                    <w:rPr>
                      <w:rFonts w:hint="eastAsia"/>
                      <w:b/>
                      <w:bCs/>
                      <w:color w:val="auto"/>
                      <w:highlight w:val="none"/>
                      <w:lang w:val="en-US" w:eastAsia="zh-CN"/>
                    </w:rPr>
                    <w:t>污染治理设施工艺</w:t>
                  </w:r>
                </w:p>
              </w:tc>
              <w:tc>
                <w:tcPr>
                  <w:tcW w:w="786" w:type="dxa"/>
                  <w:vMerge w:val="continue"/>
                  <w:tcBorders>
                    <w:tl2br w:val="nil"/>
                    <w:tr2bl w:val="nil"/>
                  </w:tcBorders>
                  <w:noWrap w:val="0"/>
                  <w:vAlign w:val="center"/>
                </w:tcPr>
                <w:p w14:paraId="5E364CAE">
                  <w:pPr>
                    <w:pStyle w:val="53"/>
                    <w:bidi w:val="0"/>
                    <w:rPr>
                      <w:rFonts w:hint="eastAsia"/>
                      <w:color w:val="auto"/>
                      <w:highlight w:val="none"/>
                      <w:lang w:val="en-US" w:eastAsia="zh-CN"/>
                    </w:rPr>
                  </w:pPr>
                </w:p>
              </w:tc>
              <w:tc>
                <w:tcPr>
                  <w:tcW w:w="914" w:type="dxa"/>
                  <w:vMerge w:val="continue"/>
                  <w:tcBorders>
                    <w:tl2br w:val="nil"/>
                    <w:tr2bl w:val="nil"/>
                  </w:tcBorders>
                  <w:noWrap w:val="0"/>
                  <w:vAlign w:val="center"/>
                </w:tcPr>
                <w:p w14:paraId="5594EEEC">
                  <w:pPr>
                    <w:pStyle w:val="53"/>
                    <w:bidi w:val="0"/>
                    <w:rPr>
                      <w:rFonts w:hint="eastAsia"/>
                      <w:color w:val="auto"/>
                      <w:highlight w:val="none"/>
                      <w:lang w:val="en-US" w:eastAsia="zh-CN"/>
                    </w:rPr>
                  </w:pPr>
                </w:p>
              </w:tc>
              <w:tc>
                <w:tcPr>
                  <w:tcW w:w="829" w:type="dxa"/>
                  <w:vMerge w:val="continue"/>
                  <w:tcBorders>
                    <w:tl2br w:val="nil"/>
                    <w:tr2bl w:val="nil"/>
                  </w:tcBorders>
                  <w:noWrap w:val="0"/>
                  <w:vAlign w:val="center"/>
                </w:tcPr>
                <w:p w14:paraId="62A18B5D">
                  <w:pPr>
                    <w:pStyle w:val="53"/>
                    <w:bidi w:val="0"/>
                    <w:rPr>
                      <w:rFonts w:hint="eastAsia"/>
                      <w:color w:val="auto"/>
                      <w:highlight w:val="none"/>
                      <w:lang w:val="en-US" w:eastAsia="zh-CN"/>
                    </w:rPr>
                  </w:pPr>
                </w:p>
              </w:tc>
            </w:tr>
            <w:tr w14:paraId="0B151B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12" w:hRule="atLeast"/>
              </w:trPr>
              <w:tc>
                <w:tcPr>
                  <w:tcW w:w="406" w:type="dxa"/>
                  <w:tcBorders>
                    <w:tl2br w:val="nil"/>
                    <w:tr2bl w:val="nil"/>
                  </w:tcBorders>
                  <w:noWrap w:val="0"/>
                  <w:vAlign w:val="center"/>
                </w:tcPr>
                <w:p w14:paraId="3E535B67">
                  <w:pPr>
                    <w:pStyle w:val="53"/>
                    <w:bidi w:val="0"/>
                    <w:rPr>
                      <w:rFonts w:hint="eastAsia"/>
                      <w:color w:val="auto"/>
                      <w:highlight w:val="none"/>
                      <w:lang w:val="en-US" w:eastAsia="zh-CN"/>
                    </w:rPr>
                  </w:pPr>
                  <w:r>
                    <w:rPr>
                      <w:rFonts w:hint="eastAsia"/>
                      <w:color w:val="auto"/>
                      <w:highlight w:val="none"/>
                      <w:lang w:val="en-US" w:eastAsia="zh-CN"/>
                    </w:rPr>
                    <w:t>1</w:t>
                  </w:r>
                </w:p>
              </w:tc>
              <w:tc>
                <w:tcPr>
                  <w:tcW w:w="642" w:type="dxa"/>
                  <w:tcBorders>
                    <w:tl2br w:val="nil"/>
                    <w:tr2bl w:val="nil"/>
                  </w:tcBorders>
                  <w:noWrap w:val="0"/>
                  <w:vAlign w:val="center"/>
                </w:tcPr>
                <w:p w14:paraId="1370B47D">
                  <w:pPr>
                    <w:pStyle w:val="53"/>
                    <w:bidi w:val="0"/>
                    <w:rPr>
                      <w:rFonts w:hint="eastAsia"/>
                      <w:color w:val="auto"/>
                      <w:highlight w:val="none"/>
                      <w:lang w:val="en-US" w:eastAsia="zh-CN"/>
                    </w:rPr>
                  </w:pPr>
                  <w:r>
                    <w:rPr>
                      <w:rFonts w:hint="eastAsia"/>
                      <w:color w:val="auto"/>
                      <w:highlight w:val="none"/>
                      <w:lang w:val="en-US" w:eastAsia="zh-CN"/>
                    </w:rPr>
                    <w:t>综合废水</w:t>
                  </w:r>
                </w:p>
              </w:tc>
              <w:tc>
                <w:tcPr>
                  <w:tcW w:w="798" w:type="dxa"/>
                  <w:tcBorders>
                    <w:tl2br w:val="nil"/>
                    <w:tr2bl w:val="nil"/>
                  </w:tcBorders>
                  <w:noWrap w:val="0"/>
                  <w:vAlign w:val="center"/>
                </w:tcPr>
                <w:p w14:paraId="11953C90">
                  <w:pPr>
                    <w:pStyle w:val="53"/>
                    <w:bidi w:val="0"/>
                    <w:rPr>
                      <w:rFonts w:hint="default"/>
                      <w:color w:val="auto"/>
                      <w:highlight w:val="none"/>
                      <w:lang w:val="en-US" w:eastAsia="zh-CN"/>
                    </w:rPr>
                  </w:pPr>
                  <w:r>
                    <w:rPr>
                      <w:rFonts w:hint="eastAsia"/>
                      <w:color w:val="auto"/>
                      <w:highlight w:val="none"/>
                      <w:lang w:val="en-US" w:eastAsia="zh-CN"/>
                    </w:rPr>
                    <w:t>COD、SS、氨氮、</w:t>
                  </w:r>
                  <w:r>
                    <w:rPr>
                      <w:rFonts w:hint="eastAsia"/>
                      <w:color w:val="auto"/>
                      <w:highlight w:val="none"/>
                    </w:rPr>
                    <w:t>BOD</w:t>
                  </w:r>
                  <w:r>
                    <w:rPr>
                      <w:rFonts w:hint="eastAsia"/>
                      <w:color w:val="auto"/>
                      <w:highlight w:val="none"/>
                      <w:vertAlign w:val="subscript"/>
                    </w:rPr>
                    <w:t>5</w:t>
                  </w:r>
                  <w:r>
                    <w:rPr>
                      <w:rFonts w:hint="eastAsia"/>
                      <w:color w:val="auto"/>
                      <w:highlight w:val="none"/>
                      <w:lang w:val="en-US" w:eastAsia="zh-CN"/>
                    </w:rPr>
                    <w:t>、PH、石油类、总磷、总氮</w:t>
                  </w:r>
                </w:p>
              </w:tc>
              <w:tc>
                <w:tcPr>
                  <w:tcW w:w="729" w:type="dxa"/>
                  <w:tcBorders>
                    <w:tl2br w:val="nil"/>
                    <w:tr2bl w:val="nil"/>
                  </w:tcBorders>
                  <w:noWrap w:val="0"/>
                  <w:vAlign w:val="center"/>
                </w:tcPr>
                <w:p w14:paraId="30FC166B">
                  <w:pPr>
                    <w:pStyle w:val="53"/>
                    <w:bidi w:val="0"/>
                    <w:rPr>
                      <w:rFonts w:hint="eastAsia"/>
                      <w:color w:val="auto"/>
                      <w:highlight w:val="none"/>
                      <w:lang w:val="en-US" w:eastAsia="zh-CN"/>
                    </w:rPr>
                  </w:pPr>
                  <w:r>
                    <w:rPr>
                      <w:rFonts w:hint="eastAsia"/>
                      <w:color w:val="auto"/>
                      <w:highlight w:val="none"/>
                      <w:lang w:val="en-US" w:eastAsia="zh-CN"/>
                    </w:rPr>
                    <w:t>间接排放，排放期间流量稳定</w:t>
                  </w:r>
                </w:p>
              </w:tc>
              <w:tc>
                <w:tcPr>
                  <w:tcW w:w="850" w:type="dxa"/>
                  <w:tcBorders>
                    <w:tl2br w:val="nil"/>
                    <w:tr2bl w:val="nil"/>
                  </w:tcBorders>
                  <w:noWrap w:val="0"/>
                  <w:vAlign w:val="center"/>
                </w:tcPr>
                <w:p w14:paraId="6EF1BCAF">
                  <w:pPr>
                    <w:pStyle w:val="53"/>
                    <w:bidi w:val="0"/>
                    <w:rPr>
                      <w:rFonts w:hint="eastAsia"/>
                      <w:color w:val="auto"/>
                      <w:highlight w:val="none"/>
                      <w:lang w:val="en-US" w:eastAsia="zh-CN"/>
                    </w:rPr>
                  </w:pPr>
                  <w:r>
                    <w:rPr>
                      <w:rFonts w:hint="eastAsia"/>
                      <w:color w:val="auto"/>
                      <w:highlight w:val="none"/>
                      <w:lang w:val="en-US" w:eastAsia="zh-CN"/>
                    </w:rPr>
                    <w:t>TW001（生活污水）</w:t>
                  </w:r>
                </w:p>
              </w:tc>
              <w:tc>
                <w:tcPr>
                  <w:tcW w:w="815" w:type="dxa"/>
                  <w:tcBorders>
                    <w:tl2br w:val="nil"/>
                    <w:tr2bl w:val="nil"/>
                  </w:tcBorders>
                  <w:noWrap w:val="0"/>
                  <w:vAlign w:val="center"/>
                </w:tcPr>
                <w:p w14:paraId="1677A6D2">
                  <w:pPr>
                    <w:pStyle w:val="53"/>
                    <w:bidi w:val="0"/>
                    <w:rPr>
                      <w:rFonts w:hint="eastAsia"/>
                      <w:color w:val="auto"/>
                      <w:highlight w:val="none"/>
                      <w:lang w:val="en-US" w:eastAsia="zh-CN"/>
                    </w:rPr>
                  </w:pPr>
                  <w:r>
                    <w:rPr>
                      <w:rFonts w:hint="eastAsia"/>
                      <w:color w:val="auto"/>
                      <w:highlight w:val="none"/>
                      <w:lang w:val="en-US" w:eastAsia="zh-CN"/>
                    </w:rPr>
                    <w:t>化粪池</w:t>
                  </w:r>
                </w:p>
              </w:tc>
              <w:tc>
                <w:tcPr>
                  <w:tcW w:w="1087" w:type="dxa"/>
                  <w:tcBorders>
                    <w:tl2br w:val="nil"/>
                    <w:tr2bl w:val="nil"/>
                  </w:tcBorders>
                  <w:noWrap w:val="0"/>
                  <w:vAlign w:val="center"/>
                </w:tcPr>
                <w:p w14:paraId="5DCFB5E5">
                  <w:pPr>
                    <w:pStyle w:val="53"/>
                    <w:bidi w:val="0"/>
                    <w:rPr>
                      <w:rFonts w:hint="eastAsia"/>
                      <w:color w:val="auto"/>
                      <w:highlight w:val="none"/>
                      <w:lang w:val="en-US" w:eastAsia="zh-CN"/>
                    </w:rPr>
                  </w:pPr>
                  <w:r>
                    <w:rPr>
                      <w:rFonts w:hint="eastAsia"/>
                      <w:color w:val="auto"/>
                      <w:highlight w:val="none"/>
                      <w:lang w:val="en-US" w:eastAsia="zh-CN"/>
                    </w:rPr>
                    <w:t>沉淀</w:t>
                  </w:r>
                </w:p>
              </w:tc>
              <w:tc>
                <w:tcPr>
                  <w:tcW w:w="786" w:type="dxa"/>
                  <w:tcBorders>
                    <w:tl2br w:val="nil"/>
                    <w:tr2bl w:val="nil"/>
                  </w:tcBorders>
                  <w:noWrap w:val="0"/>
                  <w:vAlign w:val="center"/>
                </w:tcPr>
                <w:p w14:paraId="036A6A7A">
                  <w:pPr>
                    <w:pStyle w:val="53"/>
                    <w:bidi w:val="0"/>
                    <w:rPr>
                      <w:rFonts w:hint="eastAsia"/>
                      <w:color w:val="auto"/>
                      <w:highlight w:val="none"/>
                      <w:lang w:val="en-US" w:eastAsia="zh-CN"/>
                    </w:rPr>
                  </w:pPr>
                  <w:r>
                    <w:rPr>
                      <w:rFonts w:hint="eastAsia"/>
                      <w:color w:val="auto"/>
                      <w:highlight w:val="none"/>
                      <w:lang w:val="en-US" w:eastAsia="zh-CN"/>
                    </w:rPr>
                    <w:t>DW001</w:t>
                  </w:r>
                </w:p>
              </w:tc>
              <w:tc>
                <w:tcPr>
                  <w:tcW w:w="914" w:type="dxa"/>
                  <w:tcBorders>
                    <w:tl2br w:val="nil"/>
                    <w:tr2bl w:val="nil"/>
                  </w:tcBorders>
                  <w:noWrap w:val="0"/>
                  <w:vAlign w:val="center"/>
                </w:tcPr>
                <w:p w14:paraId="5206A5B1">
                  <w:pPr>
                    <w:pStyle w:val="53"/>
                    <w:bidi w:val="0"/>
                    <w:rPr>
                      <w:rFonts w:hint="eastAsia"/>
                      <w:color w:val="auto"/>
                      <w:highlight w:val="none"/>
                      <w:lang w:val="en-US" w:eastAsia="zh-CN"/>
                    </w:rPr>
                  </w:pPr>
                  <w:r>
                    <w:rPr>
                      <w:rFonts w:hint="eastAsia"/>
                      <w:color w:val="auto"/>
                      <w:highlight w:val="none"/>
                      <w:lang w:val="en-US" w:eastAsia="zh-CN"/>
                    </w:rPr>
                    <w:t>是</w:t>
                  </w:r>
                </w:p>
              </w:tc>
              <w:tc>
                <w:tcPr>
                  <w:tcW w:w="829" w:type="dxa"/>
                  <w:tcBorders>
                    <w:tl2br w:val="nil"/>
                    <w:tr2bl w:val="nil"/>
                  </w:tcBorders>
                  <w:noWrap w:val="0"/>
                  <w:vAlign w:val="center"/>
                </w:tcPr>
                <w:p w14:paraId="3C9967C8">
                  <w:pPr>
                    <w:pStyle w:val="53"/>
                    <w:bidi w:val="0"/>
                    <w:rPr>
                      <w:rFonts w:hint="eastAsia"/>
                      <w:color w:val="auto"/>
                      <w:highlight w:val="none"/>
                      <w:lang w:val="en-US" w:eastAsia="zh-CN"/>
                    </w:rPr>
                  </w:pPr>
                  <w:r>
                    <w:rPr>
                      <w:rFonts w:hint="eastAsia"/>
                      <w:color w:val="auto"/>
                      <w:highlight w:val="none"/>
                      <w:lang w:val="en-US" w:eastAsia="zh-CN"/>
                    </w:rPr>
                    <w:t>一般排放口=总排口</w:t>
                  </w:r>
                </w:p>
              </w:tc>
            </w:tr>
          </w:tbl>
          <w:p w14:paraId="29CE2F70">
            <w:pPr>
              <w:pStyle w:val="6"/>
              <w:rPr>
                <w:rFonts w:hint="default" w:eastAsia="宋体"/>
                <w:color w:val="auto"/>
                <w:highlight w:val="none"/>
                <w:lang w:val="en-US" w:eastAsia="zh-CN"/>
              </w:rPr>
            </w:pPr>
            <w:r>
              <w:rPr>
                <w:rFonts w:hint="eastAsia"/>
                <w:color w:val="auto"/>
                <w:highlight w:val="none"/>
                <w:lang w:val="en-US" w:eastAsia="zh-CN"/>
              </w:rPr>
              <w:t>（4）废水监测计划</w:t>
            </w:r>
          </w:p>
          <w:p w14:paraId="6CA39CB3">
            <w:pPr>
              <w:pStyle w:val="6"/>
              <w:spacing w:line="360" w:lineRule="auto"/>
              <w:ind w:firstLine="440" w:firstLineChars="200"/>
              <w:rPr>
                <w:rFonts w:ascii="Times New Roman" w:eastAsia="宋体" w:cs="Times New Roman"/>
                <w:bCs/>
                <w:color w:val="auto"/>
                <w:spacing w:val="-10"/>
              </w:rPr>
            </w:pPr>
            <w:r>
              <w:rPr>
                <w:rFonts w:hint="eastAsia" w:ascii="Times New Roman" w:eastAsia="宋体" w:cs="Times New Roman"/>
                <w:bCs/>
                <w:color w:val="auto"/>
                <w:spacing w:val="-10"/>
              </w:rPr>
              <w:t>项目只有生活污水排出，可不进行废水监测计划。</w:t>
            </w:r>
          </w:p>
          <w:p w14:paraId="1F0B87D4">
            <w:pPr>
              <w:numPr>
                <w:ilvl w:val="0"/>
                <w:numId w:val="11"/>
              </w:numPr>
              <w:bidi w:val="0"/>
              <w:rPr>
                <w:rFonts w:hint="eastAsia"/>
                <w:b/>
                <w:bCs/>
                <w:color w:val="auto"/>
                <w:highlight w:val="none"/>
                <w:lang w:val="en-US" w:eastAsia="zh-CN"/>
              </w:rPr>
            </w:pPr>
            <w:r>
              <w:rPr>
                <w:rFonts w:hint="eastAsia"/>
                <w:b/>
                <w:bCs/>
                <w:color w:val="auto"/>
                <w:highlight w:val="none"/>
                <w:lang w:val="en-US" w:eastAsia="zh-CN"/>
              </w:rPr>
              <w:t>运营期声环境影响和保护措施</w:t>
            </w:r>
          </w:p>
          <w:p w14:paraId="3F1ACB52">
            <w:pPr>
              <w:numPr>
                <w:ilvl w:val="0"/>
                <w:numId w:val="13"/>
              </w:numPr>
              <w:adjustRightInd w:val="0"/>
              <w:snapToGrid w:val="0"/>
              <w:spacing w:line="360" w:lineRule="auto"/>
              <w:ind w:firstLine="480" w:firstLineChars="200"/>
              <w:rPr>
                <w:rFonts w:hint="eastAsia"/>
                <w:color w:val="auto"/>
                <w:highlight w:val="none"/>
                <w:lang w:val="en-US" w:eastAsia="zh-CN"/>
              </w:rPr>
            </w:pPr>
            <w:r>
              <w:rPr>
                <w:rFonts w:hint="eastAsia"/>
                <w:color w:val="auto"/>
                <w:highlight w:val="none"/>
                <w:lang w:val="en-US" w:eastAsia="zh-CN"/>
              </w:rPr>
              <w:t>源强分析</w:t>
            </w:r>
          </w:p>
          <w:p w14:paraId="2A2C1C17">
            <w:pPr>
              <w:bidi w:val="0"/>
              <w:rPr>
                <w:rFonts w:hint="default"/>
                <w:color w:val="auto"/>
                <w:highlight w:val="none"/>
              </w:rPr>
            </w:pPr>
            <w:r>
              <w:rPr>
                <w:rFonts w:hint="default"/>
                <w:color w:val="auto"/>
                <w:highlight w:val="none"/>
              </w:rPr>
              <w:t>本项目主要噪声源为各类设备运行时产生的噪声。</w:t>
            </w:r>
            <w:r>
              <w:rPr>
                <w:rFonts w:hint="default"/>
                <w:color w:val="auto"/>
                <w:highlight w:val="none"/>
                <w:lang w:val="en-US" w:eastAsia="zh-CN"/>
              </w:rPr>
              <w:t>源强约在</w:t>
            </w:r>
            <w:r>
              <w:rPr>
                <w:rFonts w:hint="eastAsia"/>
                <w:color w:val="auto"/>
                <w:highlight w:val="none"/>
                <w:lang w:val="en-US" w:eastAsia="zh-CN"/>
              </w:rPr>
              <w:t>65</w:t>
            </w:r>
            <w:r>
              <w:rPr>
                <w:rFonts w:hint="default"/>
                <w:color w:val="auto"/>
                <w:highlight w:val="none"/>
                <w:lang w:val="en-US" w:eastAsia="zh-CN"/>
              </w:rPr>
              <w:t>-9</w:t>
            </w:r>
            <w:r>
              <w:rPr>
                <w:rFonts w:hint="eastAsia"/>
                <w:color w:val="auto"/>
                <w:highlight w:val="none"/>
                <w:lang w:val="en-US" w:eastAsia="zh-CN"/>
              </w:rPr>
              <w:t>0</w:t>
            </w:r>
            <w:r>
              <w:rPr>
                <w:rFonts w:hint="default"/>
                <w:color w:val="auto"/>
                <w:highlight w:val="none"/>
              </w:rPr>
              <w:t>dB（A）</w:t>
            </w:r>
            <w:r>
              <w:rPr>
                <w:rFonts w:hint="eastAsia"/>
                <w:color w:val="auto"/>
                <w:highlight w:val="none"/>
                <w:lang w:eastAsia="zh-CN"/>
              </w:rPr>
              <w:t>，</w:t>
            </w:r>
            <w:r>
              <w:rPr>
                <w:rFonts w:hint="default"/>
                <w:color w:val="auto"/>
                <w:highlight w:val="none"/>
                <w:lang w:val="en-US" w:eastAsia="zh-CN"/>
              </w:rPr>
              <w:t>各类设备噪声源采取减振、吸声、隔声等措施进行降噪处理。</w:t>
            </w:r>
            <w:r>
              <w:rPr>
                <w:rFonts w:hint="eastAsia"/>
                <w:color w:val="auto"/>
                <w:highlight w:val="none"/>
                <w:lang w:val="en-US" w:eastAsia="zh-CN"/>
              </w:rPr>
              <w:t>本</w:t>
            </w:r>
            <w:r>
              <w:rPr>
                <w:rFonts w:hint="default"/>
                <w:color w:val="auto"/>
                <w:highlight w:val="none"/>
              </w:rPr>
              <w:t>项目主要设备噪声源强</w:t>
            </w:r>
            <w:r>
              <w:rPr>
                <w:rFonts w:hint="default"/>
                <w:color w:val="auto"/>
                <w:highlight w:val="none"/>
                <w:lang w:val="en-US" w:eastAsia="zh-CN"/>
              </w:rPr>
              <w:t>及防治措施见</w:t>
            </w:r>
            <w:r>
              <w:rPr>
                <w:rFonts w:hint="eastAsia"/>
                <w:color w:val="auto"/>
                <w:highlight w:val="none"/>
                <w:lang w:val="en-US" w:eastAsia="zh-CN"/>
              </w:rPr>
              <w:t>下表</w:t>
            </w:r>
            <w:r>
              <w:rPr>
                <w:rFonts w:hint="default"/>
                <w:color w:val="auto"/>
                <w:highlight w:val="none"/>
              </w:rPr>
              <w:t>。</w:t>
            </w:r>
          </w:p>
          <w:p w14:paraId="5A597F08">
            <w:pPr>
              <w:pStyle w:val="6"/>
              <w:spacing w:line="240" w:lineRule="auto"/>
              <w:jc w:val="center"/>
              <w:rPr>
                <w:rFonts w:ascii="Times New Roman" w:cs="Times New Roman" w:eastAsiaTheme="minorEastAsia"/>
                <w:b/>
                <w:color w:val="auto"/>
                <w:spacing w:val="-10"/>
                <w:sz w:val="21"/>
                <w:szCs w:val="18"/>
              </w:rPr>
            </w:pPr>
            <w:r>
              <w:rPr>
                <w:rFonts w:ascii="Times New Roman" w:cs="Times New Roman" w:eastAsiaTheme="minorEastAsia"/>
                <w:b/>
                <w:color w:val="auto"/>
                <w:spacing w:val="-10"/>
                <w:sz w:val="21"/>
                <w:szCs w:val="18"/>
              </w:rPr>
              <w:t>表</w:t>
            </w:r>
            <w:r>
              <w:rPr>
                <w:rFonts w:hint="eastAsia" w:ascii="Times New Roman" w:cs="Times New Roman" w:eastAsiaTheme="minorEastAsia"/>
                <w:b/>
                <w:color w:val="auto"/>
                <w:spacing w:val="-10"/>
                <w:sz w:val="21"/>
                <w:szCs w:val="18"/>
              </w:rPr>
              <w:t>4-</w:t>
            </w:r>
            <w:r>
              <w:rPr>
                <w:rFonts w:hint="eastAsia" w:ascii="Times New Roman" w:cs="Times New Roman" w:eastAsiaTheme="minorEastAsia"/>
                <w:b/>
                <w:color w:val="auto"/>
                <w:spacing w:val="-10"/>
                <w:sz w:val="21"/>
                <w:szCs w:val="18"/>
                <w:lang w:val="en-US" w:eastAsia="zh-CN"/>
              </w:rPr>
              <w:t>10</w:t>
            </w:r>
            <w:r>
              <w:rPr>
                <w:rFonts w:ascii="Times New Roman" w:cs="Times New Roman" w:eastAsiaTheme="minorEastAsia"/>
                <w:b/>
                <w:color w:val="auto"/>
                <w:spacing w:val="-10"/>
                <w:sz w:val="21"/>
                <w:szCs w:val="18"/>
              </w:rPr>
              <w:t xml:space="preserve">   项目生产设备噪声源强一览表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429"/>
              <w:gridCol w:w="906"/>
              <w:gridCol w:w="1906"/>
              <w:gridCol w:w="1391"/>
              <w:gridCol w:w="1758"/>
            </w:tblGrid>
            <w:tr w14:paraId="0994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Align w:val="center"/>
                </w:tcPr>
                <w:p w14:paraId="4E477D0A">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序号</w:t>
                  </w:r>
                </w:p>
              </w:tc>
              <w:tc>
                <w:tcPr>
                  <w:tcW w:w="899" w:type="pct"/>
                  <w:vAlign w:val="center"/>
                </w:tcPr>
                <w:p w14:paraId="3880699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噪声源</w:t>
                  </w:r>
                </w:p>
              </w:tc>
              <w:tc>
                <w:tcPr>
                  <w:tcW w:w="570" w:type="pct"/>
                  <w:vAlign w:val="center"/>
                </w:tcPr>
                <w:p w14:paraId="6056C5CC">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数量</w:t>
                  </w:r>
                </w:p>
              </w:tc>
              <w:tc>
                <w:tcPr>
                  <w:tcW w:w="1199" w:type="pct"/>
                  <w:vAlign w:val="center"/>
                </w:tcPr>
                <w:p w14:paraId="087DAB8F">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治理前噪声声级（dB）</w:t>
                  </w:r>
                </w:p>
              </w:tc>
              <w:tc>
                <w:tcPr>
                  <w:tcW w:w="875" w:type="pct"/>
                  <w:vAlign w:val="center"/>
                </w:tcPr>
                <w:p w14:paraId="1DF6C3F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治理措施</w:t>
                  </w:r>
                </w:p>
              </w:tc>
              <w:tc>
                <w:tcPr>
                  <w:tcW w:w="1106" w:type="pct"/>
                  <w:vAlign w:val="center"/>
                </w:tcPr>
                <w:p w14:paraId="77A622CF">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治理后噪声声级（dB）</w:t>
                  </w:r>
                </w:p>
              </w:tc>
            </w:tr>
            <w:tr w14:paraId="0174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48" w:type="pct"/>
                  <w:vAlign w:val="center"/>
                </w:tcPr>
                <w:p w14:paraId="5096FF69">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1</w:t>
                  </w:r>
                </w:p>
              </w:tc>
              <w:tc>
                <w:tcPr>
                  <w:tcW w:w="899" w:type="pct"/>
                  <w:vAlign w:val="center"/>
                </w:tcPr>
                <w:p w14:paraId="6C554991">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s="Times New Roman" w:eastAsiaTheme="minorEastAsia"/>
                      <w:bCs/>
                      <w:color w:val="auto"/>
                      <w:spacing w:val="-10"/>
                      <w:sz w:val="21"/>
                      <w:szCs w:val="18"/>
                    </w:rPr>
                  </w:pPr>
                  <w:r>
                    <w:rPr>
                      <w:rFonts w:hint="eastAsia" w:ascii="Times New Roman" w:hAnsi="Times New Roman" w:cs="Times New Roman" w:eastAsiaTheme="minorEastAsia"/>
                      <w:bCs/>
                      <w:color w:val="auto"/>
                      <w:spacing w:val="-10"/>
                      <w:sz w:val="21"/>
                      <w:szCs w:val="18"/>
                      <w:lang w:val="en-US" w:eastAsia="zh-CN"/>
                    </w:rPr>
                    <w:t>高速金属圆锯机</w:t>
                  </w:r>
                </w:p>
              </w:tc>
              <w:tc>
                <w:tcPr>
                  <w:tcW w:w="570" w:type="pct"/>
                  <w:shd w:val="clear" w:color="auto" w:fill="auto"/>
                  <w:vAlign w:val="center"/>
                </w:tcPr>
                <w:p w14:paraId="139320A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2</w:t>
                  </w:r>
                </w:p>
              </w:tc>
              <w:tc>
                <w:tcPr>
                  <w:tcW w:w="1199" w:type="pct"/>
                  <w:vAlign w:val="center"/>
                </w:tcPr>
                <w:p w14:paraId="3AEB749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90</w:t>
                  </w:r>
                </w:p>
              </w:tc>
              <w:tc>
                <w:tcPr>
                  <w:tcW w:w="875" w:type="pct"/>
                  <w:vAlign w:val="center"/>
                </w:tcPr>
                <w:p w14:paraId="60BE2F5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减振、隔声</w:t>
                  </w:r>
                </w:p>
              </w:tc>
              <w:tc>
                <w:tcPr>
                  <w:tcW w:w="1106" w:type="pct"/>
                  <w:vAlign w:val="center"/>
                </w:tcPr>
                <w:p w14:paraId="372EFE9C">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hint="eastAsia" w:ascii="Times New Roman" w:cs="Times New Roman" w:eastAsiaTheme="minorEastAsia"/>
                      <w:bCs/>
                      <w:color w:val="auto"/>
                      <w:spacing w:val="-10"/>
                      <w:sz w:val="21"/>
                      <w:szCs w:val="18"/>
                      <w:lang w:val="en-US" w:eastAsia="zh-CN"/>
                    </w:rPr>
                    <w:t>7</w:t>
                  </w:r>
                  <w:r>
                    <w:rPr>
                      <w:rFonts w:ascii="Times New Roman" w:cs="Times New Roman" w:eastAsiaTheme="minorEastAsia"/>
                      <w:bCs/>
                      <w:color w:val="auto"/>
                      <w:spacing w:val="-10"/>
                      <w:sz w:val="21"/>
                      <w:szCs w:val="18"/>
                    </w:rPr>
                    <w:t>0</w:t>
                  </w:r>
                </w:p>
              </w:tc>
            </w:tr>
            <w:tr w14:paraId="52EE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48" w:type="pct"/>
                  <w:vAlign w:val="center"/>
                </w:tcPr>
                <w:p w14:paraId="4BF0249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2</w:t>
                  </w:r>
                </w:p>
              </w:tc>
              <w:tc>
                <w:tcPr>
                  <w:tcW w:w="899" w:type="pct"/>
                  <w:vAlign w:val="center"/>
                </w:tcPr>
                <w:p w14:paraId="3EF7F59A">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中频感应加热炉</w:t>
                  </w:r>
                </w:p>
              </w:tc>
              <w:tc>
                <w:tcPr>
                  <w:tcW w:w="570" w:type="pct"/>
                  <w:shd w:val="clear" w:color="auto" w:fill="auto"/>
                  <w:vAlign w:val="center"/>
                </w:tcPr>
                <w:p w14:paraId="2E5F7161">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7D7EA39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80</w:t>
                  </w:r>
                </w:p>
              </w:tc>
              <w:tc>
                <w:tcPr>
                  <w:tcW w:w="875" w:type="pct"/>
                  <w:vAlign w:val="center"/>
                </w:tcPr>
                <w:p w14:paraId="3030A73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减振、隔声</w:t>
                  </w:r>
                </w:p>
              </w:tc>
              <w:tc>
                <w:tcPr>
                  <w:tcW w:w="1106" w:type="pct"/>
                  <w:vAlign w:val="center"/>
                </w:tcPr>
                <w:p w14:paraId="7BF11D6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60</w:t>
                  </w:r>
                </w:p>
              </w:tc>
            </w:tr>
            <w:tr w14:paraId="3E93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48" w:type="pct"/>
                  <w:vAlign w:val="center"/>
                </w:tcPr>
                <w:p w14:paraId="6DE65672">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s="Times New Roman" w:eastAsiaTheme="minorEastAsia"/>
                      <w:bCs/>
                      <w:color w:val="auto"/>
                      <w:spacing w:val="-10"/>
                      <w:kern w:val="2"/>
                      <w:sz w:val="21"/>
                      <w:szCs w:val="18"/>
                      <w:lang w:val="en-US" w:eastAsia="zh-CN" w:bidi="ar-SA"/>
                    </w:rPr>
                  </w:pPr>
                  <w:r>
                    <w:rPr>
                      <w:rFonts w:ascii="Times New Roman" w:cs="Times New Roman" w:eastAsiaTheme="minorEastAsia"/>
                      <w:bCs/>
                      <w:color w:val="auto"/>
                      <w:spacing w:val="-10"/>
                      <w:sz w:val="21"/>
                      <w:szCs w:val="18"/>
                    </w:rPr>
                    <w:t>3</w:t>
                  </w:r>
                </w:p>
              </w:tc>
              <w:tc>
                <w:tcPr>
                  <w:tcW w:w="899" w:type="pct"/>
                  <w:vAlign w:val="center"/>
                </w:tcPr>
                <w:p w14:paraId="1FFCAED2">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eastAsia="zh-CN"/>
                    </w:rPr>
                  </w:pPr>
                  <w:r>
                    <w:rPr>
                      <w:rFonts w:hint="eastAsia" w:ascii="Times New Roman" w:hAnsi="Times New Roman" w:cs="Times New Roman" w:eastAsiaTheme="minorEastAsia"/>
                      <w:bCs/>
                      <w:color w:val="auto"/>
                      <w:spacing w:val="-10"/>
                      <w:sz w:val="21"/>
                      <w:szCs w:val="18"/>
                      <w:lang w:val="en-US" w:eastAsia="zh-CN"/>
                    </w:rPr>
                    <w:t>电动螺旋压力机</w:t>
                  </w:r>
                </w:p>
              </w:tc>
              <w:tc>
                <w:tcPr>
                  <w:tcW w:w="570" w:type="pct"/>
                  <w:shd w:val="clear" w:color="auto" w:fill="auto"/>
                  <w:vAlign w:val="center"/>
                </w:tcPr>
                <w:p w14:paraId="5F168C9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627A236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72</w:t>
                  </w:r>
                </w:p>
              </w:tc>
              <w:tc>
                <w:tcPr>
                  <w:tcW w:w="875" w:type="pct"/>
                  <w:vAlign w:val="center"/>
                </w:tcPr>
                <w:p w14:paraId="3336F75B">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44ABAF7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52</w:t>
                  </w:r>
                </w:p>
              </w:tc>
            </w:tr>
            <w:tr w14:paraId="143C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vAlign w:val="center"/>
                </w:tcPr>
                <w:p w14:paraId="0E0CD542">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s="Times New Roman" w:eastAsiaTheme="minorEastAsia"/>
                      <w:bCs/>
                      <w:color w:val="auto"/>
                      <w:spacing w:val="-10"/>
                      <w:kern w:val="2"/>
                      <w:sz w:val="21"/>
                      <w:szCs w:val="18"/>
                      <w:lang w:val="en-US" w:eastAsia="zh-CN" w:bidi="ar-SA"/>
                    </w:rPr>
                  </w:pPr>
                  <w:r>
                    <w:rPr>
                      <w:rFonts w:ascii="Times New Roman" w:cs="Times New Roman" w:eastAsiaTheme="minorEastAsia"/>
                      <w:bCs/>
                      <w:color w:val="auto"/>
                      <w:spacing w:val="-10"/>
                      <w:sz w:val="21"/>
                      <w:szCs w:val="18"/>
                    </w:rPr>
                    <w:t>4</w:t>
                  </w:r>
                </w:p>
              </w:tc>
              <w:tc>
                <w:tcPr>
                  <w:tcW w:w="899" w:type="pct"/>
                  <w:vAlign w:val="center"/>
                </w:tcPr>
                <w:p w14:paraId="571D95CC">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s="Times New Roman" w:eastAsiaTheme="minorEastAsia"/>
                      <w:bCs/>
                      <w:color w:val="auto"/>
                      <w:spacing w:val="-10"/>
                      <w:sz w:val="21"/>
                      <w:szCs w:val="18"/>
                    </w:rPr>
                  </w:pPr>
                  <w:r>
                    <w:rPr>
                      <w:rFonts w:hint="eastAsia" w:ascii="Times New Roman" w:hAnsi="Times New Roman" w:cs="Times New Roman" w:eastAsiaTheme="minorEastAsia"/>
                      <w:bCs/>
                      <w:color w:val="auto"/>
                      <w:spacing w:val="-10"/>
                      <w:sz w:val="21"/>
                      <w:szCs w:val="18"/>
                      <w:lang w:val="en-US" w:eastAsia="zh-CN"/>
                    </w:rPr>
                    <w:t>热模锻压力机</w:t>
                  </w:r>
                </w:p>
              </w:tc>
              <w:tc>
                <w:tcPr>
                  <w:tcW w:w="570" w:type="pct"/>
                  <w:shd w:val="clear" w:color="auto" w:fill="auto"/>
                  <w:vAlign w:val="center"/>
                </w:tcPr>
                <w:p w14:paraId="674D597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0EA90722">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eastAsiaTheme="minorEastAsia"/>
                      <w:bCs/>
                      <w:color w:val="auto"/>
                      <w:spacing w:val="-10"/>
                      <w:sz w:val="21"/>
                      <w:szCs w:val="18"/>
                      <w:lang w:eastAsia="zh-CN"/>
                    </w:rPr>
                  </w:pPr>
                  <w:r>
                    <w:rPr>
                      <w:rFonts w:ascii="Times New Roman" w:cs="Times New Roman" w:eastAsiaTheme="minorEastAsia"/>
                      <w:bCs/>
                      <w:color w:val="auto"/>
                      <w:spacing w:val="-10"/>
                      <w:sz w:val="21"/>
                      <w:szCs w:val="18"/>
                    </w:rPr>
                    <w:t>6</w:t>
                  </w:r>
                  <w:r>
                    <w:rPr>
                      <w:rFonts w:hint="eastAsia" w:ascii="Times New Roman" w:cs="Times New Roman" w:eastAsiaTheme="minorEastAsia"/>
                      <w:bCs/>
                      <w:color w:val="auto"/>
                      <w:spacing w:val="-10"/>
                      <w:sz w:val="21"/>
                      <w:szCs w:val="18"/>
                      <w:lang w:val="en-US" w:eastAsia="zh-CN"/>
                    </w:rPr>
                    <w:t>5</w:t>
                  </w:r>
                </w:p>
              </w:tc>
              <w:tc>
                <w:tcPr>
                  <w:tcW w:w="875" w:type="pct"/>
                  <w:vAlign w:val="center"/>
                </w:tcPr>
                <w:p w14:paraId="7D7707D8">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7878796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eastAsiaTheme="minorEastAsia"/>
                      <w:bCs/>
                      <w:color w:val="auto"/>
                      <w:spacing w:val="-10"/>
                      <w:sz w:val="21"/>
                      <w:szCs w:val="18"/>
                      <w:lang w:eastAsia="zh-CN"/>
                    </w:rPr>
                  </w:pPr>
                  <w:r>
                    <w:rPr>
                      <w:rFonts w:ascii="Times New Roman" w:cs="Times New Roman" w:eastAsiaTheme="minorEastAsia"/>
                      <w:bCs/>
                      <w:color w:val="auto"/>
                      <w:spacing w:val="-10"/>
                      <w:sz w:val="21"/>
                      <w:szCs w:val="18"/>
                    </w:rPr>
                    <w:t>4</w:t>
                  </w:r>
                  <w:r>
                    <w:rPr>
                      <w:rFonts w:hint="eastAsia" w:ascii="Times New Roman" w:cs="Times New Roman" w:eastAsiaTheme="minorEastAsia"/>
                      <w:bCs/>
                      <w:color w:val="auto"/>
                      <w:spacing w:val="-10"/>
                      <w:sz w:val="21"/>
                      <w:szCs w:val="18"/>
                      <w:lang w:val="en-US" w:eastAsia="zh-CN"/>
                    </w:rPr>
                    <w:t>5</w:t>
                  </w:r>
                </w:p>
              </w:tc>
            </w:tr>
            <w:tr w14:paraId="6ED2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vAlign w:val="center"/>
                </w:tcPr>
                <w:p w14:paraId="2A3A5CA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5</w:t>
                  </w:r>
                </w:p>
              </w:tc>
              <w:tc>
                <w:tcPr>
                  <w:tcW w:w="899" w:type="pct"/>
                  <w:vAlign w:val="center"/>
                </w:tcPr>
                <w:p w14:paraId="34D0079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闭式冲床</w:t>
                  </w:r>
                </w:p>
              </w:tc>
              <w:tc>
                <w:tcPr>
                  <w:tcW w:w="570" w:type="pct"/>
                  <w:shd w:val="clear" w:color="auto" w:fill="auto"/>
                  <w:vAlign w:val="center"/>
                </w:tcPr>
                <w:p w14:paraId="41EDD12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12BEA33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78</w:t>
                  </w:r>
                </w:p>
              </w:tc>
              <w:tc>
                <w:tcPr>
                  <w:tcW w:w="875" w:type="pct"/>
                  <w:vAlign w:val="center"/>
                </w:tcPr>
                <w:p w14:paraId="6987340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36A66E8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58</w:t>
                  </w:r>
                </w:p>
              </w:tc>
            </w:tr>
            <w:tr w14:paraId="0138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64A933DB">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6</w:t>
                  </w:r>
                </w:p>
              </w:tc>
              <w:tc>
                <w:tcPr>
                  <w:tcW w:w="899" w:type="pct"/>
                  <w:vAlign w:val="center"/>
                </w:tcPr>
                <w:p w14:paraId="521690C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网带式等温正火炉</w:t>
                  </w:r>
                </w:p>
              </w:tc>
              <w:tc>
                <w:tcPr>
                  <w:tcW w:w="570" w:type="pct"/>
                  <w:shd w:val="clear" w:color="auto" w:fill="auto"/>
                  <w:vAlign w:val="center"/>
                </w:tcPr>
                <w:p w14:paraId="4A40ABEC">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709EE2F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80</w:t>
                  </w:r>
                </w:p>
              </w:tc>
              <w:tc>
                <w:tcPr>
                  <w:tcW w:w="875" w:type="pct"/>
                  <w:vAlign w:val="center"/>
                </w:tcPr>
                <w:p w14:paraId="1EED7B4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7ACF17E9">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60</w:t>
                  </w:r>
                </w:p>
              </w:tc>
            </w:tr>
            <w:tr w14:paraId="5AFA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150132C8">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7</w:t>
                  </w:r>
                </w:p>
              </w:tc>
              <w:tc>
                <w:tcPr>
                  <w:tcW w:w="899" w:type="pct"/>
                  <w:vAlign w:val="center"/>
                </w:tcPr>
                <w:p w14:paraId="1E61728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金属履带式抛丸机</w:t>
                  </w:r>
                </w:p>
              </w:tc>
              <w:tc>
                <w:tcPr>
                  <w:tcW w:w="570" w:type="pct"/>
                  <w:shd w:val="clear" w:color="auto" w:fill="auto"/>
                  <w:vAlign w:val="center"/>
                </w:tcPr>
                <w:p w14:paraId="4991111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243DD1A6">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85</w:t>
                  </w:r>
                </w:p>
              </w:tc>
              <w:tc>
                <w:tcPr>
                  <w:tcW w:w="875" w:type="pct"/>
                  <w:vAlign w:val="center"/>
                </w:tcPr>
                <w:p w14:paraId="5862C7A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64EFBFB6">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65</w:t>
                  </w:r>
                </w:p>
              </w:tc>
            </w:tr>
            <w:tr w14:paraId="01D7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56C57985">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8</w:t>
                  </w:r>
                </w:p>
              </w:tc>
              <w:tc>
                <w:tcPr>
                  <w:tcW w:w="899" w:type="pct"/>
                  <w:vAlign w:val="center"/>
                </w:tcPr>
                <w:p w14:paraId="2DD1ACDD">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数控车床</w:t>
                  </w:r>
                </w:p>
              </w:tc>
              <w:tc>
                <w:tcPr>
                  <w:tcW w:w="570" w:type="pct"/>
                  <w:shd w:val="clear" w:color="auto" w:fill="auto"/>
                  <w:vAlign w:val="center"/>
                </w:tcPr>
                <w:p w14:paraId="20227F6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30</w:t>
                  </w:r>
                </w:p>
              </w:tc>
              <w:tc>
                <w:tcPr>
                  <w:tcW w:w="1199" w:type="pct"/>
                  <w:vAlign w:val="center"/>
                </w:tcPr>
                <w:p w14:paraId="3323F6D8">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75</w:t>
                  </w:r>
                </w:p>
              </w:tc>
              <w:tc>
                <w:tcPr>
                  <w:tcW w:w="875" w:type="pct"/>
                  <w:vAlign w:val="center"/>
                </w:tcPr>
                <w:p w14:paraId="7A0A33F1">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597C13A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55</w:t>
                  </w:r>
                </w:p>
              </w:tc>
            </w:tr>
            <w:tr w14:paraId="354F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415473AB">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9</w:t>
                  </w:r>
                </w:p>
              </w:tc>
              <w:tc>
                <w:tcPr>
                  <w:tcW w:w="899" w:type="pct"/>
                  <w:vAlign w:val="center"/>
                </w:tcPr>
                <w:p w14:paraId="36E91DDD">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箱式变压器</w:t>
                  </w:r>
                </w:p>
              </w:tc>
              <w:tc>
                <w:tcPr>
                  <w:tcW w:w="570" w:type="pct"/>
                  <w:shd w:val="clear" w:color="auto" w:fill="auto"/>
                  <w:vAlign w:val="center"/>
                </w:tcPr>
                <w:p w14:paraId="1CC1E961">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682F847F">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60</w:t>
                  </w:r>
                </w:p>
              </w:tc>
              <w:tc>
                <w:tcPr>
                  <w:tcW w:w="875" w:type="pct"/>
                  <w:vAlign w:val="center"/>
                </w:tcPr>
                <w:p w14:paraId="55C56A75">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6071682F">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40</w:t>
                  </w:r>
                </w:p>
              </w:tc>
            </w:tr>
            <w:tr w14:paraId="0BE5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1AE5CA26">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10</w:t>
                  </w:r>
                </w:p>
              </w:tc>
              <w:tc>
                <w:tcPr>
                  <w:tcW w:w="899" w:type="pct"/>
                  <w:vAlign w:val="center"/>
                </w:tcPr>
                <w:p w14:paraId="703FDB99">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空压机</w:t>
                  </w:r>
                </w:p>
              </w:tc>
              <w:tc>
                <w:tcPr>
                  <w:tcW w:w="570" w:type="pct"/>
                  <w:shd w:val="clear" w:color="auto" w:fill="auto"/>
                  <w:vAlign w:val="center"/>
                </w:tcPr>
                <w:p w14:paraId="233535F5">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7D79CC3D">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85</w:t>
                  </w:r>
                </w:p>
              </w:tc>
              <w:tc>
                <w:tcPr>
                  <w:tcW w:w="875" w:type="pct"/>
                  <w:vAlign w:val="center"/>
                </w:tcPr>
                <w:p w14:paraId="5F60134A">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49B28A1B">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65</w:t>
                  </w:r>
                </w:p>
              </w:tc>
            </w:tr>
            <w:tr w14:paraId="477E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01B40D1A">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11</w:t>
                  </w:r>
                </w:p>
              </w:tc>
              <w:tc>
                <w:tcPr>
                  <w:tcW w:w="899" w:type="pct"/>
                  <w:shd w:val="clear" w:color="auto" w:fill="auto"/>
                  <w:vAlign w:val="center"/>
                </w:tcPr>
                <w:p w14:paraId="7F19998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kern w:val="2"/>
                      <w:sz w:val="21"/>
                      <w:szCs w:val="18"/>
                      <w:lang w:val="en-US" w:eastAsia="zh-CN" w:bidi="ar-SA"/>
                    </w:rPr>
                  </w:pPr>
                  <w:r>
                    <w:rPr>
                      <w:rFonts w:hint="eastAsia" w:ascii="Times New Roman" w:hAnsi="Times New Roman" w:cs="Times New Roman" w:eastAsiaTheme="minorEastAsia"/>
                      <w:bCs/>
                      <w:color w:val="auto"/>
                      <w:spacing w:val="-10"/>
                      <w:sz w:val="21"/>
                      <w:szCs w:val="18"/>
                      <w:lang w:val="en-US" w:eastAsia="zh-CN"/>
                    </w:rPr>
                    <w:t>软水机</w:t>
                  </w:r>
                </w:p>
              </w:tc>
              <w:tc>
                <w:tcPr>
                  <w:tcW w:w="570" w:type="pct"/>
                  <w:shd w:val="clear" w:color="auto" w:fill="auto"/>
                  <w:vAlign w:val="center"/>
                </w:tcPr>
                <w:p w14:paraId="2432F02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kern w:val="2"/>
                      <w:sz w:val="21"/>
                      <w:szCs w:val="18"/>
                      <w:lang w:val="en-US" w:eastAsia="zh-CN" w:bidi="ar-SA"/>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11956AD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65</w:t>
                  </w:r>
                </w:p>
              </w:tc>
              <w:tc>
                <w:tcPr>
                  <w:tcW w:w="875" w:type="pct"/>
                  <w:vAlign w:val="center"/>
                </w:tcPr>
                <w:p w14:paraId="3B7F2D8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3F28722D">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45</w:t>
                  </w:r>
                </w:p>
              </w:tc>
            </w:tr>
            <w:tr w14:paraId="4B17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457FCFD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sz w:val="21"/>
                      <w:szCs w:val="18"/>
                      <w:lang w:val="en-US" w:eastAsia="zh-CN"/>
                    </w:rPr>
                  </w:pPr>
                  <w:r>
                    <w:rPr>
                      <w:rFonts w:hint="eastAsia" w:ascii="Times New Roman" w:hAnsi="Times New Roman" w:cs="Times New Roman" w:eastAsiaTheme="minorEastAsia"/>
                      <w:bCs/>
                      <w:color w:val="auto"/>
                      <w:spacing w:val="-10"/>
                      <w:sz w:val="21"/>
                      <w:szCs w:val="18"/>
                      <w:lang w:val="en-US" w:eastAsia="zh-CN"/>
                    </w:rPr>
                    <w:t>12</w:t>
                  </w:r>
                </w:p>
              </w:tc>
              <w:tc>
                <w:tcPr>
                  <w:tcW w:w="899" w:type="pct"/>
                  <w:shd w:val="clear" w:color="auto" w:fill="auto"/>
                  <w:vAlign w:val="center"/>
                </w:tcPr>
                <w:p w14:paraId="0CD1425B">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kern w:val="2"/>
                      <w:sz w:val="21"/>
                      <w:szCs w:val="18"/>
                      <w:lang w:val="en-US" w:eastAsia="zh-CN" w:bidi="ar-SA"/>
                    </w:rPr>
                  </w:pPr>
                  <w:r>
                    <w:rPr>
                      <w:rFonts w:hint="eastAsia" w:ascii="Times New Roman" w:hAnsi="Times New Roman" w:cs="Times New Roman" w:eastAsiaTheme="minorEastAsia"/>
                      <w:bCs/>
                      <w:color w:val="auto"/>
                      <w:spacing w:val="-10"/>
                      <w:sz w:val="21"/>
                      <w:szCs w:val="18"/>
                      <w:lang w:val="en-US" w:eastAsia="zh-CN"/>
                    </w:rPr>
                    <w:t>四柱液压机</w:t>
                  </w:r>
                </w:p>
              </w:tc>
              <w:tc>
                <w:tcPr>
                  <w:tcW w:w="570" w:type="pct"/>
                  <w:shd w:val="clear" w:color="auto" w:fill="auto"/>
                  <w:vAlign w:val="center"/>
                </w:tcPr>
                <w:p w14:paraId="6F1FE144">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eastAsiaTheme="minorEastAsia"/>
                      <w:bCs/>
                      <w:color w:val="auto"/>
                      <w:spacing w:val="-10"/>
                      <w:kern w:val="2"/>
                      <w:sz w:val="21"/>
                      <w:szCs w:val="18"/>
                      <w:lang w:val="en-US" w:eastAsia="zh-CN" w:bidi="ar-SA"/>
                    </w:rPr>
                  </w:pPr>
                  <w:r>
                    <w:rPr>
                      <w:rFonts w:hint="eastAsia" w:ascii="Times New Roman" w:hAnsi="Times New Roman" w:cs="Times New Roman" w:eastAsiaTheme="minorEastAsia"/>
                      <w:bCs/>
                      <w:color w:val="auto"/>
                      <w:spacing w:val="-10"/>
                      <w:sz w:val="21"/>
                      <w:szCs w:val="18"/>
                      <w:lang w:val="en-US" w:eastAsia="zh-CN"/>
                    </w:rPr>
                    <w:t>1</w:t>
                  </w:r>
                </w:p>
              </w:tc>
              <w:tc>
                <w:tcPr>
                  <w:tcW w:w="1199" w:type="pct"/>
                  <w:vAlign w:val="center"/>
                </w:tcPr>
                <w:p w14:paraId="03E6D9CE">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80</w:t>
                  </w:r>
                </w:p>
              </w:tc>
              <w:tc>
                <w:tcPr>
                  <w:tcW w:w="875" w:type="pct"/>
                  <w:vAlign w:val="center"/>
                </w:tcPr>
                <w:p w14:paraId="6E44E467">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cs="Times New Roman" w:eastAsiaTheme="minorEastAsia"/>
                      <w:bCs/>
                      <w:color w:val="auto"/>
                      <w:spacing w:val="-10"/>
                      <w:sz w:val="21"/>
                      <w:szCs w:val="18"/>
                    </w:rPr>
                  </w:pPr>
                  <w:r>
                    <w:rPr>
                      <w:rFonts w:ascii="Times New Roman" w:cs="Times New Roman" w:eastAsiaTheme="minorEastAsia"/>
                      <w:bCs/>
                      <w:color w:val="auto"/>
                      <w:spacing w:val="-10"/>
                      <w:sz w:val="21"/>
                      <w:szCs w:val="18"/>
                    </w:rPr>
                    <w:t>减震、隔声</w:t>
                  </w:r>
                </w:p>
              </w:tc>
              <w:tc>
                <w:tcPr>
                  <w:tcW w:w="1106" w:type="pct"/>
                  <w:vAlign w:val="center"/>
                </w:tcPr>
                <w:p w14:paraId="1D06E7C8">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60</w:t>
                  </w:r>
                </w:p>
              </w:tc>
            </w:tr>
            <w:tr w14:paraId="220B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8" w:type="pct"/>
                  <w:shd w:val="clear" w:color="auto" w:fill="auto"/>
                  <w:vAlign w:val="center"/>
                </w:tcPr>
                <w:p w14:paraId="3371EFC3">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13</w:t>
                  </w:r>
                </w:p>
              </w:tc>
              <w:tc>
                <w:tcPr>
                  <w:tcW w:w="899" w:type="pct"/>
                  <w:shd w:val="clear" w:color="auto" w:fill="auto"/>
                  <w:vAlign w:val="center"/>
                </w:tcPr>
                <w:p w14:paraId="3F2CFE70">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冷却塔</w:t>
                  </w:r>
                </w:p>
              </w:tc>
              <w:tc>
                <w:tcPr>
                  <w:tcW w:w="570" w:type="pct"/>
                  <w:shd w:val="clear" w:color="auto" w:fill="auto"/>
                  <w:vAlign w:val="center"/>
                </w:tcPr>
                <w:p w14:paraId="2C05134D">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1</w:t>
                  </w:r>
                </w:p>
              </w:tc>
              <w:tc>
                <w:tcPr>
                  <w:tcW w:w="1199" w:type="pct"/>
                  <w:vAlign w:val="center"/>
                </w:tcPr>
                <w:p w14:paraId="5C2EBE4A">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eastAsiaTheme="minorEastAsia"/>
                      <w:bCs/>
                      <w:color w:val="auto"/>
                      <w:spacing w:val="-10"/>
                      <w:sz w:val="21"/>
                      <w:szCs w:val="18"/>
                      <w:lang w:val="en-US" w:eastAsia="zh-CN"/>
                    </w:rPr>
                  </w:pPr>
                  <w:r>
                    <w:rPr>
                      <w:rFonts w:hint="eastAsia" w:ascii="Times New Roman" w:cs="Times New Roman" w:eastAsiaTheme="minorEastAsia"/>
                      <w:bCs/>
                      <w:color w:val="auto"/>
                      <w:spacing w:val="-10"/>
                      <w:sz w:val="21"/>
                      <w:szCs w:val="18"/>
                      <w:lang w:val="en-US" w:eastAsia="zh-CN"/>
                    </w:rPr>
                    <w:t>85</w:t>
                  </w:r>
                </w:p>
              </w:tc>
              <w:tc>
                <w:tcPr>
                  <w:tcW w:w="875" w:type="pct"/>
                  <w:shd w:val="clear" w:color="auto" w:fill="auto"/>
                  <w:vAlign w:val="center"/>
                </w:tcPr>
                <w:p w14:paraId="29336485">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s="Times New Roman" w:eastAsiaTheme="minorEastAsia"/>
                      <w:bCs/>
                      <w:color w:val="auto"/>
                      <w:spacing w:val="-10"/>
                      <w:kern w:val="2"/>
                      <w:sz w:val="21"/>
                      <w:szCs w:val="18"/>
                      <w:lang w:val="en-US" w:eastAsia="zh-CN" w:bidi="ar-SA"/>
                    </w:rPr>
                  </w:pPr>
                  <w:r>
                    <w:rPr>
                      <w:rFonts w:ascii="Times New Roman" w:cs="Times New Roman" w:eastAsiaTheme="minorEastAsia"/>
                      <w:bCs/>
                      <w:color w:val="auto"/>
                      <w:spacing w:val="-10"/>
                      <w:sz w:val="21"/>
                      <w:szCs w:val="18"/>
                    </w:rPr>
                    <w:t>减震、隔声</w:t>
                  </w:r>
                </w:p>
              </w:tc>
              <w:tc>
                <w:tcPr>
                  <w:tcW w:w="1106" w:type="pct"/>
                  <w:shd w:val="clear" w:color="auto" w:fill="auto"/>
                  <w:vAlign w:val="center"/>
                </w:tcPr>
                <w:p w14:paraId="14170E21">
                  <w:pPr>
                    <w:pStyle w:val="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eastAsiaTheme="minorEastAsia"/>
                      <w:bCs/>
                      <w:color w:val="auto"/>
                      <w:spacing w:val="-10"/>
                      <w:kern w:val="2"/>
                      <w:sz w:val="21"/>
                      <w:szCs w:val="18"/>
                      <w:lang w:val="en-US" w:eastAsia="zh-CN" w:bidi="ar-SA"/>
                    </w:rPr>
                  </w:pPr>
                  <w:r>
                    <w:rPr>
                      <w:rFonts w:hint="eastAsia" w:ascii="Times New Roman" w:cs="Times New Roman" w:eastAsiaTheme="minorEastAsia"/>
                      <w:bCs/>
                      <w:color w:val="auto"/>
                      <w:spacing w:val="-10"/>
                      <w:sz w:val="21"/>
                      <w:szCs w:val="18"/>
                      <w:lang w:val="en-US" w:eastAsia="zh-CN"/>
                    </w:rPr>
                    <w:t>65</w:t>
                  </w:r>
                </w:p>
              </w:tc>
            </w:tr>
          </w:tbl>
          <w:p w14:paraId="2FB1EB93">
            <w:pPr>
              <w:bidi w:val="0"/>
              <w:ind w:left="0" w:leftChars="0" w:firstLine="0" w:firstLineChars="0"/>
              <w:rPr>
                <w:rFonts w:hint="default"/>
                <w:color w:val="auto"/>
                <w:highlight w:val="none"/>
                <w:lang w:val="en-US" w:eastAsia="zh-CN"/>
              </w:rPr>
            </w:pPr>
          </w:p>
          <w:p w14:paraId="55DF6F58">
            <w:pPr>
              <w:bidi w:val="0"/>
              <w:rPr>
                <w:rFonts w:hint="default"/>
                <w:color w:val="auto"/>
                <w:highlight w:val="none"/>
              </w:rPr>
            </w:pPr>
            <w:r>
              <w:rPr>
                <w:rFonts w:hint="default"/>
                <w:color w:val="auto"/>
                <w:highlight w:val="none"/>
              </w:rPr>
              <w:t>（2）预测模式</w:t>
            </w:r>
          </w:p>
          <w:p w14:paraId="560BB8D9">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本次评价采用《环境影响评价技术导则声环境》（HJ2.4-2021）中推荐模式进行预测，具体预测模式如下：</w:t>
            </w:r>
          </w:p>
          <w:p w14:paraId="566DF31E">
            <w:pPr>
              <w:widowControl/>
              <w:spacing w:line="360" w:lineRule="auto"/>
              <w:ind w:firstLine="480" w:firstLineChars="200"/>
              <w:jc w:val="both"/>
              <w:rPr>
                <w:rFonts w:hint="eastAsia" w:ascii="Times New Roman" w:hAnsi="Times New Roman" w:eastAsia="宋体" w:cs="Times New Roman"/>
                <w:color w:val="auto"/>
                <w:kern w:val="0"/>
                <w:sz w:val="24"/>
                <w:highlight w:val="none"/>
                <w:lang w:eastAsia="zh-CN" w:bidi="ar"/>
              </w:rPr>
            </w:pPr>
            <w:r>
              <w:rPr>
                <w:rFonts w:hint="default" w:ascii="Times New Roman" w:hAnsi="Times New Roman" w:cs="Times New Roman"/>
                <w:color w:val="auto"/>
                <w:kern w:val="0"/>
                <w:sz w:val="24"/>
                <w:highlight w:val="none"/>
                <w:lang w:bidi="ar"/>
              </w:rPr>
              <w:t>①</w:t>
            </w:r>
            <w:r>
              <w:rPr>
                <w:rFonts w:ascii="宋体" w:hAnsi="宋体" w:eastAsia="宋体" w:cs="宋体"/>
                <w:color w:val="auto"/>
                <w:sz w:val="24"/>
                <w:szCs w:val="24"/>
                <w:highlight w:val="none"/>
              </w:rPr>
              <w:t>首先计算出某个室内声源靠近围护结构处的声压级</w:t>
            </w:r>
            <w:r>
              <w:rPr>
                <w:rFonts w:hint="eastAsia" w:ascii="宋体" w:hAnsi="宋体" w:eastAsia="宋体" w:cs="宋体"/>
                <w:color w:val="auto"/>
                <w:sz w:val="24"/>
                <w:szCs w:val="24"/>
                <w:highlight w:val="none"/>
                <w:lang w:eastAsia="zh-CN"/>
              </w:rPr>
              <w:t>：</w:t>
            </w:r>
          </w:p>
          <w:p w14:paraId="1E9D4A62">
            <w:pPr>
              <w:widowControl/>
              <w:spacing w:line="360" w:lineRule="auto"/>
              <w:ind w:firstLine="480" w:firstLineChars="200"/>
              <w:jc w:val="center"/>
              <w:rPr>
                <w:rFonts w:hint="default" w:ascii="Times New Roman" w:hAnsi="Times New Roman" w:cs="Times New Roman"/>
                <w:color w:val="auto"/>
                <w:kern w:val="0"/>
                <w:sz w:val="24"/>
                <w:highlight w:val="none"/>
                <w:lang w:bidi="ar"/>
              </w:rPr>
            </w:pPr>
            <w:r>
              <w:rPr>
                <w:color w:val="auto"/>
                <w:highlight w:val="none"/>
              </w:rPr>
              <w:drawing>
                <wp:inline distT="0" distB="0" distL="114300" distR="114300">
                  <wp:extent cx="2038350" cy="11620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1"/>
                          <a:stretch>
                            <a:fillRect/>
                          </a:stretch>
                        </pic:blipFill>
                        <pic:spPr>
                          <a:xfrm>
                            <a:off x="0" y="0"/>
                            <a:ext cx="2038350" cy="1162050"/>
                          </a:xfrm>
                          <a:prstGeom prst="rect">
                            <a:avLst/>
                          </a:prstGeom>
                          <a:noFill/>
                          <a:ln>
                            <a:noFill/>
                          </a:ln>
                        </pic:spPr>
                      </pic:pic>
                    </a:graphicData>
                  </a:graphic>
                </wp:inline>
              </w:drawing>
            </w:r>
          </w:p>
          <w:p w14:paraId="653D0692">
            <w:pPr>
              <w:widowControl/>
              <w:spacing w:line="360" w:lineRule="auto"/>
              <w:ind w:firstLine="480" w:firstLineChars="200"/>
              <w:jc w:val="center"/>
              <w:rPr>
                <w:rFonts w:hint="eastAsia" w:ascii="Times New Roman" w:hAnsi="Times New Roman" w:eastAsia="宋体" w:cs="Times New Roman"/>
                <w:color w:val="auto"/>
                <w:kern w:val="0"/>
                <w:sz w:val="24"/>
                <w:highlight w:val="none"/>
                <w:lang w:eastAsia="zh-CN" w:bidi="ar"/>
              </w:rPr>
            </w:pPr>
            <w:r>
              <w:rPr>
                <w:rFonts w:hint="eastAsia" w:ascii="Times New Roman" w:hAnsi="Times New Roman" w:eastAsia="宋体" w:cs="Times New Roman"/>
                <w:color w:val="auto"/>
                <w:kern w:val="0"/>
                <w:position w:val="-28"/>
                <w:sz w:val="24"/>
                <w:highlight w:val="none"/>
                <w:lang w:eastAsia="zh-CN" w:bidi="ar"/>
              </w:rPr>
              <w:object>
                <v:shape id="_x0000_i1026" o:spt="75" type="#_x0000_t75" style="height:34pt;width:131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p>
          <w:p w14:paraId="2234A2CB">
            <w:pPr>
              <w:widowControl/>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式中：L</w:t>
            </w:r>
            <w:r>
              <w:rPr>
                <w:rFonts w:hint="default" w:ascii="Times New Roman" w:hAnsi="Times New Roman" w:eastAsia="宋体" w:cs="Times New Roman"/>
                <w:color w:val="auto"/>
                <w:sz w:val="24"/>
                <w:szCs w:val="24"/>
                <w:highlight w:val="none"/>
                <w:vertAlign w:val="subscript"/>
                <w:lang w:val="en-US" w:eastAsia="zh-CN"/>
              </w:rPr>
              <w:t>p1</w:t>
            </w:r>
            <w:r>
              <w:rPr>
                <w:color w:val="auto"/>
                <w:highlight w:val="none"/>
              </w:rPr>
              <w:t>——</w:t>
            </w:r>
            <w:r>
              <w:rPr>
                <w:rFonts w:hint="eastAsia" w:ascii="Times New Roman" w:hAnsi="Times New Roman" w:eastAsia="宋体" w:cs="Times New Roman"/>
                <w:color w:val="auto"/>
                <w:sz w:val="24"/>
                <w:szCs w:val="24"/>
                <w:highlight w:val="none"/>
                <w:lang w:val="en-US" w:eastAsia="zh-CN"/>
              </w:rPr>
              <w:t>靠近开口处（或窗户）室内某倍频带的声压级，dB</w:t>
            </w:r>
            <w:r>
              <w:rPr>
                <w:rFonts w:hint="default" w:ascii="Times New Roman" w:hAnsi="Times New Roman" w:eastAsia="宋体" w:cs="Times New Roman"/>
                <w:color w:val="auto"/>
                <w:sz w:val="24"/>
                <w:szCs w:val="24"/>
                <w:highlight w:val="none"/>
                <w:lang w:eastAsia="zh-CN"/>
              </w:rPr>
              <w:t>；</w:t>
            </w:r>
          </w:p>
          <w:p w14:paraId="6AE1112D">
            <w:pPr>
              <w:widowControl/>
              <w:spacing w:line="360" w:lineRule="auto"/>
              <w:ind w:firstLine="1200" w:firstLineChars="5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w</w:t>
            </w:r>
            <w:r>
              <w:rPr>
                <w:color w:val="auto"/>
                <w:highlight w:val="none"/>
              </w:rPr>
              <w:t>——</w:t>
            </w:r>
            <w:r>
              <w:rPr>
                <w:rFonts w:hint="eastAsia" w:ascii="Times New Roman" w:hAnsi="Times New Roman" w:eastAsia="宋体" w:cs="Times New Roman"/>
                <w:color w:val="auto"/>
                <w:sz w:val="24"/>
                <w:szCs w:val="24"/>
                <w:highlight w:val="none"/>
                <w:lang w:val="en-US" w:eastAsia="zh-CN"/>
              </w:rPr>
              <w:t>点声源声功率级，dB</w:t>
            </w:r>
            <w:r>
              <w:rPr>
                <w:rFonts w:hint="default" w:ascii="Times New Roman" w:hAnsi="Times New Roman" w:eastAsia="宋体" w:cs="Times New Roman"/>
                <w:color w:val="auto"/>
                <w:sz w:val="24"/>
                <w:szCs w:val="24"/>
                <w:highlight w:val="none"/>
                <w:lang w:eastAsia="zh-CN"/>
              </w:rPr>
              <w:t>；</w:t>
            </w:r>
          </w:p>
          <w:p w14:paraId="50611AFB">
            <w:pPr>
              <w:widowControl/>
              <w:spacing w:line="360" w:lineRule="auto"/>
              <w:ind w:left="1920" w:leftChars="500" w:hanging="720" w:hangingChars="3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color w:val="auto"/>
                <w:highlight w:val="none"/>
              </w:rPr>
              <w:t>——</w:t>
            </w:r>
            <w:r>
              <w:rPr>
                <w:rFonts w:hint="default" w:ascii="Times New Roman" w:hAnsi="Times New Roman" w:eastAsia="宋体" w:cs="Times New Roman"/>
                <w:color w:val="auto"/>
                <w:sz w:val="24"/>
                <w:szCs w:val="24"/>
                <w:highlight w:val="none"/>
              </w:rPr>
              <w:t>指向性因数；通常对无指向性声源，当声源放在房间中心时，Q=1；当放在一面墙的中心时，Q=2；当放在两面墙夹角处时，Q=4；当放在三面墙夹角处时，Q=8</w:t>
            </w:r>
            <w:r>
              <w:rPr>
                <w:rFonts w:hint="default" w:ascii="Times New Roman" w:hAnsi="Times New Roman" w:eastAsia="宋体" w:cs="Times New Roman"/>
                <w:color w:val="auto"/>
                <w:sz w:val="24"/>
                <w:szCs w:val="24"/>
                <w:highlight w:val="none"/>
                <w:lang w:eastAsia="zh-CN"/>
              </w:rPr>
              <w:t>；</w:t>
            </w:r>
          </w:p>
          <w:p w14:paraId="6F83864B">
            <w:pPr>
              <w:widowControl/>
              <w:spacing w:line="360" w:lineRule="auto"/>
              <w:ind w:left="1920" w:leftChars="500" w:hanging="720" w:hanging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highlight w:val="none"/>
                <w:lang w:val="en-US" w:eastAsia="zh-CN" w:bidi="ar"/>
              </w:rPr>
              <w:t>R</w:t>
            </w:r>
            <w:r>
              <w:rPr>
                <w:color w:val="auto"/>
                <w:highlight w:val="none"/>
              </w:rPr>
              <w:t>——</w:t>
            </w:r>
            <w:r>
              <w:rPr>
                <w:rFonts w:hint="default" w:ascii="Times New Roman" w:hAnsi="Times New Roman" w:eastAsia="宋体" w:cs="Times New Roman"/>
                <w:color w:val="auto"/>
                <w:sz w:val="24"/>
                <w:szCs w:val="24"/>
                <w:highlight w:val="none"/>
              </w:rPr>
              <w:t>房间常数；R=Sa/(1-a)，S为房间内表面面积，m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；α为平均吸声系数；</w:t>
            </w:r>
          </w:p>
          <w:p w14:paraId="2F0320BA">
            <w:pPr>
              <w:widowControl/>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color w:val="auto"/>
                <w:highlight w:val="none"/>
              </w:rPr>
              <w:t>——</w:t>
            </w:r>
            <w:r>
              <w:rPr>
                <w:rFonts w:hint="default" w:ascii="Times New Roman" w:hAnsi="Times New Roman" w:eastAsia="宋体" w:cs="Times New Roman"/>
                <w:color w:val="auto"/>
                <w:sz w:val="24"/>
                <w:szCs w:val="24"/>
                <w:highlight w:val="none"/>
              </w:rPr>
              <w:t>声源到靠近围护结构某点处的距离，m。</w:t>
            </w:r>
          </w:p>
          <w:p w14:paraId="54EC2B30">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sz w:val="24"/>
                <w:szCs w:val="24"/>
                <w:highlight w:val="none"/>
              </w:rPr>
              <w:t>②计算出所有室内声源在靠近围护结构处产生的</w:t>
            </w:r>
            <w:r>
              <w:rPr>
                <w:rFonts w:hint="eastAsia" w:ascii="Times New Roman" w:hAnsi="Times New Roman" w:eastAsia="宋体" w:cs="Times New Roman"/>
                <w:color w:val="auto"/>
                <w:sz w:val="24"/>
                <w:szCs w:val="24"/>
                <w:highlight w:val="none"/>
                <w:lang w:val="en-US" w:eastAsia="zh-CN"/>
              </w:rPr>
              <w:t>叠加</w:t>
            </w:r>
            <w:r>
              <w:rPr>
                <w:rFonts w:hint="default" w:ascii="Times New Roman" w:hAnsi="Times New Roman" w:eastAsia="宋体" w:cs="Times New Roman"/>
                <w:color w:val="auto"/>
                <w:sz w:val="24"/>
                <w:szCs w:val="24"/>
                <w:highlight w:val="none"/>
              </w:rPr>
              <w:t>声压级：</w:t>
            </w:r>
          </w:p>
          <w:p w14:paraId="3F1BD081">
            <w:pPr>
              <w:widowControl/>
              <w:spacing w:line="360" w:lineRule="auto"/>
              <w:ind w:firstLine="480" w:firstLineChars="200"/>
              <w:jc w:val="center"/>
              <w:rPr>
                <w:rFonts w:hint="default"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position w:val="-32"/>
                <w:sz w:val="24"/>
                <w:highlight w:val="none"/>
                <w:lang w:eastAsia="zh-CN" w:bidi="ar"/>
              </w:rPr>
              <w:object>
                <v:shape id="_x0000_i1027" o:spt="75" type="#_x0000_t75" style="height:38pt;width:126pt;" o:ole="t" filled="f" o:preferrelative="t" stroked="f" coordsize="21600,21600">
                  <v:path/>
                  <v:fill on="f" focussize="0,0"/>
                  <v:stroke on="f"/>
                  <v:imagedata r:id="rId25" o:title=""/>
                  <o:lock v:ext="edit" aspectratio="t"/>
                  <w10:wrap type="none"/>
                  <w10:anchorlock/>
                </v:shape>
                <o:OLEObject Type="Embed" ProgID="Equation.KSEE3" ShapeID="_x0000_i1027" DrawAspect="Content" ObjectID="_1468075727" r:id="rId24">
                  <o:LockedField>false</o:LockedField>
                </o:OLEObject>
              </w:object>
            </w:r>
          </w:p>
          <w:p w14:paraId="64B48D68">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eastAsia" w:eastAsia="宋体" w:cs="Times New Roman"/>
                <w:color w:val="auto"/>
                <w:kern w:val="0"/>
                <w:sz w:val="24"/>
                <w:highlight w:val="none"/>
                <w:lang w:val="en-US" w:eastAsia="zh-CN" w:bidi="ar"/>
              </w:rPr>
              <w:t>式中：</w:t>
            </w:r>
            <w:r>
              <w:rPr>
                <w:rFonts w:hint="default" w:ascii="Times New Roman" w:hAnsi="Times New Roman" w:eastAsia="宋体" w:cs="Times New Roman"/>
                <w:color w:val="auto"/>
                <w:kern w:val="0"/>
                <w:sz w:val="24"/>
                <w:highlight w:val="none"/>
                <w:lang w:bidi="ar"/>
              </w:rPr>
              <w:t>L</w:t>
            </w:r>
            <w:r>
              <w:rPr>
                <w:rFonts w:hint="default" w:ascii="Times New Roman" w:hAnsi="Times New Roman" w:eastAsia="宋体" w:cs="Times New Roman"/>
                <w:color w:val="auto"/>
                <w:kern w:val="0"/>
                <w:sz w:val="24"/>
                <w:highlight w:val="none"/>
                <w:vertAlign w:val="subscript"/>
                <w:lang w:bidi="ar"/>
              </w:rPr>
              <w:t>p1</w:t>
            </w:r>
            <w:r>
              <w:rPr>
                <w:rFonts w:hint="default" w:ascii="Times New Roman" w:hAnsi="Times New Roman" w:eastAsia="宋体" w:cs="Times New Roman"/>
                <w:color w:val="auto"/>
                <w:kern w:val="0"/>
                <w:sz w:val="24"/>
                <w:highlight w:val="none"/>
                <w:lang w:bidi="ar"/>
              </w:rPr>
              <w:t>(T)</w:t>
            </w:r>
            <w:r>
              <w:rPr>
                <w:color w:val="auto"/>
                <w:highlight w:val="none"/>
              </w:rPr>
              <w:t>——</w:t>
            </w:r>
            <w:r>
              <w:rPr>
                <w:rFonts w:hint="default" w:ascii="Times New Roman" w:hAnsi="Times New Roman" w:eastAsia="宋体" w:cs="Times New Roman"/>
                <w:color w:val="auto"/>
                <w:kern w:val="0"/>
                <w:sz w:val="24"/>
                <w:highlight w:val="none"/>
                <w:lang w:bidi="ar"/>
              </w:rPr>
              <w:t>靠近围护结构处室内N个声源的叠加声压级，dB(A)；</w:t>
            </w:r>
          </w:p>
          <w:p w14:paraId="50855132">
            <w:pPr>
              <w:widowControl/>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pl</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vertAlign w:val="subscript"/>
              </w:rPr>
              <w:t>j</w:t>
            </w:r>
            <w:r>
              <w:rPr>
                <w:color w:val="auto"/>
                <w:highlight w:val="none"/>
              </w:rPr>
              <w:t>——</w:t>
            </w:r>
            <w:r>
              <w:rPr>
                <w:rFonts w:hint="default" w:ascii="Times New Roman" w:hAnsi="Times New Roman" w:eastAsia="宋体" w:cs="Times New Roman"/>
                <w:color w:val="auto"/>
                <w:sz w:val="24"/>
                <w:szCs w:val="24"/>
                <w:highlight w:val="none"/>
              </w:rPr>
              <w:t>j声源的声压级，dB(A)；</w:t>
            </w:r>
          </w:p>
          <w:p w14:paraId="38C45F94">
            <w:pPr>
              <w:widowControl/>
              <w:spacing w:line="360" w:lineRule="auto"/>
              <w:ind w:firstLine="1200" w:firstLineChars="500"/>
              <w:jc w:val="left"/>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sz w:val="24"/>
                <w:szCs w:val="24"/>
                <w:highlight w:val="none"/>
              </w:rPr>
              <w:t>N</w:t>
            </w:r>
            <w:r>
              <w:rPr>
                <w:color w:val="auto"/>
                <w:highlight w:val="none"/>
              </w:rPr>
              <w:t>——</w:t>
            </w:r>
            <w:r>
              <w:rPr>
                <w:rFonts w:hint="default" w:ascii="Times New Roman" w:hAnsi="Times New Roman" w:eastAsia="宋体" w:cs="Times New Roman"/>
                <w:color w:val="auto"/>
                <w:sz w:val="24"/>
                <w:szCs w:val="24"/>
                <w:highlight w:val="none"/>
              </w:rPr>
              <w:t>室内声源总数</w:t>
            </w:r>
            <w:r>
              <w:rPr>
                <w:rFonts w:hint="default" w:ascii="Times New Roman" w:hAnsi="Times New Roman" w:eastAsia="宋体" w:cs="Times New Roman"/>
                <w:color w:val="auto"/>
                <w:sz w:val="24"/>
                <w:szCs w:val="24"/>
                <w:highlight w:val="none"/>
                <w:lang w:eastAsia="zh-CN"/>
              </w:rPr>
              <w:t>。</w:t>
            </w:r>
          </w:p>
          <w:p w14:paraId="1BDA0BC4">
            <w:pPr>
              <w:bidi w:val="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w:t>
            </w:r>
            <w:r>
              <w:rPr>
                <w:rFonts w:hint="eastAsia" w:ascii="Times New Roman" w:eastAsia="宋体" w:cs="Times New Roman"/>
                <w:color w:val="auto"/>
                <w:sz w:val="24"/>
                <w:highlight w:val="none"/>
                <w:shd w:val="clear" w:color="auto" w:fill="auto"/>
                <w:lang w:val="en-US" w:eastAsia="zh-CN"/>
              </w:rPr>
              <w:t>3</w:t>
            </w:r>
            <w:r>
              <w:rPr>
                <w:rFonts w:hint="default" w:ascii="Times New Roman" w:hAnsi="Times New Roman" w:eastAsia="宋体" w:cs="Times New Roman"/>
                <w:color w:val="auto"/>
                <w:sz w:val="24"/>
                <w:highlight w:val="none"/>
                <w:shd w:val="clear" w:color="auto" w:fill="auto"/>
              </w:rPr>
              <w:t>）预测结果与评价</w:t>
            </w:r>
          </w:p>
          <w:p w14:paraId="006FA893">
            <w:pPr>
              <w:spacing w:beforeLines="0" w:afterLines="0"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由于</w:t>
            </w:r>
            <w:r>
              <w:rPr>
                <w:rFonts w:hint="eastAsia" w:cs="Times New Roman"/>
                <w:color w:val="auto"/>
                <w:sz w:val="24"/>
                <w:highlight w:val="none"/>
                <w:shd w:val="clear" w:color="auto" w:fill="auto"/>
                <w:lang w:val="en-US" w:eastAsia="zh-CN"/>
              </w:rPr>
              <w:t>厂区仅白天</w:t>
            </w:r>
            <w:r>
              <w:rPr>
                <w:rFonts w:hint="eastAsia" w:ascii="Times New Roman" w:eastAsia="宋体" w:cs="Times New Roman"/>
                <w:color w:val="auto"/>
                <w:sz w:val="24"/>
                <w:highlight w:val="none"/>
                <w:shd w:val="clear" w:color="auto" w:fill="auto"/>
                <w:lang w:eastAsia="zh-CN"/>
              </w:rPr>
              <w:t>运行</w:t>
            </w:r>
            <w:r>
              <w:rPr>
                <w:rFonts w:hint="eastAsia" w:cs="Times New Roman"/>
                <w:color w:val="auto"/>
                <w:sz w:val="24"/>
                <w:highlight w:val="none"/>
                <w:shd w:val="clear" w:color="auto" w:fill="auto"/>
                <w:lang w:val="en-US" w:eastAsia="zh-CN"/>
              </w:rPr>
              <w:t>8h</w:t>
            </w:r>
            <w:r>
              <w:rPr>
                <w:rFonts w:hint="default" w:ascii="Times New Roman" w:hAnsi="Times New Roman" w:eastAsia="宋体" w:cs="Times New Roman"/>
                <w:color w:val="auto"/>
                <w:sz w:val="24"/>
                <w:highlight w:val="none"/>
                <w:shd w:val="clear" w:color="auto" w:fill="auto"/>
              </w:rPr>
              <w:t>，故采用上述噪声预测模式对厂界昼间噪声进行预测评价。项目具体预测结果见</w:t>
            </w:r>
            <w:r>
              <w:rPr>
                <w:rFonts w:hint="eastAsia" w:cs="Times New Roman"/>
                <w:color w:val="auto"/>
                <w:sz w:val="24"/>
                <w:highlight w:val="none"/>
                <w:shd w:val="clear" w:color="auto" w:fill="auto"/>
                <w:lang w:val="en-US" w:eastAsia="zh-CN"/>
              </w:rPr>
              <w:t>下表</w:t>
            </w:r>
            <w:r>
              <w:rPr>
                <w:rFonts w:hint="default" w:ascii="Times New Roman" w:hAnsi="Times New Roman" w:eastAsia="宋体" w:cs="Times New Roman"/>
                <w:color w:val="auto"/>
                <w:sz w:val="24"/>
                <w:highlight w:val="none"/>
                <w:shd w:val="clear" w:color="auto" w:fill="auto"/>
              </w:rPr>
              <w:t>。</w:t>
            </w:r>
          </w:p>
          <w:p w14:paraId="01572EFE">
            <w:pPr>
              <w:pStyle w:val="58"/>
              <w:bidi w:val="0"/>
              <w:rPr>
                <w:rFonts w:hint="default"/>
                <w:color w:val="auto"/>
                <w:highlight w:val="none"/>
                <w:lang w:eastAsia="zh-CN"/>
              </w:rPr>
            </w:pPr>
            <w:r>
              <w:rPr>
                <w:rFonts w:hint="default"/>
                <w:color w:val="auto"/>
                <w:highlight w:val="none"/>
                <w:lang w:eastAsia="zh-CN"/>
              </w:rPr>
              <w:t>表</w:t>
            </w:r>
            <w:r>
              <w:rPr>
                <w:rFonts w:hint="eastAsia"/>
                <w:color w:val="auto"/>
                <w:highlight w:val="none"/>
                <w:lang w:val="en-US" w:eastAsia="zh-CN"/>
              </w:rPr>
              <w:t xml:space="preserve">4-11   </w:t>
            </w:r>
            <w:r>
              <w:rPr>
                <w:rFonts w:hint="default"/>
                <w:color w:val="auto"/>
                <w:highlight w:val="none"/>
                <w:lang w:eastAsia="zh-CN"/>
              </w:rPr>
              <w:t xml:space="preserve"> </w:t>
            </w:r>
            <w:r>
              <w:rPr>
                <w:rFonts w:hint="default"/>
                <w:color w:val="auto"/>
                <w:highlight w:val="none"/>
                <w:lang w:val="en-US" w:eastAsia="zh-CN"/>
              </w:rPr>
              <w:t xml:space="preserve"> </w:t>
            </w:r>
            <w:r>
              <w:rPr>
                <w:rFonts w:hint="default"/>
                <w:color w:val="auto"/>
                <w:highlight w:val="none"/>
                <w:lang w:eastAsia="zh-CN"/>
              </w:rPr>
              <w:t xml:space="preserve">项目各厂界噪声预测值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571"/>
              <w:gridCol w:w="1513"/>
              <w:gridCol w:w="1582"/>
              <w:gridCol w:w="634"/>
              <w:gridCol w:w="1734"/>
            </w:tblGrid>
            <w:tr w14:paraId="676F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2" w:type="pct"/>
                  <w:vAlign w:val="center"/>
                </w:tcPr>
                <w:p w14:paraId="67301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988" w:type="pct"/>
                  <w:vAlign w:val="center"/>
                </w:tcPr>
                <w:p w14:paraId="507D8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952" w:type="pct"/>
                  <w:vAlign w:val="center"/>
                </w:tcPr>
                <w:p w14:paraId="4B3160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贡献值/dB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394" w:type="pct"/>
                  <w:gridSpan w:val="2"/>
                  <w:vAlign w:val="center"/>
                </w:tcPr>
                <w:p w14:paraId="0820F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标准限值/dB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091" w:type="pct"/>
                  <w:vAlign w:val="center"/>
                </w:tcPr>
                <w:p w14:paraId="7FA76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达标情况</w:t>
                  </w:r>
                </w:p>
              </w:tc>
            </w:tr>
            <w:tr w14:paraId="50B5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2" w:type="pct"/>
                  <w:vAlign w:val="center"/>
                </w:tcPr>
                <w:p w14:paraId="7095B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88" w:type="pct"/>
                  <w:vAlign w:val="center"/>
                </w:tcPr>
                <w:p w14:paraId="4132E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厂界东侧</w:t>
                  </w:r>
                </w:p>
              </w:tc>
              <w:tc>
                <w:tcPr>
                  <w:tcW w:w="952" w:type="pct"/>
                  <w:shd w:val="clear" w:color="auto" w:fill="auto"/>
                  <w:vAlign w:val="center"/>
                </w:tcPr>
                <w:p w14:paraId="2126C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995" w:type="pct"/>
                  <w:vAlign w:val="center"/>
                </w:tcPr>
                <w:p w14:paraId="04C5B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399" w:type="pct"/>
                  <w:vAlign w:val="center"/>
                </w:tcPr>
                <w:p w14:paraId="04EE4B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5</w:t>
                  </w:r>
                </w:p>
              </w:tc>
              <w:tc>
                <w:tcPr>
                  <w:tcW w:w="1091" w:type="pct"/>
                  <w:vAlign w:val="center"/>
                </w:tcPr>
                <w:p w14:paraId="03BA1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0ED4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2" w:type="pct"/>
                  <w:vAlign w:val="center"/>
                </w:tcPr>
                <w:p w14:paraId="0BA2C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88" w:type="pct"/>
                  <w:vAlign w:val="center"/>
                </w:tcPr>
                <w:p w14:paraId="48DC5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厂界南侧</w:t>
                  </w:r>
                </w:p>
              </w:tc>
              <w:tc>
                <w:tcPr>
                  <w:tcW w:w="952" w:type="pct"/>
                  <w:shd w:val="clear" w:color="auto" w:fill="auto"/>
                  <w:vAlign w:val="center"/>
                </w:tcPr>
                <w:p w14:paraId="15EF91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995" w:type="pct"/>
                  <w:vAlign w:val="center"/>
                </w:tcPr>
                <w:p w14:paraId="59215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399" w:type="pct"/>
                  <w:vAlign w:val="center"/>
                </w:tcPr>
                <w:p w14:paraId="61C52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5</w:t>
                  </w:r>
                </w:p>
              </w:tc>
              <w:tc>
                <w:tcPr>
                  <w:tcW w:w="1091" w:type="pct"/>
                  <w:vAlign w:val="center"/>
                </w:tcPr>
                <w:p w14:paraId="10822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76E6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2" w:type="pct"/>
                  <w:vAlign w:val="center"/>
                </w:tcPr>
                <w:p w14:paraId="6083B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88" w:type="pct"/>
                  <w:vAlign w:val="center"/>
                </w:tcPr>
                <w:p w14:paraId="79845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厂界西侧</w:t>
                  </w:r>
                </w:p>
              </w:tc>
              <w:tc>
                <w:tcPr>
                  <w:tcW w:w="952" w:type="pct"/>
                  <w:shd w:val="clear" w:color="auto" w:fill="auto"/>
                  <w:vAlign w:val="center"/>
                </w:tcPr>
                <w:p w14:paraId="2D665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995" w:type="pct"/>
                  <w:vAlign w:val="center"/>
                </w:tcPr>
                <w:p w14:paraId="2F9DA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399" w:type="pct"/>
                  <w:vAlign w:val="center"/>
                </w:tcPr>
                <w:p w14:paraId="78F2D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5</w:t>
                  </w:r>
                </w:p>
              </w:tc>
              <w:tc>
                <w:tcPr>
                  <w:tcW w:w="1091" w:type="pct"/>
                  <w:vAlign w:val="center"/>
                </w:tcPr>
                <w:p w14:paraId="11926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280D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2" w:type="pct"/>
                  <w:vAlign w:val="center"/>
                </w:tcPr>
                <w:p w14:paraId="03B72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988" w:type="pct"/>
                  <w:vAlign w:val="center"/>
                </w:tcPr>
                <w:p w14:paraId="712FA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厂界北侧</w:t>
                  </w:r>
                </w:p>
              </w:tc>
              <w:tc>
                <w:tcPr>
                  <w:tcW w:w="952" w:type="pct"/>
                  <w:shd w:val="clear" w:color="auto" w:fill="auto"/>
                  <w:vAlign w:val="center"/>
                </w:tcPr>
                <w:p w14:paraId="105EC4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w:t>
                  </w:r>
                </w:p>
              </w:tc>
              <w:tc>
                <w:tcPr>
                  <w:tcW w:w="995" w:type="pct"/>
                  <w:vAlign w:val="center"/>
                </w:tcPr>
                <w:p w14:paraId="5816D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399" w:type="pct"/>
                  <w:vAlign w:val="center"/>
                </w:tcPr>
                <w:p w14:paraId="7ED496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5</w:t>
                  </w:r>
                </w:p>
              </w:tc>
              <w:tc>
                <w:tcPr>
                  <w:tcW w:w="1091" w:type="pct"/>
                  <w:vAlign w:val="center"/>
                </w:tcPr>
                <w:p w14:paraId="33665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bl>
          <w:p w14:paraId="3F55A1DF">
            <w:pPr>
              <w:pStyle w:val="53"/>
              <w:rPr>
                <w:rFonts w:hint="default"/>
                <w:color w:val="auto"/>
                <w:lang w:eastAsia="zh-CN"/>
              </w:rPr>
            </w:pPr>
          </w:p>
          <w:p w14:paraId="6E63CB20">
            <w:pPr>
              <w:bidi w:val="0"/>
              <w:rPr>
                <w:rFonts w:hint="default"/>
                <w:color w:val="auto"/>
                <w:highlight w:val="none"/>
              </w:rPr>
            </w:pPr>
            <w:r>
              <w:rPr>
                <w:rFonts w:hint="default"/>
                <w:color w:val="auto"/>
                <w:highlight w:val="none"/>
              </w:rPr>
              <w:t>经预测，</w:t>
            </w:r>
            <w:r>
              <w:rPr>
                <w:rFonts w:hint="eastAsia"/>
                <w:color w:val="auto"/>
                <w:highlight w:val="none"/>
                <w:lang w:eastAsia="zh-CN"/>
              </w:rPr>
              <w:t>各</w:t>
            </w:r>
            <w:r>
              <w:rPr>
                <w:rFonts w:hint="default"/>
                <w:color w:val="auto"/>
                <w:highlight w:val="none"/>
              </w:rPr>
              <w:t>厂界噪声</w:t>
            </w:r>
            <w:r>
              <w:rPr>
                <w:rFonts w:hint="eastAsia"/>
                <w:color w:val="auto"/>
                <w:highlight w:val="none"/>
                <w:lang w:val="en-US" w:eastAsia="zh-CN"/>
              </w:rPr>
              <w:t>贡献</w:t>
            </w:r>
            <w:r>
              <w:rPr>
                <w:rFonts w:hint="eastAsia"/>
                <w:color w:val="auto"/>
                <w:highlight w:val="none"/>
                <w:lang w:eastAsia="zh-CN"/>
              </w:rPr>
              <w:t>值</w:t>
            </w:r>
            <w:r>
              <w:rPr>
                <w:rFonts w:hint="default"/>
                <w:color w:val="auto"/>
                <w:highlight w:val="none"/>
              </w:rPr>
              <w:t>满足《工业企业厂界环境噪声排放标准》（GB12348</w:t>
            </w:r>
            <w:r>
              <w:rPr>
                <w:rFonts w:hint="default"/>
                <w:color w:val="auto"/>
                <w:highlight w:val="none"/>
                <w:lang w:val="en-US" w:eastAsia="zh-CN"/>
              </w:rPr>
              <w:t xml:space="preserve"> </w:t>
            </w:r>
            <w:r>
              <w:rPr>
                <w:rFonts w:hint="default"/>
                <w:color w:val="auto"/>
                <w:highlight w:val="none"/>
              </w:rPr>
              <w:t>-2008）</w:t>
            </w:r>
            <w:r>
              <w:rPr>
                <w:rFonts w:hint="eastAsia"/>
                <w:color w:val="auto"/>
                <w:highlight w:val="none"/>
                <w:lang w:val="en-US" w:eastAsia="zh-CN"/>
              </w:rPr>
              <w:t>3</w:t>
            </w:r>
            <w:r>
              <w:rPr>
                <w:rFonts w:hint="default"/>
                <w:color w:val="auto"/>
                <w:highlight w:val="none"/>
              </w:rPr>
              <w:t>类标准限值</w:t>
            </w:r>
            <w:r>
              <w:rPr>
                <w:rFonts w:hint="eastAsia"/>
                <w:color w:val="auto"/>
                <w:highlight w:val="none"/>
                <w:lang w:eastAsia="zh-CN"/>
              </w:rPr>
              <w:t>，</w:t>
            </w:r>
            <w:r>
              <w:rPr>
                <w:rFonts w:hint="default"/>
                <w:color w:val="auto"/>
                <w:highlight w:val="none"/>
              </w:rPr>
              <w:t>项目产生的噪声对周围环境影响</w:t>
            </w:r>
            <w:r>
              <w:rPr>
                <w:rFonts w:hint="default"/>
                <w:color w:val="auto"/>
                <w:highlight w:val="none"/>
                <w:lang w:eastAsia="zh-CN"/>
              </w:rPr>
              <w:t>较小</w:t>
            </w:r>
            <w:r>
              <w:rPr>
                <w:rFonts w:hint="default"/>
                <w:color w:val="auto"/>
                <w:highlight w:val="none"/>
              </w:rPr>
              <w:t>。</w:t>
            </w:r>
          </w:p>
          <w:p w14:paraId="124C443D">
            <w:pPr>
              <w:bidi w:val="0"/>
              <w:rPr>
                <w:rFonts w:hint="default"/>
                <w:color w:val="auto"/>
                <w:highlight w:val="none"/>
                <w:lang w:val="en-US" w:eastAsia="zh-CN"/>
              </w:rPr>
            </w:pPr>
            <w:r>
              <w:rPr>
                <w:rFonts w:hint="eastAsia"/>
                <w:color w:val="auto"/>
                <w:highlight w:val="none"/>
                <w:lang w:val="en-US" w:eastAsia="zh-CN"/>
              </w:rPr>
              <w:t>（4）环境监测计划</w:t>
            </w:r>
          </w:p>
          <w:p w14:paraId="4FFB1EE9">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textAlignment w:val="auto"/>
              <w:rPr>
                <w:rFonts w:hint="default"/>
                <w:color w:val="auto"/>
                <w:highlight w:val="none"/>
                <w:lang w:eastAsia="zh-CN"/>
              </w:rPr>
            </w:pPr>
            <w:r>
              <w:rPr>
                <w:rFonts w:hint="default" w:ascii="Times New Roman" w:hAnsi="Times New Roman" w:eastAsia="宋体" w:cs="Times New Roman"/>
                <w:color w:val="auto"/>
                <w:highlight w:val="none"/>
              </w:rPr>
              <w:t>按照《排污单位自行监测技术指南 总则》（HJ819-2017）中的监测要求，投产后本项目噪声例行监测计划内容如下</w:t>
            </w:r>
            <w:r>
              <w:rPr>
                <w:rFonts w:hint="eastAsia" w:cs="Times New Roman"/>
                <w:color w:val="auto"/>
                <w:highlight w:val="none"/>
                <w:lang w:eastAsia="zh-CN"/>
              </w:rPr>
              <w:t>：</w:t>
            </w:r>
          </w:p>
          <w:p w14:paraId="435A1E07">
            <w:pPr>
              <w:pStyle w:val="58"/>
              <w:bidi w:val="0"/>
              <w:rPr>
                <w:rFonts w:hint="default" w:ascii="Times New Roman" w:hAnsi="Times New Roman" w:eastAsia="宋体" w:cs="Times New Roman"/>
                <w:b/>
                <w:bCs/>
                <w:snapToGrid w:val="0"/>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表4-</w:t>
            </w:r>
            <w:r>
              <w:rPr>
                <w:rFonts w:hint="eastAsia" w:ascii="Times New Roman" w:hAnsi="Times New Roman" w:eastAsia="宋体" w:cs="Times New Roman"/>
                <w:b/>
                <w:bCs/>
                <w:color w:val="auto"/>
                <w:sz w:val="24"/>
                <w:szCs w:val="22"/>
                <w:highlight w:val="none"/>
                <w:lang w:val="en-US" w:eastAsia="zh-CN"/>
              </w:rPr>
              <w:t>1</w:t>
            </w:r>
            <w:r>
              <w:rPr>
                <w:rFonts w:hint="eastAsia" w:cs="Times New Roman"/>
                <w:b/>
                <w:bCs/>
                <w:color w:val="auto"/>
                <w:sz w:val="24"/>
                <w:szCs w:val="22"/>
                <w:highlight w:val="none"/>
                <w:lang w:val="en-US" w:eastAsia="zh-CN"/>
              </w:rPr>
              <w:t>3</w:t>
            </w:r>
            <w:r>
              <w:rPr>
                <w:rFonts w:hint="default" w:ascii="Times New Roman" w:hAnsi="Times New Roman" w:eastAsia="宋体" w:cs="Times New Roman"/>
                <w:b/>
                <w:bCs/>
                <w:color w:val="auto"/>
                <w:sz w:val="24"/>
                <w:szCs w:val="22"/>
                <w:highlight w:val="none"/>
                <w:lang w:val="en-US" w:eastAsia="zh-CN"/>
              </w:rPr>
              <w:t xml:space="preserve"> </w:t>
            </w:r>
            <w:r>
              <w:rPr>
                <w:rFonts w:hint="eastAsia"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lang w:val="en-US" w:eastAsia="zh-CN"/>
              </w:rPr>
              <w:t xml:space="preserve"> 噪声监测计划表</w:t>
            </w:r>
          </w:p>
          <w:tbl>
            <w:tblPr>
              <w:tblStyle w:val="3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182"/>
              <w:gridCol w:w="945"/>
              <w:gridCol w:w="1191"/>
              <w:gridCol w:w="956"/>
              <w:gridCol w:w="1069"/>
              <w:gridCol w:w="2593"/>
            </w:tblGrid>
            <w:tr w14:paraId="51DB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744" w:type="pct"/>
                  <w:tcBorders>
                    <w:tl2br w:val="nil"/>
                    <w:tr2bl w:val="nil"/>
                  </w:tcBorders>
                  <w:noWrap w:val="0"/>
                  <w:vAlign w:val="center"/>
                </w:tcPr>
                <w:p w14:paraId="4289C4C5">
                  <w:pPr>
                    <w:pStyle w:val="53"/>
                    <w:bidi w:val="0"/>
                    <w:rPr>
                      <w:rFonts w:hint="default"/>
                      <w:b/>
                      <w:bCs/>
                      <w:color w:val="auto"/>
                      <w:highlight w:val="none"/>
                      <w:lang w:eastAsia="zh-CN"/>
                    </w:rPr>
                  </w:pPr>
                  <w:r>
                    <w:rPr>
                      <w:rFonts w:hint="default"/>
                      <w:b/>
                      <w:bCs/>
                      <w:color w:val="auto"/>
                      <w:highlight w:val="none"/>
                    </w:rPr>
                    <w:t>污染</w:t>
                  </w:r>
                  <w:r>
                    <w:rPr>
                      <w:rFonts w:hint="default"/>
                      <w:b/>
                      <w:bCs/>
                      <w:color w:val="auto"/>
                      <w:highlight w:val="none"/>
                      <w:lang w:eastAsia="zh-CN"/>
                    </w:rPr>
                    <w:t>物种类</w:t>
                  </w:r>
                </w:p>
              </w:tc>
              <w:tc>
                <w:tcPr>
                  <w:tcW w:w="595" w:type="pct"/>
                  <w:tcBorders>
                    <w:tl2br w:val="nil"/>
                    <w:tr2bl w:val="nil"/>
                  </w:tcBorders>
                  <w:noWrap w:val="0"/>
                  <w:vAlign w:val="center"/>
                </w:tcPr>
                <w:p w14:paraId="509EF81D">
                  <w:pPr>
                    <w:pStyle w:val="53"/>
                    <w:bidi w:val="0"/>
                    <w:rPr>
                      <w:rFonts w:hint="default"/>
                      <w:b/>
                      <w:bCs/>
                      <w:color w:val="auto"/>
                      <w:highlight w:val="none"/>
                    </w:rPr>
                  </w:pPr>
                  <w:r>
                    <w:rPr>
                      <w:rFonts w:hint="default"/>
                      <w:b/>
                      <w:bCs/>
                      <w:color w:val="auto"/>
                      <w:highlight w:val="none"/>
                    </w:rPr>
                    <w:t>监测项目</w:t>
                  </w:r>
                </w:p>
              </w:tc>
              <w:tc>
                <w:tcPr>
                  <w:tcW w:w="750" w:type="pct"/>
                  <w:tcBorders>
                    <w:tl2br w:val="nil"/>
                    <w:tr2bl w:val="nil"/>
                  </w:tcBorders>
                  <w:noWrap w:val="0"/>
                  <w:vAlign w:val="center"/>
                </w:tcPr>
                <w:p w14:paraId="30B80DAA">
                  <w:pPr>
                    <w:pStyle w:val="53"/>
                    <w:bidi w:val="0"/>
                    <w:rPr>
                      <w:rFonts w:hint="default"/>
                      <w:b/>
                      <w:bCs/>
                      <w:color w:val="auto"/>
                      <w:highlight w:val="none"/>
                    </w:rPr>
                  </w:pPr>
                  <w:r>
                    <w:rPr>
                      <w:rFonts w:hint="default"/>
                      <w:b/>
                      <w:bCs/>
                      <w:color w:val="auto"/>
                      <w:highlight w:val="none"/>
                    </w:rPr>
                    <w:t>监测点位置</w:t>
                  </w:r>
                </w:p>
              </w:tc>
              <w:tc>
                <w:tcPr>
                  <w:tcW w:w="602" w:type="pct"/>
                  <w:tcBorders>
                    <w:tl2br w:val="nil"/>
                    <w:tr2bl w:val="nil"/>
                  </w:tcBorders>
                  <w:noWrap w:val="0"/>
                  <w:vAlign w:val="center"/>
                </w:tcPr>
                <w:p w14:paraId="16931946">
                  <w:pPr>
                    <w:pStyle w:val="53"/>
                    <w:bidi w:val="0"/>
                    <w:rPr>
                      <w:rFonts w:hint="default"/>
                      <w:b/>
                      <w:bCs/>
                      <w:color w:val="auto"/>
                      <w:highlight w:val="none"/>
                    </w:rPr>
                  </w:pPr>
                  <w:r>
                    <w:rPr>
                      <w:rFonts w:hint="default"/>
                      <w:b/>
                      <w:bCs/>
                      <w:color w:val="auto"/>
                      <w:highlight w:val="none"/>
                    </w:rPr>
                    <w:t>监测点数</w:t>
                  </w:r>
                </w:p>
              </w:tc>
              <w:tc>
                <w:tcPr>
                  <w:tcW w:w="673" w:type="pct"/>
                  <w:tcBorders>
                    <w:tl2br w:val="nil"/>
                    <w:tr2bl w:val="nil"/>
                  </w:tcBorders>
                  <w:noWrap w:val="0"/>
                  <w:vAlign w:val="center"/>
                </w:tcPr>
                <w:p w14:paraId="58888B51">
                  <w:pPr>
                    <w:pStyle w:val="53"/>
                    <w:bidi w:val="0"/>
                    <w:rPr>
                      <w:rFonts w:hint="default"/>
                      <w:b/>
                      <w:bCs/>
                      <w:color w:val="auto"/>
                      <w:highlight w:val="none"/>
                    </w:rPr>
                  </w:pPr>
                  <w:r>
                    <w:rPr>
                      <w:rFonts w:hint="default"/>
                      <w:b/>
                      <w:bCs/>
                      <w:color w:val="auto"/>
                      <w:highlight w:val="none"/>
                    </w:rPr>
                    <w:t>监测频率</w:t>
                  </w:r>
                </w:p>
              </w:tc>
              <w:tc>
                <w:tcPr>
                  <w:tcW w:w="1632" w:type="pct"/>
                  <w:tcBorders>
                    <w:tl2br w:val="nil"/>
                    <w:tr2bl w:val="nil"/>
                  </w:tcBorders>
                  <w:noWrap w:val="0"/>
                  <w:vAlign w:val="center"/>
                </w:tcPr>
                <w:p w14:paraId="2C2E8864">
                  <w:pPr>
                    <w:pStyle w:val="53"/>
                    <w:bidi w:val="0"/>
                    <w:rPr>
                      <w:rFonts w:hint="default"/>
                      <w:b/>
                      <w:bCs/>
                      <w:color w:val="auto"/>
                      <w:highlight w:val="none"/>
                    </w:rPr>
                  </w:pPr>
                  <w:r>
                    <w:rPr>
                      <w:rFonts w:hint="default"/>
                      <w:b/>
                      <w:bCs/>
                      <w:color w:val="auto"/>
                      <w:highlight w:val="none"/>
                      <w:lang w:eastAsia="zh-CN"/>
                    </w:rPr>
                    <w:t>执行标准</w:t>
                  </w:r>
                </w:p>
              </w:tc>
            </w:tr>
            <w:tr w14:paraId="0D60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60" w:hRule="atLeast"/>
                <w:jc w:val="center"/>
              </w:trPr>
              <w:tc>
                <w:tcPr>
                  <w:tcW w:w="744" w:type="pct"/>
                  <w:tcBorders>
                    <w:tl2br w:val="nil"/>
                    <w:tr2bl w:val="nil"/>
                  </w:tcBorders>
                  <w:noWrap w:val="0"/>
                  <w:vAlign w:val="center"/>
                </w:tcPr>
                <w:p w14:paraId="4C02F0DD">
                  <w:pPr>
                    <w:pStyle w:val="53"/>
                    <w:bidi w:val="0"/>
                    <w:rPr>
                      <w:rFonts w:hint="default"/>
                      <w:color w:val="auto"/>
                      <w:highlight w:val="none"/>
                    </w:rPr>
                  </w:pPr>
                  <w:r>
                    <w:rPr>
                      <w:rFonts w:hint="default"/>
                      <w:color w:val="auto"/>
                      <w:highlight w:val="none"/>
                    </w:rPr>
                    <w:t>厂界噪声</w:t>
                  </w:r>
                </w:p>
              </w:tc>
              <w:tc>
                <w:tcPr>
                  <w:tcW w:w="595" w:type="pct"/>
                  <w:tcBorders>
                    <w:tl2br w:val="nil"/>
                    <w:tr2bl w:val="nil"/>
                  </w:tcBorders>
                  <w:noWrap w:val="0"/>
                  <w:vAlign w:val="center"/>
                </w:tcPr>
                <w:p w14:paraId="4CCAC1DD">
                  <w:pPr>
                    <w:pStyle w:val="53"/>
                    <w:bidi w:val="0"/>
                    <w:rPr>
                      <w:rFonts w:hint="default"/>
                      <w:color w:val="auto"/>
                      <w:highlight w:val="none"/>
                    </w:rPr>
                  </w:pPr>
                  <w:r>
                    <w:rPr>
                      <w:rFonts w:hint="default"/>
                      <w:color w:val="auto"/>
                      <w:highlight w:val="none"/>
                    </w:rPr>
                    <w:t>Leq(A)</w:t>
                  </w:r>
                </w:p>
              </w:tc>
              <w:tc>
                <w:tcPr>
                  <w:tcW w:w="750" w:type="pct"/>
                  <w:tcBorders>
                    <w:tl2br w:val="nil"/>
                    <w:tr2bl w:val="nil"/>
                  </w:tcBorders>
                  <w:noWrap w:val="0"/>
                  <w:vAlign w:val="center"/>
                </w:tcPr>
                <w:p w14:paraId="1A984E56">
                  <w:pPr>
                    <w:pStyle w:val="53"/>
                    <w:bidi w:val="0"/>
                    <w:rPr>
                      <w:rFonts w:hint="default"/>
                      <w:color w:val="auto"/>
                      <w:highlight w:val="none"/>
                      <w:lang w:val="en-US" w:eastAsia="zh-CN"/>
                    </w:rPr>
                  </w:pPr>
                  <w:r>
                    <w:rPr>
                      <w:rFonts w:hint="default"/>
                      <w:color w:val="auto"/>
                      <w:highlight w:val="none"/>
                      <w:lang w:eastAsia="zh-CN"/>
                    </w:rPr>
                    <w:t>厂</w:t>
                  </w:r>
                  <w:r>
                    <w:rPr>
                      <w:rFonts w:hint="default"/>
                      <w:color w:val="auto"/>
                      <w:highlight w:val="none"/>
                    </w:rPr>
                    <w:t>界</w:t>
                  </w:r>
                  <w:r>
                    <w:rPr>
                      <w:rFonts w:hint="default"/>
                      <w:color w:val="auto"/>
                      <w:highlight w:val="none"/>
                      <w:lang w:eastAsia="zh-CN"/>
                    </w:rPr>
                    <w:t>外</w:t>
                  </w:r>
                  <w:r>
                    <w:rPr>
                      <w:rFonts w:hint="default"/>
                      <w:color w:val="auto"/>
                      <w:highlight w:val="none"/>
                      <w:lang w:val="en-US" w:eastAsia="zh-CN"/>
                    </w:rPr>
                    <w:t>1m</w:t>
                  </w:r>
                </w:p>
              </w:tc>
              <w:tc>
                <w:tcPr>
                  <w:tcW w:w="602" w:type="pct"/>
                  <w:tcBorders>
                    <w:tl2br w:val="nil"/>
                    <w:tr2bl w:val="nil"/>
                  </w:tcBorders>
                  <w:noWrap w:val="0"/>
                  <w:vAlign w:val="center"/>
                </w:tcPr>
                <w:p w14:paraId="580B3981">
                  <w:pPr>
                    <w:pStyle w:val="53"/>
                    <w:bidi w:val="0"/>
                    <w:rPr>
                      <w:rFonts w:hint="default"/>
                      <w:color w:val="auto"/>
                      <w:highlight w:val="none"/>
                    </w:rPr>
                  </w:pPr>
                  <w:r>
                    <w:rPr>
                      <w:rFonts w:hint="default"/>
                      <w:color w:val="auto"/>
                      <w:highlight w:val="none"/>
                    </w:rPr>
                    <w:t>4个</w:t>
                  </w:r>
                </w:p>
              </w:tc>
              <w:tc>
                <w:tcPr>
                  <w:tcW w:w="673" w:type="pct"/>
                  <w:tcBorders>
                    <w:tl2br w:val="nil"/>
                    <w:tr2bl w:val="nil"/>
                  </w:tcBorders>
                  <w:noWrap w:val="0"/>
                  <w:vAlign w:val="center"/>
                </w:tcPr>
                <w:p w14:paraId="36F1F1C9">
                  <w:pPr>
                    <w:pStyle w:val="53"/>
                    <w:bidi w:val="0"/>
                    <w:rPr>
                      <w:rFonts w:hint="default"/>
                      <w:color w:val="auto"/>
                      <w:highlight w:val="none"/>
                      <w:lang w:val="en-US" w:eastAsia="zh-CN"/>
                    </w:rPr>
                  </w:pPr>
                  <w:r>
                    <w:rPr>
                      <w:rFonts w:hint="default"/>
                      <w:color w:val="auto"/>
                      <w:highlight w:val="none"/>
                      <w:lang w:val="en-US" w:eastAsia="zh-CN"/>
                    </w:rPr>
                    <w:t>1次/</w:t>
                  </w:r>
                  <w:r>
                    <w:rPr>
                      <w:rFonts w:hint="eastAsia"/>
                      <w:color w:val="auto"/>
                      <w:highlight w:val="none"/>
                      <w:lang w:val="en-US" w:eastAsia="zh-CN"/>
                    </w:rPr>
                    <w:t>季度</w:t>
                  </w:r>
                </w:p>
              </w:tc>
              <w:tc>
                <w:tcPr>
                  <w:tcW w:w="1632" w:type="pct"/>
                  <w:tcBorders>
                    <w:tl2br w:val="nil"/>
                    <w:tr2bl w:val="nil"/>
                  </w:tcBorders>
                  <w:noWrap w:val="0"/>
                  <w:vAlign w:val="center"/>
                </w:tcPr>
                <w:p w14:paraId="4956B9C5">
                  <w:pPr>
                    <w:pStyle w:val="53"/>
                    <w:bidi w:val="0"/>
                    <w:rPr>
                      <w:rFonts w:hint="default"/>
                      <w:color w:val="auto"/>
                      <w:highlight w:val="none"/>
                      <w:lang w:val="en-US" w:eastAsia="zh-CN"/>
                    </w:rPr>
                  </w:pPr>
                  <w:r>
                    <w:rPr>
                      <w:rFonts w:hint="default"/>
                      <w:color w:val="auto"/>
                      <w:highlight w:val="none"/>
                    </w:rPr>
                    <w:t>《工业企业厂界噪声排放标准》（GB12348-2008）</w:t>
                  </w:r>
                  <w:r>
                    <w:rPr>
                      <w:rFonts w:hint="eastAsia"/>
                      <w:color w:val="auto"/>
                      <w:highlight w:val="none"/>
                      <w:lang w:val="en-US" w:eastAsia="zh-CN"/>
                    </w:rPr>
                    <w:t>3</w:t>
                  </w:r>
                  <w:r>
                    <w:rPr>
                      <w:rFonts w:hint="default"/>
                      <w:color w:val="auto"/>
                      <w:highlight w:val="none"/>
                    </w:rPr>
                    <w:t>类标准</w:t>
                  </w:r>
                </w:p>
              </w:tc>
            </w:tr>
          </w:tbl>
          <w:p w14:paraId="03D80980">
            <w:pPr>
              <w:numPr>
                <w:ilvl w:val="0"/>
                <w:numId w:val="11"/>
              </w:numPr>
              <w:bidi w:val="0"/>
              <w:rPr>
                <w:rFonts w:hint="eastAsia"/>
                <w:b/>
                <w:bCs/>
                <w:color w:val="auto"/>
                <w:highlight w:val="none"/>
                <w:lang w:val="en-US" w:eastAsia="zh-CN"/>
              </w:rPr>
            </w:pPr>
            <w:r>
              <w:rPr>
                <w:rFonts w:hint="eastAsia"/>
                <w:b/>
                <w:bCs/>
                <w:color w:val="auto"/>
                <w:highlight w:val="none"/>
                <w:lang w:val="en-US" w:eastAsia="zh-CN"/>
              </w:rPr>
              <w:t>运营期固体废弃物影响和保护措施</w:t>
            </w:r>
          </w:p>
          <w:p w14:paraId="1F1904D7">
            <w:pPr>
              <w:numPr>
                <w:ilvl w:val="0"/>
                <w:numId w:val="14"/>
              </w:numPr>
              <w:bidi w:val="0"/>
              <w:rPr>
                <w:rFonts w:hint="eastAsia"/>
                <w:color w:val="auto"/>
                <w:highlight w:val="none"/>
                <w:lang w:val="en-US" w:eastAsia="zh-CN"/>
              </w:rPr>
            </w:pPr>
            <w:r>
              <w:rPr>
                <w:rFonts w:hint="eastAsia"/>
                <w:color w:val="auto"/>
                <w:highlight w:val="none"/>
                <w:lang w:val="en-US" w:eastAsia="zh-CN"/>
              </w:rPr>
              <w:t>固体废弃物种类及产生量</w:t>
            </w:r>
          </w:p>
          <w:p w14:paraId="4A511EF7">
            <w:pPr>
              <w:bidi w:val="0"/>
              <w:rPr>
                <w:rFonts w:hint="default"/>
                <w:color w:val="auto"/>
                <w:sz w:val="24"/>
                <w:highlight w:val="none"/>
                <w:lang w:val="en-US" w:eastAsia="zh-CN"/>
              </w:rPr>
            </w:pPr>
            <w:r>
              <w:rPr>
                <w:color w:val="auto"/>
                <w:sz w:val="24"/>
                <w:highlight w:val="none"/>
              </w:rPr>
              <w:t>项目生产工序产生的固体废物主要</w:t>
            </w:r>
            <w:r>
              <w:rPr>
                <w:rFonts w:hint="default" w:ascii="Times New Roman" w:hAnsi="Times New Roman" w:cs="Times New Roman"/>
                <w:color w:val="auto"/>
                <w:sz w:val="24"/>
                <w:highlight w:val="none"/>
              </w:rPr>
              <w:t>分为一般固废和</w:t>
            </w:r>
            <w:r>
              <w:rPr>
                <w:rFonts w:hint="eastAsia" w:ascii="Times New Roman" w:hAnsi="Times New Roman" w:cs="Times New Roman"/>
                <w:color w:val="auto"/>
                <w:sz w:val="24"/>
                <w:highlight w:val="none"/>
                <w:lang w:val="en-US" w:eastAsia="zh-CN"/>
              </w:rPr>
              <w:t>危险废物，以及职工产生的生活垃圾。一般固体废物包含</w:t>
            </w:r>
            <w:r>
              <w:rPr>
                <w:rFonts w:hint="eastAsia"/>
                <w:color w:val="auto"/>
                <w:sz w:val="24"/>
                <w:highlight w:val="none"/>
                <w:lang w:val="en-US" w:eastAsia="zh-CN"/>
              </w:rPr>
              <w:t>切割下脚料、锻造废料、不合格品以及</w:t>
            </w:r>
            <w:r>
              <w:rPr>
                <w:color w:val="auto"/>
                <w:sz w:val="24"/>
                <w:highlight w:val="none"/>
              </w:rPr>
              <w:t>除尘器收集的除尘灰</w:t>
            </w:r>
            <w:r>
              <w:rPr>
                <w:rFonts w:hint="eastAsia"/>
                <w:color w:val="auto"/>
                <w:sz w:val="24"/>
                <w:highlight w:val="none"/>
                <w:lang w:eastAsia="zh-CN"/>
              </w:rPr>
              <w:t>。</w:t>
            </w:r>
            <w:r>
              <w:rPr>
                <w:rFonts w:hint="eastAsia"/>
                <w:color w:val="auto"/>
                <w:sz w:val="24"/>
                <w:highlight w:val="none"/>
                <w:lang w:val="en-US" w:eastAsia="zh-CN"/>
              </w:rPr>
              <w:t>危险废物包括废润滑油、废液压油、废磁粉液、废包装桶及废含油抹布及手套。</w:t>
            </w:r>
          </w:p>
          <w:p w14:paraId="764CEB7B">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1）生活垃圾</w:t>
            </w:r>
          </w:p>
          <w:p w14:paraId="732E086E">
            <w:pPr>
              <w:spacing w:line="360" w:lineRule="auto"/>
              <w:ind w:firstLine="480" w:firstLineChars="200"/>
              <w:rPr>
                <w:color w:val="auto"/>
                <w:sz w:val="24"/>
                <w:highlight w:val="none"/>
              </w:rPr>
            </w:pPr>
            <w:r>
              <w:rPr>
                <w:rFonts w:hint="eastAsia"/>
                <w:color w:val="auto"/>
                <w:sz w:val="24"/>
                <w:highlight w:val="none"/>
                <w:lang w:val="en-US" w:eastAsia="zh-CN"/>
              </w:rPr>
              <w:t>本项目劳动定员8</w:t>
            </w:r>
            <w:r>
              <w:rPr>
                <w:rFonts w:hint="eastAsia"/>
                <w:color w:val="auto"/>
                <w:sz w:val="24"/>
                <w:highlight w:val="none"/>
              </w:rPr>
              <w:t>0人</w:t>
            </w:r>
            <w:r>
              <w:rPr>
                <w:color w:val="auto"/>
                <w:sz w:val="24"/>
                <w:highlight w:val="none"/>
              </w:rPr>
              <w:t>，生活垃圾按每人每天产生0.5kg计算，则产生量为</w:t>
            </w:r>
            <w:r>
              <w:rPr>
                <w:rFonts w:hint="eastAsia"/>
                <w:color w:val="auto"/>
                <w:sz w:val="24"/>
                <w:highlight w:val="none"/>
                <w:lang w:val="en-US" w:eastAsia="zh-CN"/>
              </w:rPr>
              <w:t>0.04t/d（12</w:t>
            </w:r>
            <w:r>
              <w:rPr>
                <w:rFonts w:hint="eastAsia"/>
                <w:color w:val="auto"/>
                <w:sz w:val="24"/>
                <w:highlight w:val="none"/>
              </w:rPr>
              <w:t>t</w:t>
            </w:r>
            <w:r>
              <w:rPr>
                <w:color w:val="auto"/>
                <w:sz w:val="24"/>
                <w:highlight w:val="none"/>
              </w:rPr>
              <w:t>/a</w:t>
            </w:r>
            <w:r>
              <w:rPr>
                <w:rFonts w:hint="eastAsia"/>
                <w:color w:val="auto"/>
                <w:sz w:val="24"/>
                <w:highlight w:val="none"/>
                <w:lang w:val="en-US" w:eastAsia="zh-CN"/>
              </w:rPr>
              <w:t>）</w:t>
            </w:r>
            <w:r>
              <w:rPr>
                <w:color w:val="auto"/>
                <w:sz w:val="24"/>
                <w:highlight w:val="none"/>
              </w:rPr>
              <w:t>，</w:t>
            </w:r>
            <w:r>
              <w:rPr>
                <w:rFonts w:hint="eastAsia"/>
                <w:color w:val="auto"/>
                <w:sz w:val="24"/>
                <w:highlight w:val="none"/>
                <w:lang w:val="en-US" w:eastAsia="zh-CN"/>
              </w:rPr>
              <w:t>收集于</w:t>
            </w:r>
            <w:r>
              <w:rPr>
                <w:rFonts w:hint="eastAsia"/>
                <w:color w:val="auto"/>
                <w:sz w:val="24"/>
                <w:highlight w:val="none"/>
              </w:rPr>
              <w:t>厂区垃圾</w:t>
            </w:r>
            <w:r>
              <w:rPr>
                <w:rFonts w:hint="eastAsia"/>
                <w:color w:val="auto"/>
                <w:sz w:val="24"/>
                <w:highlight w:val="none"/>
                <w:lang w:val="en-US" w:eastAsia="zh-CN"/>
              </w:rPr>
              <w:t>桶，</w:t>
            </w:r>
            <w:r>
              <w:rPr>
                <w:rFonts w:hint="default" w:ascii="Times New Roman" w:hAnsi="Times New Roman" w:cs="Times New Roman"/>
                <w:bCs/>
                <w:color w:val="auto"/>
                <w:sz w:val="24"/>
                <w:szCs w:val="24"/>
                <w:highlight w:val="none"/>
              </w:rPr>
              <w:t>定期</w:t>
            </w:r>
            <w:r>
              <w:rPr>
                <w:rFonts w:hint="default" w:ascii="Times New Roman" w:hAnsi="Times New Roman" w:eastAsia="宋体" w:cs="Times New Roman"/>
                <w:color w:val="auto"/>
                <w:sz w:val="24"/>
                <w:highlight w:val="none"/>
                <w:lang w:eastAsia="zh-CN"/>
              </w:rPr>
              <w:t>由环卫部门进行定期清运处理。</w:t>
            </w:r>
          </w:p>
          <w:p w14:paraId="02022F23">
            <w:pPr>
              <w:numPr>
                <w:ilvl w:val="0"/>
                <w:numId w:val="15"/>
              </w:num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一般固体废物</w:t>
            </w:r>
          </w:p>
          <w:p w14:paraId="32F722ED">
            <w:pPr>
              <w:spacing w:line="360" w:lineRule="auto"/>
              <w:ind w:firstLine="480" w:firstLineChars="200"/>
              <w:rPr>
                <w:rFonts w:hint="default" w:eastAsia="宋体"/>
                <w:color w:val="auto"/>
                <w:sz w:val="24"/>
                <w:highlight w:val="none"/>
                <w:lang w:val="en-US" w:eastAsia="zh-CN"/>
              </w:rPr>
            </w:pPr>
            <w:r>
              <w:rPr>
                <w:rFonts w:hint="eastAsia"/>
                <w:color w:val="auto"/>
                <w:highlight w:val="none"/>
                <w:lang w:val="en-US" w:eastAsia="zh-CN"/>
              </w:rPr>
              <w:t>①</w:t>
            </w:r>
            <w:r>
              <w:rPr>
                <w:rFonts w:hint="eastAsia"/>
                <w:color w:val="auto"/>
                <w:sz w:val="24"/>
                <w:highlight w:val="none"/>
                <w:lang w:val="en-US" w:eastAsia="zh-CN"/>
              </w:rPr>
              <w:t>切割下脚料、锻造废料及不合格品</w:t>
            </w:r>
          </w:p>
          <w:p w14:paraId="7A845BF0">
            <w:pPr>
              <w:bidi w:val="0"/>
              <w:rPr>
                <w:color w:val="auto"/>
                <w:highlight w:val="none"/>
              </w:rPr>
            </w:pPr>
            <w:r>
              <w:rPr>
                <w:rFonts w:hint="eastAsia"/>
                <w:color w:val="auto"/>
                <w:highlight w:val="none"/>
                <w:lang w:val="en-US" w:eastAsia="zh-CN"/>
              </w:rPr>
              <w:t>项目生产过程中产生的切割下脚料及锻造废料约为15t/a，不合格产品产生量约为10</w:t>
            </w:r>
            <w:r>
              <w:rPr>
                <w:rFonts w:hint="default"/>
                <w:color w:val="auto"/>
                <w:highlight w:val="none"/>
                <w:lang w:val="en-US" w:eastAsia="zh-CN"/>
              </w:rPr>
              <w:t>t/a</w:t>
            </w:r>
            <w:r>
              <w:rPr>
                <w:rFonts w:hint="eastAsia"/>
                <w:color w:val="auto"/>
                <w:highlight w:val="none"/>
                <w:lang w:val="en-US" w:eastAsia="zh-CN"/>
              </w:rPr>
              <w:t>，全部集中收集后外售废品回收站。</w:t>
            </w:r>
          </w:p>
          <w:p w14:paraId="5A1966F3">
            <w:pPr>
              <w:bidi w:val="0"/>
              <w:rPr>
                <w:color w:val="auto"/>
                <w:sz w:val="24"/>
                <w:highlight w:val="none"/>
              </w:rPr>
            </w:pPr>
            <w:r>
              <w:rPr>
                <w:rFonts w:hint="eastAsia"/>
                <w:color w:val="auto"/>
                <w:highlight w:val="none"/>
                <w:lang w:val="en-US" w:eastAsia="zh-CN"/>
              </w:rPr>
              <w:t>②</w:t>
            </w:r>
            <w:r>
              <w:rPr>
                <w:color w:val="auto"/>
                <w:sz w:val="24"/>
                <w:highlight w:val="none"/>
              </w:rPr>
              <w:t>除尘灰</w:t>
            </w:r>
          </w:p>
          <w:p w14:paraId="417F0CD1">
            <w:pPr>
              <w:bidi w:val="0"/>
              <w:rPr>
                <w:rFonts w:hint="default"/>
                <w:color w:val="auto"/>
                <w:highlight w:val="none"/>
                <w:lang w:val="en-US" w:eastAsia="zh-CN"/>
              </w:rPr>
            </w:pPr>
            <w:r>
              <w:rPr>
                <w:rFonts w:hint="eastAsia"/>
                <w:color w:val="auto"/>
                <w:highlight w:val="none"/>
                <w:lang w:val="en-US" w:eastAsia="zh-CN"/>
              </w:rPr>
              <w:t>抛丸机打磨</w:t>
            </w:r>
            <w:r>
              <w:rPr>
                <w:color w:val="auto"/>
                <w:highlight w:val="none"/>
              </w:rPr>
              <w:t>所产生的粉尘</w:t>
            </w:r>
            <w:r>
              <w:rPr>
                <w:rFonts w:hint="eastAsia"/>
                <w:color w:val="auto"/>
                <w:highlight w:val="none"/>
              </w:rPr>
              <w:t>经</w:t>
            </w:r>
            <w:r>
              <w:rPr>
                <w:rFonts w:hint="eastAsia"/>
                <w:color w:val="auto"/>
                <w:highlight w:val="none"/>
                <w:lang w:val="en-US" w:eastAsia="zh-CN"/>
              </w:rPr>
              <w:t>除尘器收集的</w:t>
            </w:r>
            <w:r>
              <w:rPr>
                <w:rFonts w:hint="eastAsia"/>
                <w:color w:val="auto"/>
                <w:highlight w:val="none"/>
              </w:rPr>
              <w:t>粉尘量</w:t>
            </w:r>
            <w:r>
              <w:rPr>
                <w:color w:val="auto"/>
                <w:highlight w:val="none"/>
              </w:rPr>
              <w:t>为</w:t>
            </w:r>
            <w:r>
              <w:rPr>
                <w:rFonts w:hint="eastAsia"/>
                <w:color w:val="auto"/>
                <w:highlight w:val="none"/>
                <w:lang w:val="en-US" w:eastAsia="zh-CN"/>
              </w:rPr>
              <w:t>6.449t</w:t>
            </w:r>
            <w:r>
              <w:rPr>
                <w:color w:val="auto"/>
                <w:highlight w:val="none"/>
              </w:rPr>
              <w:t>/a，</w:t>
            </w:r>
            <w:bookmarkStart w:id="4" w:name="_Toc22567242"/>
            <w:r>
              <w:rPr>
                <w:rFonts w:hint="eastAsia"/>
                <w:color w:val="auto"/>
                <w:highlight w:val="none"/>
                <w:lang w:val="en-US" w:eastAsia="zh-CN"/>
              </w:rPr>
              <w:t>定期</w:t>
            </w:r>
            <w:r>
              <w:rPr>
                <w:rFonts w:hint="default"/>
                <w:color w:val="auto"/>
                <w:highlight w:val="none"/>
                <w:lang w:val="en-US" w:eastAsia="zh-CN"/>
              </w:rPr>
              <w:t>清理，集中收集</w:t>
            </w:r>
            <w:r>
              <w:rPr>
                <w:rFonts w:hint="eastAsia"/>
                <w:color w:val="auto"/>
                <w:highlight w:val="none"/>
                <w:lang w:val="en-US" w:eastAsia="zh-CN"/>
              </w:rPr>
              <w:t>后</w:t>
            </w:r>
            <w:r>
              <w:rPr>
                <w:rFonts w:hint="default"/>
                <w:color w:val="auto"/>
                <w:highlight w:val="none"/>
                <w:lang w:val="en-US" w:eastAsia="zh-CN"/>
              </w:rPr>
              <w:t>外售废品回收站</w:t>
            </w:r>
            <w:r>
              <w:rPr>
                <w:rFonts w:hint="eastAsia"/>
                <w:color w:val="auto"/>
                <w:highlight w:val="none"/>
                <w:lang w:val="en-US" w:eastAsia="zh-CN"/>
              </w:rPr>
              <w:t>。</w:t>
            </w:r>
          </w:p>
          <w:bookmarkEnd w:id="4"/>
          <w:p w14:paraId="11522B14">
            <w:pPr>
              <w:numPr>
                <w:ilvl w:val="0"/>
                <w:numId w:val="15"/>
              </w:numPr>
              <w:bidi w:val="0"/>
              <w:rPr>
                <w:color w:val="auto"/>
                <w:highlight w:val="none"/>
              </w:rPr>
            </w:pPr>
            <w:r>
              <w:rPr>
                <w:rFonts w:hint="eastAsia"/>
                <w:color w:val="auto"/>
                <w:highlight w:val="none"/>
                <w:lang w:val="en-US" w:eastAsia="zh-CN"/>
              </w:rPr>
              <w:t>危险废物</w:t>
            </w:r>
          </w:p>
          <w:p w14:paraId="1DBE01EB">
            <w:pPr>
              <w:bidi w:val="0"/>
              <w:rPr>
                <w:rFonts w:hint="eastAsia"/>
                <w:color w:val="auto"/>
                <w:highlight w:val="none"/>
                <w:lang w:val="en-US" w:eastAsia="zh-CN"/>
              </w:rPr>
            </w:pPr>
            <w:r>
              <w:rPr>
                <w:rFonts w:hint="eastAsia"/>
                <w:color w:val="auto"/>
                <w:highlight w:val="none"/>
                <w:lang w:val="en-US" w:eastAsia="zh-CN"/>
              </w:rPr>
              <w:t>①废润滑油</w:t>
            </w:r>
          </w:p>
          <w:p w14:paraId="3026B567">
            <w:pPr>
              <w:bidi w:val="0"/>
              <w:rPr>
                <w:rFonts w:hint="eastAsia"/>
                <w:color w:val="auto"/>
                <w:highlight w:val="none"/>
                <w:lang w:val="en-US" w:eastAsia="zh-CN"/>
              </w:rPr>
            </w:pPr>
            <w:r>
              <w:rPr>
                <w:rFonts w:hint="eastAsia"/>
                <w:color w:val="auto"/>
                <w:highlight w:val="none"/>
                <w:lang w:val="en-US" w:eastAsia="zh-CN"/>
              </w:rPr>
              <w:t>项目设备运行、维修检修过程中会产生少量废润滑油，根据建设单位提供资料，废润滑油产生量约0.2t/a，属于HW08类危险废物，废物代码为HW08-900-217-08。由专用容器收集后暂存于危废贮存点，定期交有资质单位处置。</w:t>
            </w:r>
          </w:p>
          <w:p w14:paraId="2A13763E">
            <w:pPr>
              <w:bidi w:val="0"/>
              <w:rPr>
                <w:rFonts w:hint="default" w:ascii="Times New Roman" w:hAnsi="Times New Roman" w:cs="Times New Roman"/>
                <w:color w:val="auto"/>
                <w:sz w:val="24"/>
                <w:szCs w:val="24"/>
                <w:highlight w:val="none"/>
                <w:lang w:val="en-US" w:eastAsia="zh-CN"/>
              </w:rPr>
            </w:pPr>
            <w:r>
              <w:rPr>
                <w:rFonts w:hint="eastAsia"/>
                <w:color w:val="auto"/>
                <w:highlight w:val="none"/>
                <w:lang w:val="en-US" w:eastAsia="zh-CN"/>
              </w:rPr>
              <w:t>②</w:t>
            </w:r>
            <w:r>
              <w:rPr>
                <w:rFonts w:hint="default" w:ascii="Times New Roman" w:hAnsi="Times New Roman" w:cs="Times New Roman"/>
                <w:color w:val="auto"/>
                <w:sz w:val="24"/>
                <w:szCs w:val="24"/>
                <w:highlight w:val="none"/>
                <w:lang w:val="en-US" w:eastAsia="zh-CN"/>
              </w:rPr>
              <w:t>废液压油</w:t>
            </w:r>
          </w:p>
          <w:p w14:paraId="4FFB24EF">
            <w:pPr>
              <w:bidi w:val="0"/>
              <w:rPr>
                <w:rFonts w:hint="default"/>
                <w:color w:val="auto"/>
                <w:highlight w:val="none"/>
                <w:lang w:val="en-US" w:eastAsia="zh-CN"/>
              </w:rPr>
            </w:pPr>
            <w:r>
              <w:rPr>
                <w:rFonts w:hint="eastAsia"/>
                <w:color w:val="auto"/>
                <w:highlight w:val="none"/>
                <w:lang w:val="en-US" w:eastAsia="zh-CN"/>
              </w:rPr>
              <w:t>项目运营期间，需定期对液压系统进行维护，更换液压油，在此过程中会产生少量废液压油，据建设单位提供资料，废润滑油产生量约0.4t/a，属于HW08类危险废物，废物代码为HW08-900-218-08。由专用容器收集后暂存于危废贮存点，定期交有资质单位处置。</w:t>
            </w:r>
          </w:p>
          <w:p w14:paraId="202F2527">
            <w:pPr>
              <w:bidi w:val="0"/>
              <w:rPr>
                <w:rFonts w:hint="eastAsia"/>
                <w:color w:val="auto"/>
                <w:highlight w:val="none"/>
                <w:lang w:val="en-US" w:eastAsia="zh-CN"/>
              </w:rPr>
            </w:pPr>
            <w:r>
              <w:rPr>
                <w:rFonts w:hint="eastAsia"/>
                <w:color w:val="auto"/>
                <w:highlight w:val="none"/>
                <w:lang w:val="en-US" w:eastAsia="zh-CN"/>
              </w:rPr>
              <w:t>③废包装桶</w:t>
            </w:r>
          </w:p>
          <w:p w14:paraId="2A989B33">
            <w:pPr>
              <w:bidi w:val="0"/>
              <w:rPr>
                <w:rFonts w:hint="default"/>
                <w:color w:val="auto"/>
                <w:highlight w:val="none"/>
                <w:lang w:val="en-US" w:eastAsia="zh-CN"/>
              </w:rPr>
            </w:pPr>
            <w:r>
              <w:rPr>
                <w:rFonts w:hint="eastAsia"/>
                <w:color w:val="auto"/>
                <w:highlight w:val="none"/>
                <w:lang w:val="en-US" w:eastAsia="zh-CN"/>
              </w:rPr>
              <w:t>项目使用的润滑油、淬火油等的包装桶，根据《国家危险废物名录》（2025年版）属于危废，废物代码为</w:t>
            </w:r>
            <w:r>
              <w:rPr>
                <w:rFonts w:hint="default"/>
                <w:color w:val="auto"/>
                <w:highlight w:val="none"/>
                <w:lang w:val="en-US" w:eastAsia="zh-CN"/>
              </w:rPr>
              <w:t>HW49-900-041-49</w:t>
            </w:r>
            <w:r>
              <w:rPr>
                <w:rFonts w:hint="eastAsia"/>
                <w:color w:val="auto"/>
                <w:highlight w:val="none"/>
                <w:lang w:val="en-US" w:eastAsia="zh-CN"/>
              </w:rPr>
              <w:t>，产生量约为0.1t/a。收集后暂存于危废贮存点，定期交有资质单位处置。</w:t>
            </w:r>
          </w:p>
          <w:p w14:paraId="3D216C53">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④废磁粉液</w:t>
            </w:r>
          </w:p>
          <w:p w14:paraId="77CA8BB8">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项目齿轮加工工序设置荧光磁粉探伤，采用水基磁悬液进行湿法探伤。探伤过程中，工件表面油污、铁屑等杂质进入磁悬液，导致磁悬液污染、灵敏度下降，需定期更换。更换排出的失效磁悬液即为废磁粉液，属于危险废物，废物代码为HW49- 900-047-49，产生量约为1.5t/a，</w:t>
            </w:r>
            <w:r>
              <w:rPr>
                <w:rFonts w:hint="eastAsia"/>
                <w:color w:val="auto"/>
                <w:highlight w:val="none"/>
                <w:lang w:val="en-US" w:eastAsia="zh-CN"/>
              </w:rPr>
              <w:t>收集后暂存于危废贮存点，定期交有资质单位处置</w:t>
            </w:r>
            <w:r>
              <w:rPr>
                <w:rFonts w:hint="eastAsia"/>
                <w:color w:val="auto"/>
                <w:sz w:val="24"/>
                <w:highlight w:val="none"/>
                <w:lang w:val="en-US" w:eastAsia="zh-CN"/>
              </w:rPr>
              <w:t>。</w:t>
            </w:r>
          </w:p>
          <w:p w14:paraId="04DCC0FC">
            <w:pPr>
              <w:spacing w:line="360" w:lineRule="auto"/>
              <w:ind w:firstLine="480" w:firstLineChars="200"/>
              <w:rPr>
                <w:color w:val="auto"/>
                <w:sz w:val="24"/>
                <w:highlight w:val="none"/>
              </w:rPr>
            </w:pPr>
            <w:r>
              <w:rPr>
                <w:rFonts w:hint="eastAsia"/>
                <w:color w:val="auto"/>
                <w:sz w:val="24"/>
                <w:highlight w:val="none"/>
                <w:lang w:val="en-US" w:eastAsia="zh-CN"/>
              </w:rPr>
              <w:t>⑤废含油抹布及手套</w:t>
            </w:r>
          </w:p>
          <w:p w14:paraId="10FE720F">
            <w:pPr>
              <w:bidi w:val="0"/>
              <w:rPr>
                <w:rFonts w:hint="default"/>
                <w:color w:val="auto"/>
                <w:highlight w:val="none"/>
                <w:lang w:val="en-US" w:eastAsia="zh-CN"/>
              </w:rPr>
            </w:pPr>
            <w:r>
              <w:rPr>
                <w:color w:val="auto"/>
                <w:sz w:val="24"/>
                <w:highlight w:val="none"/>
              </w:rPr>
              <w:t>项目</w:t>
            </w:r>
            <w:r>
              <w:rPr>
                <w:rFonts w:hint="eastAsia"/>
                <w:color w:val="auto"/>
                <w:sz w:val="24"/>
                <w:highlight w:val="none"/>
                <w:lang w:val="en-US" w:eastAsia="zh-CN"/>
              </w:rPr>
              <w:t>设备维修保养过程中</w:t>
            </w:r>
            <w:r>
              <w:rPr>
                <w:color w:val="auto"/>
                <w:sz w:val="24"/>
                <w:highlight w:val="none"/>
              </w:rPr>
              <w:t>产生</w:t>
            </w:r>
            <w:r>
              <w:rPr>
                <w:rFonts w:hint="eastAsia"/>
                <w:color w:val="auto"/>
                <w:sz w:val="24"/>
                <w:highlight w:val="none"/>
                <w:lang w:val="en-US" w:eastAsia="zh-CN"/>
              </w:rPr>
              <w:t>的废含油抹布及手套约为0.05</w:t>
            </w:r>
            <w:r>
              <w:rPr>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收集于厂区危废贮存点，定期</w:t>
            </w:r>
            <w:r>
              <w:rPr>
                <w:color w:val="auto"/>
                <w:sz w:val="24"/>
                <w:highlight w:val="none"/>
              </w:rPr>
              <w:t>交</w:t>
            </w:r>
            <w:r>
              <w:rPr>
                <w:rFonts w:hint="eastAsia"/>
                <w:color w:val="auto"/>
                <w:sz w:val="24"/>
                <w:highlight w:val="none"/>
                <w:lang w:val="en-US" w:eastAsia="zh-CN"/>
              </w:rPr>
              <w:t>由</w:t>
            </w:r>
            <w:r>
              <w:rPr>
                <w:color w:val="auto"/>
                <w:sz w:val="24"/>
                <w:highlight w:val="none"/>
              </w:rPr>
              <w:t>有资质单位处置。</w:t>
            </w:r>
          </w:p>
          <w:p w14:paraId="1B523BA5">
            <w:pPr>
              <w:adjustRightInd w:val="0"/>
              <w:snapToGrid w:val="0"/>
              <w:spacing w:line="360" w:lineRule="auto"/>
              <w:ind w:firstLine="480" w:firstLineChars="200"/>
              <w:rPr>
                <w:bCs/>
                <w:color w:val="auto"/>
                <w:sz w:val="24"/>
                <w:highlight w:val="none"/>
              </w:rPr>
            </w:pPr>
            <w:r>
              <w:rPr>
                <w:rFonts w:hint="eastAsia"/>
                <w:bCs/>
                <w:color w:val="auto"/>
                <w:sz w:val="24"/>
                <w:highlight w:val="none"/>
              </w:rPr>
              <w:t>本</w:t>
            </w:r>
            <w:r>
              <w:rPr>
                <w:bCs/>
                <w:color w:val="auto"/>
                <w:sz w:val="24"/>
                <w:highlight w:val="none"/>
              </w:rPr>
              <w:t>项目产生的固体废物见表4-</w:t>
            </w:r>
            <w:r>
              <w:rPr>
                <w:rFonts w:hint="eastAsia"/>
                <w:bCs/>
                <w:color w:val="auto"/>
                <w:sz w:val="24"/>
                <w:highlight w:val="none"/>
                <w:lang w:val="en-US" w:eastAsia="zh-CN"/>
              </w:rPr>
              <w:t>14</w:t>
            </w:r>
            <w:r>
              <w:rPr>
                <w:bCs/>
                <w:color w:val="auto"/>
                <w:sz w:val="24"/>
                <w:highlight w:val="none"/>
              </w:rPr>
              <w:t>。</w:t>
            </w:r>
          </w:p>
          <w:p w14:paraId="02B62FCC">
            <w:pPr>
              <w:pStyle w:val="67"/>
              <w:bidi w:val="0"/>
              <w:spacing w:line="240" w:lineRule="auto"/>
              <w:rPr>
                <w:rFonts w:hint="eastAsia"/>
                <w:color w:val="auto"/>
                <w:highlight w:val="none"/>
                <w:lang w:val="en-US" w:eastAsia="zh-CN"/>
              </w:rPr>
            </w:pPr>
            <w:r>
              <w:rPr>
                <w:rFonts w:hint="eastAsia"/>
                <w:color w:val="auto"/>
                <w:highlight w:val="none"/>
                <w:lang w:val="en-US" w:eastAsia="zh-CN"/>
              </w:rPr>
              <w:t>表4-14     项目固废产排一览表</w:t>
            </w:r>
          </w:p>
          <w:tbl>
            <w:tblPr>
              <w:tblStyle w:val="31"/>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040"/>
              <w:gridCol w:w="1545"/>
              <w:gridCol w:w="2101"/>
              <w:gridCol w:w="1590"/>
            </w:tblGrid>
            <w:tr w14:paraId="72D3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0FE465EC">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val="0"/>
                      <w:color w:val="auto"/>
                      <w:highlight w:val="none"/>
                      <w:lang w:val="en-US" w:eastAsia="zh-CN"/>
                    </w:rPr>
                  </w:pPr>
                  <w:r>
                    <w:rPr>
                      <w:rFonts w:hint="eastAsia"/>
                      <w:b/>
                      <w:bCs w:val="0"/>
                      <w:color w:val="auto"/>
                      <w:highlight w:val="none"/>
                      <w:lang w:val="en-US" w:eastAsia="zh-CN"/>
                    </w:rPr>
                    <w:t>序号</w:t>
                  </w:r>
                </w:p>
              </w:tc>
              <w:tc>
                <w:tcPr>
                  <w:tcW w:w="2040" w:type="dxa"/>
                  <w:vAlign w:val="center"/>
                </w:tcPr>
                <w:p w14:paraId="49DE1D90">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b/>
                      <w:bCs w:val="0"/>
                      <w:color w:val="auto"/>
                      <w:highlight w:val="none"/>
                      <w:lang w:val="en-US" w:eastAsia="zh-CN"/>
                    </w:rPr>
                  </w:pPr>
                  <w:r>
                    <w:rPr>
                      <w:rFonts w:hint="eastAsia"/>
                      <w:b/>
                      <w:bCs w:val="0"/>
                      <w:color w:val="auto"/>
                      <w:highlight w:val="none"/>
                      <w:lang w:val="en-US" w:eastAsia="zh-CN"/>
                    </w:rPr>
                    <w:t>固废名称</w:t>
                  </w:r>
                </w:p>
              </w:tc>
              <w:tc>
                <w:tcPr>
                  <w:tcW w:w="1545" w:type="dxa"/>
                  <w:vAlign w:val="center"/>
                </w:tcPr>
                <w:p w14:paraId="4276C853">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b/>
                      <w:bCs w:val="0"/>
                      <w:color w:val="auto"/>
                      <w:highlight w:val="none"/>
                      <w:lang w:val="en-US" w:eastAsia="zh-CN"/>
                    </w:rPr>
                  </w:pPr>
                  <w:r>
                    <w:rPr>
                      <w:rFonts w:hint="eastAsia"/>
                      <w:b/>
                      <w:bCs w:val="0"/>
                      <w:color w:val="auto"/>
                      <w:highlight w:val="none"/>
                      <w:lang w:val="en-US" w:eastAsia="zh-CN"/>
                    </w:rPr>
                    <w:t>产生量（t/a）</w:t>
                  </w:r>
                </w:p>
              </w:tc>
              <w:tc>
                <w:tcPr>
                  <w:tcW w:w="2101" w:type="dxa"/>
                  <w:vAlign w:val="center"/>
                </w:tcPr>
                <w:p w14:paraId="3AC09D84">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b/>
                      <w:bCs w:val="0"/>
                      <w:color w:val="auto"/>
                      <w:highlight w:val="none"/>
                      <w:lang w:val="en-US" w:eastAsia="zh-CN"/>
                    </w:rPr>
                  </w:pPr>
                  <w:r>
                    <w:rPr>
                      <w:rFonts w:hint="eastAsia"/>
                      <w:b/>
                      <w:bCs w:val="0"/>
                      <w:color w:val="auto"/>
                      <w:highlight w:val="none"/>
                      <w:lang w:val="en-US" w:eastAsia="zh-CN"/>
                    </w:rPr>
                    <w:t>固废类别</w:t>
                  </w:r>
                </w:p>
              </w:tc>
              <w:tc>
                <w:tcPr>
                  <w:tcW w:w="1590" w:type="dxa"/>
                  <w:vAlign w:val="center"/>
                </w:tcPr>
                <w:p w14:paraId="385ACA6C">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b/>
                      <w:bCs w:val="0"/>
                      <w:color w:val="auto"/>
                      <w:highlight w:val="none"/>
                      <w:lang w:val="en-US" w:eastAsia="zh-CN"/>
                    </w:rPr>
                  </w:pPr>
                  <w:r>
                    <w:rPr>
                      <w:rFonts w:hint="eastAsia"/>
                      <w:b/>
                      <w:bCs w:val="0"/>
                      <w:color w:val="auto"/>
                      <w:highlight w:val="none"/>
                      <w:lang w:val="en-US" w:eastAsia="zh-CN"/>
                    </w:rPr>
                    <w:t>处置措施</w:t>
                  </w:r>
                </w:p>
              </w:tc>
            </w:tr>
            <w:tr w14:paraId="7895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754901F2">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1</w:t>
                  </w:r>
                </w:p>
              </w:tc>
              <w:tc>
                <w:tcPr>
                  <w:tcW w:w="2040" w:type="dxa"/>
                  <w:vAlign w:val="center"/>
                </w:tcPr>
                <w:p w14:paraId="3C283B96">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生活垃圾</w:t>
                  </w:r>
                </w:p>
              </w:tc>
              <w:tc>
                <w:tcPr>
                  <w:tcW w:w="1545" w:type="dxa"/>
                  <w:vAlign w:val="center"/>
                </w:tcPr>
                <w:p w14:paraId="706F7FC4">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12</w:t>
                  </w:r>
                </w:p>
              </w:tc>
              <w:tc>
                <w:tcPr>
                  <w:tcW w:w="2101" w:type="dxa"/>
                  <w:vAlign w:val="center"/>
                </w:tcPr>
                <w:p w14:paraId="5A8BD9EA">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w:t>
                  </w:r>
                </w:p>
              </w:tc>
              <w:tc>
                <w:tcPr>
                  <w:tcW w:w="1590" w:type="dxa"/>
                  <w:vAlign w:val="center"/>
                </w:tcPr>
                <w:p w14:paraId="2A23AA02">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设置垃圾分类回收桶收集，由环卫部门定期清理</w:t>
                  </w:r>
                </w:p>
              </w:tc>
            </w:tr>
            <w:tr w14:paraId="04A0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16F2F8E4">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2</w:t>
                  </w:r>
                </w:p>
              </w:tc>
              <w:tc>
                <w:tcPr>
                  <w:tcW w:w="2040" w:type="dxa"/>
                  <w:vAlign w:val="center"/>
                </w:tcPr>
                <w:p w14:paraId="6394910D">
                  <w:pPr>
                    <w:pStyle w:val="53"/>
                    <w:bidi w:val="0"/>
                    <w:rPr>
                      <w:rFonts w:hint="default"/>
                      <w:color w:val="auto"/>
                      <w:highlight w:val="none"/>
                      <w:lang w:val="en-US" w:eastAsia="zh-CN"/>
                    </w:rPr>
                  </w:pPr>
                  <w:r>
                    <w:rPr>
                      <w:rFonts w:hint="eastAsia"/>
                      <w:color w:val="auto"/>
                      <w:highlight w:val="none"/>
                      <w:lang w:val="en-US" w:eastAsia="zh-CN"/>
                    </w:rPr>
                    <w:t>切割下脚料、锻造废料及不合格品</w:t>
                  </w:r>
                </w:p>
              </w:tc>
              <w:tc>
                <w:tcPr>
                  <w:tcW w:w="1545" w:type="dxa"/>
                  <w:vAlign w:val="center"/>
                </w:tcPr>
                <w:p w14:paraId="0266F7AC">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25</w:t>
                  </w:r>
                </w:p>
              </w:tc>
              <w:tc>
                <w:tcPr>
                  <w:tcW w:w="2101" w:type="dxa"/>
                  <w:vAlign w:val="center"/>
                </w:tcPr>
                <w:p w14:paraId="1FDE1DEC">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一般固体废物</w:t>
                  </w:r>
                </w:p>
              </w:tc>
              <w:tc>
                <w:tcPr>
                  <w:tcW w:w="1590" w:type="dxa"/>
                  <w:vMerge w:val="restart"/>
                  <w:vAlign w:val="center"/>
                </w:tcPr>
                <w:p w14:paraId="73D50622">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集中收集后外售废品回收站</w:t>
                  </w:r>
                </w:p>
              </w:tc>
            </w:tr>
            <w:tr w14:paraId="467C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23C6177C">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3</w:t>
                  </w:r>
                </w:p>
              </w:tc>
              <w:tc>
                <w:tcPr>
                  <w:tcW w:w="2040" w:type="dxa"/>
                  <w:vAlign w:val="center"/>
                </w:tcPr>
                <w:p w14:paraId="63819825">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除尘灰</w:t>
                  </w:r>
                </w:p>
              </w:tc>
              <w:tc>
                <w:tcPr>
                  <w:tcW w:w="1545" w:type="dxa"/>
                  <w:vAlign w:val="center"/>
                </w:tcPr>
                <w:p w14:paraId="29E7065B">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6.449</w:t>
                  </w:r>
                </w:p>
              </w:tc>
              <w:tc>
                <w:tcPr>
                  <w:tcW w:w="2101" w:type="dxa"/>
                  <w:vAlign w:val="center"/>
                </w:tcPr>
                <w:p w14:paraId="214886DE">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一般固体废物</w:t>
                  </w:r>
                </w:p>
              </w:tc>
              <w:tc>
                <w:tcPr>
                  <w:tcW w:w="1590" w:type="dxa"/>
                  <w:vMerge w:val="continue"/>
                  <w:vAlign w:val="center"/>
                </w:tcPr>
                <w:p w14:paraId="6F2C0475">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p>
              </w:tc>
            </w:tr>
            <w:tr w14:paraId="3C1E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3E0CE140">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4</w:t>
                  </w:r>
                </w:p>
              </w:tc>
              <w:tc>
                <w:tcPr>
                  <w:tcW w:w="2040" w:type="dxa"/>
                  <w:vAlign w:val="center"/>
                </w:tcPr>
                <w:p w14:paraId="18A6AFA8">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废润滑油</w:t>
                  </w:r>
                </w:p>
              </w:tc>
              <w:tc>
                <w:tcPr>
                  <w:tcW w:w="1545" w:type="dxa"/>
                  <w:vAlign w:val="center"/>
                </w:tcPr>
                <w:p w14:paraId="24549B29">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0.2</w:t>
                  </w:r>
                </w:p>
              </w:tc>
              <w:tc>
                <w:tcPr>
                  <w:tcW w:w="2101" w:type="dxa"/>
                  <w:vAlign w:val="center"/>
                </w:tcPr>
                <w:p w14:paraId="78B53B2F">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HW08 (900-217-08)</w:t>
                  </w:r>
                </w:p>
              </w:tc>
              <w:tc>
                <w:tcPr>
                  <w:tcW w:w="1590" w:type="dxa"/>
                  <w:vMerge w:val="restart"/>
                  <w:vAlign w:val="center"/>
                </w:tcPr>
                <w:p w14:paraId="66E88A7A">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暂存于危废贮存点，定期交由有相关资质单位处理</w:t>
                  </w:r>
                </w:p>
              </w:tc>
            </w:tr>
            <w:tr w14:paraId="05B8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25AAF568">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5</w:t>
                  </w:r>
                </w:p>
              </w:tc>
              <w:tc>
                <w:tcPr>
                  <w:tcW w:w="2040" w:type="dxa"/>
                  <w:vAlign w:val="center"/>
                </w:tcPr>
                <w:p w14:paraId="1AB58112">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废液压油</w:t>
                  </w:r>
                </w:p>
              </w:tc>
              <w:tc>
                <w:tcPr>
                  <w:tcW w:w="1545" w:type="dxa"/>
                  <w:vAlign w:val="center"/>
                </w:tcPr>
                <w:p w14:paraId="7E44572F">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0.4</w:t>
                  </w:r>
                </w:p>
              </w:tc>
              <w:tc>
                <w:tcPr>
                  <w:tcW w:w="2101" w:type="dxa"/>
                  <w:vAlign w:val="center"/>
                </w:tcPr>
                <w:p w14:paraId="1506234B">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HW08 (900-218-08)</w:t>
                  </w:r>
                </w:p>
              </w:tc>
              <w:tc>
                <w:tcPr>
                  <w:tcW w:w="1590" w:type="dxa"/>
                  <w:vMerge w:val="continue"/>
                  <w:vAlign w:val="center"/>
                </w:tcPr>
                <w:p w14:paraId="730C9A29">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p>
              </w:tc>
            </w:tr>
            <w:tr w14:paraId="7313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4F26A19D">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6</w:t>
                  </w:r>
                </w:p>
              </w:tc>
              <w:tc>
                <w:tcPr>
                  <w:tcW w:w="2040" w:type="dxa"/>
                  <w:vAlign w:val="center"/>
                </w:tcPr>
                <w:p w14:paraId="59AD19E8">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废包装桶</w:t>
                  </w:r>
                </w:p>
              </w:tc>
              <w:tc>
                <w:tcPr>
                  <w:tcW w:w="1545" w:type="dxa"/>
                  <w:vAlign w:val="center"/>
                </w:tcPr>
                <w:p w14:paraId="29851795">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w:t>
                  </w:r>
                </w:p>
              </w:tc>
              <w:tc>
                <w:tcPr>
                  <w:tcW w:w="2101" w:type="dxa"/>
                  <w:vAlign w:val="center"/>
                </w:tcPr>
                <w:p w14:paraId="20AD44D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color w:val="auto"/>
                      <w:highlight w:val="none"/>
                      <w:lang w:val="en-US" w:eastAsia="zh-CN"/>
                    </w:rPr>
                    <w:t>HW49</w:t>
                  </w:r>
                  <w:r>
                    <w:rPr>
                      <w:rFonts w:hint="eastAsia"/>
                      <w:color w:val="auto"/>
                      <w:highlight w:val="none"/>
                      <w:lang w:val="en-US" w:eastAsia="zh-CN"/>
                    </w:rPr>
                    <w:t xml:space="preserve"> (</w:t>
                  </w:r>
                  <w:r>
                    <w:rPr>
                      <w:rFonts w:hint="default"/>
                      <w:color w:val="auto"/>
                      <w:highlight w:val="none"/>
                      <w:lang w:val="en-US" w:eastAsia="zh-CN"/>
                    </w:rPr>
                    <w:t>900-041-49</w:t>
                  </w:r>
                  <w:r>
                    <w:rPr>
                      <w:rFonts w:hint="eastAsia"/>
                      <w:color w:val="auto"/>
                      <w:highlight w:val="none"/>
                      <w:lang w:val="en-US" w:eastAsia="zh-CN"/>
                    </w:rPr>
                    <w:t>)</w:t>
                  </w:r>
                </w:p>
              </w:tc>
              <w:tc>
                <w:tcPr>
                  <w:tcW w:w="1590" w:type="dxa"/>
                  <w:vMerge w:val="continue"/>
                  <w:vAlign w:val="center"/>
                </w:tcPr>
                <w:p w14:paraId="4D59202E">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p>
              </w:tc>
            </w:tr>
            <w:tr w14:paraId="06D5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214CC841">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eastAsia"/>
                      <w:color w:val="auto"/>
                      <w:highlight w:val="none"/>
                      <w:lang w:val="en-US" w:eastAsia="zh-CN"/>
                    </w:rPr>
                  </w:pPr>
                  <w:r>
                    <w:rPr>
                      <w:rFonts w:hint="eastAsia"/>
                      <w:color w:val="auto"/>
                      <w:highlight w:val="none"/>
                      <w:lang w:val="en-US" w:eastAsia="zh-CN"/>
                    </w:rPr>
                    <w:t>7</w:t>
                  </w:r>
                </w:p>
              </w:tc>
              <w:tc>
                <w:tcPr>
                  <w:tcW w:w="2040" w:type="dxa"/>
                  <w:vAlign w:val="center"/>
                </w:tcPr>
                <w:p w14:paraId="7CC220CF">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废磁粉液</w:t>
                  </w:r>
                </w:p>
              </w:tc>
              <w:tc>
                <w:tcPr>
                  <w:tcW w:w="1545" w:type="dxa"/>
                  <w:vAlign w:val="center"/>
                </w:tcPr>
                <w:p w14:paraId="6E6FEAC7">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1.5</w:t>
                  </w:r>
                </w:p>
              </w:tc>
              <w:tc>
                <w:tcPr>
                  <w:tcW w:w="2101" w:type="dxa"/>
                  <w:vAlign w:val="center"/>
                </w:tcPr>
                <w:p w14:paraId="1537C082">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highlight w:val="none"/>
                      <w:lang w:val="en-US" w:eastAsia="zh-CN"/>
                    </w:rPr>
                  </w:pPr>
                  <w:r>
                    <w:rPr>
                      <w:rFonts w:hint="default"/>
                      <w:color w:val="auto"/>
                      <w:highlight w:val="none"/>
                      <w:lang w:val="en-US" w:eastAsia="zh-CN"/>
                    </w:rPr>
                    <w:t>HW49</w:t>
                  </w:r>
                  <w:r>
                    <w:rPr>
                      <w:rFonts w:hint="eastAsia"/>
                      <w:color w:val="auto"/>
                      <w:highlight w:val="none"/>
                      <w:lang w:val="en-US" w:eastAsia="zh-CN"/>
                    </w:rPr>
                    <w:t>(</w:t>
                  </w:r>
                  <w:r>
                    <w:rPr>
                      <w:rFonts w:hint="default"/>
                      <w:color w:val="auto"/>
                      <w:highlight w:val="none"/>
                      <w:lang w:val="en-US" w:eastAsia="zh-CN"/>
                    </w:rPr>
                    <w:t>900-047-49</w:t>
                  </w:r>
                  <w:r>
                    <w:rPr>
                      <w:rFonts w:hint="eastAsia"/>
                      <w:color w:val="auto"/>
                      <w:highlight w:val="none"/>
                      <w:lang w:val="en-US" w:eastAsia="zh-CN"/>
                    </w:rPr>
                    <w:t>)</w:t>
                  </w:r>
                </w:p>
              </w:tc>
              <w:tc>
                <w:tcPr>
                  <w:tcW w:w="1590" w:type="dxa"/>
                  <w:vMerge w:val="continue"/>
                  <w:vAlign w:val="center"/>
                </w:tcPr>
                <w:p w14:paraId="074D2461">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p>
              </w:tc>
            </w:tr>
            <w:tr w14:paraId="22A2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70" w:type="dxa"/>
                  <w:vAlign w:val="center"/>
                </w:tcPr>
                <w:p w14:paraId="5B89B63C">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r>
                    <w:rPr>
                      <w:rFonts w:hint="eastAsia"/>
                      <w:color w:val="auto"/>
                      <w:highlight w:val="none"/>
                      <w:lang w:val="en-US" w:eastAsia="zh-CN"/>
                    </w:rPr>
                    <w:t>8</w:t>
                  </w:r>
                </w:p>
              </w:tc>
              <w:tc>
                <w:tcPr>
                  <w:tcW w:w="2040" w:type="dxa"/>
                  <w:vAlign w:val="center"/>
                </w:tcPr>
                <w:p w14:paraId="2DCCA72C">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废含油纱布及手套</w:t>
                  </w:r>
                </w:p>
              </w:tc>
              <w:tc>
                <w:tcPr>
                  <w:tcW w:w="1545" w:type="dxa"/>
                  <w:vAlign w:val="center"/>
                </w:tcPr>
                <w:p w14:paraId="403093C3">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0.05</w:t>
                  </w:r>
                </w:p>
              </w:tc>
              <w:tc>
                <w:tcPr>
                  <w:tcW w:w="2101" w:type="dxa"/>
                  <w:vAlign w:val="center"/>
                </w:tcPr>
                <w:p w14:paraId="2C26B87F">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color w:val="auto"/>
                      <w:highlight w:val="none"/>
                      <w:lang w:val="en-US" w:eastAsia="zh-CN"/>
                    </w:rPr>
                    <w:t>HW49</w:t>
                  </w:r>
                  <w:r>
                    <w:rPr>
                      <w:rFonts w:hint="eastAsia"/>
                      <w:color w:val="auto"/>
                      <w:highlight w:val="none"/>
                      <w:lang w:val="en-US" w:eastAsia="zh-CN"/>
                    </w:rPr>
                    <w:t xml:space="preserve"> (</w:t>
                  </w:r>
                  <w:r>
                    <w:rPr>
                      <w:rFonts w:hint="default"/>
                      <w:color w:val="auto"/>
                      <w:highlight w:val="none"/>
                      <w:lang w:val="en-US" w:eastAsia="zh-CN"/>
                    </w:rPr>
                    <w:t>900-041-49</w:t>
                  </w:r>
                  <w:r>
                    <w:rPr>
                      <w:rFonts w:hint="eastAsia"/>
                      <w:color w:val="auto"/>
                      <w:highlight w:val="none"/>
                      <w:lang w:val="en-US" w:eastAsia="zh-CN"/>
                    </w:rPr>
                    <w:t>)</w:t>
                  </w:r>
                </w:p>
              </w:tc>
              <w:tc>
                <w:tcPr>
                  <w:tcW w:w="1590" w:type="dxa"/>
                  <w:vMerge w:val="continue"/>
                  <w:vAlign w:val="center"/>
                </w:tcPr>
                <w:p w14:paraId="541F46ED">
                  <w:pPr>
                    <w:pStyle w:val="53"/>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color w:val="auto"/>
                      <w:highlight w:val="none"/>
                      <w:lang w:val="en-US" w:eastAsia="zh-CN"/>
                    </w:rPr>
                  </w:pPr>
                </w:p>
              </w:tc>
            </w:tr>
          </w:tbl>
          <w:p w14:paraId="0AA74476">
            <w:pPr>
              <w:bidi w:val="0"/>
              <w:rPr>
                <w:rFonts w:hint="eastAsia"/>
                <w:color w:val="auto"/>
                <w:highlight w:val="none"/>
                <w:lang w:val="en-US" w:eastAsia="zh-CN"/>
              </w:rPr>
            </w:pPr>
            <w:r>
              <w:rPr>
                <w:rFonts w:hint="eastAsia"/>
                <w:color w:val="auto"/>
                <w:highlight w:val="none"/>
                <w:lang w:val="en-US" w:eastAsia="zh-CN"/>
              </w:rPr>
              <w:t>综上所述，在采取上述污染防治措施后，项目产生的固体废物均得到妥善处置，对外环境影响较小。</w:t>
            </w:r>
          </w:p>
          <w:p w14:paraId="74182514">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危险废物管理要求</w:t>
            </w:r>
          </w:p>
          <w:p w14:paraId="79D2593C">
            <w:pPr>
              <w:bidi w:val="0"/>
              <w:rPr>
                <w:rFonts w:hint="eastAsia"/>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拟建一个30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的</w:t>
            </w:r>
            <w:r>
              <w:rPr>
                <w:rFonts w:hint="eastAsia"/>
                <w:color w:val="auto"/>
                <w:highlight w:val="none"/>
                <w:lang w:val="en-US" w:eastAsia="zh-CN"/>
              </w:rPr>
              <w:t>危废贮存点，并按照</w:t>
            </w:r>
            <w:r>
              <w:rPr>
                <w:rFonts w:hint="default"/>
                <w:color w:val="auto"/>
                <w:highlight w:val="none"/>
                <w:lang w:val="en-US" w:eastAsia="zh-CN"/>
              </w:rPr>
              <w:t>《危险废物贮存污染控制标准》（GB18597-2023）</w:t>
            </w:r>
            <w:r>
              <w:rPr>
                <w:rFonts w:hint="eastAsia"/>
                <w:color w:val="auto"/>
                <w:highlight w:val="none"/>
                <w:lang w:val="en-US" w:eastAsia="zh-CN"/>
              </w:rPr>
              <w:t>及《危</w:t>
            </w:r>
            <w:r>
              <w:rPr>
                <w:rFonts w:hint="eastAsia"/>
                <w:color w:val="auto"/>
                <w:highlight w:val="none"/>
              </w:rPr>
              <w:t>险废物识别标志设置技术规范</w:t>
            </w:r>
            <w:r>
              <w:rPr>
                <w:rFonts w:hint="eastAsia"/>
                <w:color w:val="auto"/>
                <w:highlight w:val="none"/>
                <w:lang w:eastAsia="zh-CN"/>
              </w:rPr>
              <w:t>》</w:t>
            </w:r>
            <w:r>
              <w:rPr>
                <w:rFonts w:hint="eastAsia"/>
                <w:color w:val="auto"/>
                <w:highlight w:val="none"/>
              </w:rPr>
              <w:t>（HJ 1276—2022）</w:t>
            </w:r>
            <w:r>
              <w:rPr>
                <w:rFonts w:hint="eastAsia"/>
                <w:color w:val="auto"/>
                <w:highlight w:val="none"/>
                <w:lang w:val="en-US" w:eastAsia="zh-CN"/>
              </w:rPr>
              <w:t>等规范要求进行建设，要求如下：</w:t>
            </w:r>
          </w:p>
          <w:p w14:paraId="4B02AE03">
            <w:pPr>
              <w:bidi w:val="0"/>
              <w:rPr>
                <w:rFonts w:hint="default"/>
                <w:color w:val="auto"/>
                <w:highlight w:val="none"/>
                <w:lang w:val="en-US" w:eastAsia="zh-CN"/>
              </w:rPr>
            </w:pPr>
            <w:r>
              <w:rPr>
                <w:rFonts w:hint="eastAsia"/>
                <w:color w:val="auto"/>
                <w:highlight w:val="none"/>
                <w:lang w:val="en-US" w:eastAsia="zh-CN"/>
              </w:rPr>
              <w:t>①贮存点</w:t>
            </w:r>
            <w:r>
              <w:rPr>
                <w:rFonts w:hint="default"/>
                <w:color w:val="auto"/>
                <w:highlight w:val="none"/>
                <w:lang w:val="en-US" w:eastAsia="zh-CN"/>
              </w:rPr>
              <w:t>严格按照《危险废物识别标志设置技术规范》（HJ 1276-2022）对拟建</w:t>
            </w:r>
            <w:r>
              <w:rPr>
                <w:rFonts w:hint="eastAsia"/>
                <w:color w:val="auto"/>
                <w:highlight w:val="none"/>
                <w:lang w:val="en-US" w:eastAsia="zh-CN"/>
              </w:rPr>
              <w:t>危废贮存点</w:t>
            </w:r>
            <w:r>
              <w:rPr>
                <w:rFonts w:hint="default"/>
                <w:color w:val="auto"/>
                <w:highlight w:val="none"/>
                <w:lang w:val="en-US" w:eastAsia="zh-CN"/>
              </w:rPr>
              <w:t>及危险废物各暂存区域设立标识牌。</w:t>
            </w:r>
          </w:p>
          <w:p w14:paraId="03C60FEC">
            <w:pPr>
              <w:bidi w:val="0"/>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建立严格的管理制度，对于进出存放库的危废严格登记；定期对所贮存的危险废物包装容器及贮存设施进行检查，发现破损及时采取措施清理更换。</w:t>
            </w:r>
          </w:p>
          <w:p w14:paraId="12A4B828">
            <w:pPr>
              <w:bidi w:val="0"/>
              <w:rPr>
                <w:rFonts w:hint="default"/>
                <w:color w:val="auto"/>
                <w:highlight w:val="none"/>
                <w:lang w:val="en-US" w:eastAsia="zh-CN"/>
              </w:rPr>
            </w:pPr>
            <w:r>
              <w:rPr>
                <w:rFonts w:hint="default"/>
                <w:color w:val="auto"/>
                <w:highlight w:val="none"/>
                <w:lang w:val="en-US" w:eastAsia="zh-CN"/>
              </w:rPr>
              <w:t>③贮存设施根据危险废物的类别、数量、形态、物理化学性质和污染防治等要求设置必要的贮存分区，避免不相容的危险废物接触、混合；</w:t>
            </w:r>
          </w:p>
          <w:p w14:paraId="654BE593">
            <w:pPr>
              <w:pStyle w:val="6"/>
              <w:rPr>
                <w:rFonts w:hint="default"/>
                <w:color w:val="auto"/>
                <w:lang w:val="en-US" w:eastAsia="zh-CN"/>
              </w:rPr>
            </w:pPr>
            <w:r>
              <w:rPr>
                <w:rFonts w:hint="eastAsia"/>
                <w:color w:val="auto"/>
                <w:lang w:val="en-US" w:eastAsia="zh-CN"/>
              </w:rPr>
              <w:t>同时危险废物还应满足以下管理要求：</w:t>
            </w:r>
          </w:p>
          <w:p w14:paraId="51334D79">
            <w:pPr>
              <w:bidi w:val="0"/>
              <w:rPr>
                <w:rFonts w:hint="default"/>
                <w:color w:val="auto"/>
                <w:highlight w:val="none"/>
                <w:lang w:val="en-US" w:eastAsia="zh-CN"/>
              </w:rPr>
            </w:pPr>
            <w:r>
              <w:rPr>
                <w:rFonts w:hint="default"/>
                <w:color w:val="auto"/>
                <w:highlight w:val="none"/>
                <w:lang w:val="en-US" w:eastAsia="zh-CN"/>
              </w:rPr>
              <w:t>①贮存点应具有固定的区域边界，并应采取与其他区域进行隔离的措施；</w:t>
            </w:r>
          </w:p>
          <w:p w14:paraId="36F9896F">
            <w:pPr>
              <w:bidi w:val="0"/>
              <w:rPr>
                <w:rFonts w:hint="default"/>
                <w:color w:val="auto"/>
                <w:highlight w:val="none"/>
                <w:lang w:val="en-US" w:eastAsia="zh-CN"/>
              </w:rPr>
            </w:pPr>
            <w:r>
              <w:rPr>
                <w:rFonts w:hint="default"/>
                <w:color w:val="auto"/>
                <w:highlight w:val="none"/>
                <w:lang w:val="en-US" w:eastAsia="zh-CN"/>
              </w:rPr>
              <w:t>②</w:t>
            </w:r>
            <w:r>
              <w:rPr>
                <w:rFonts w:hint="eastAsia"/>
                <w:color w:val="auto"/>
                <w:highlight w:val="none"/>
                <w:lang w:val="en-US" w:eastAsia="zh-CN"/>
              </w:rPr>
              <w:t>贮存点应采取防风、防雨、防晒和防止危险废物流失、扬散等措施</w:t>
            </w:r>
            <w:r>
              <w:rPr>
                <w:rFonts w:hint="default"/>
                <w:color w:val="auto"/>
                <w:highlight w:val="none"/>
                <w:lang w:val="en-US" w:eastAsia="zh-CN"/>
              </w:rPr>
              <w:t>；</w:t>
            </w:r>
          </w:p>
          <w:p w14:paraId="74F11450">
            <w:pPr>
              <w:bidi w:val="0"/>
              <w:rPr>
                <w:rFonts w:hint="default"/>
                <w:color w:val="auto"/>
                <w:highlight w:val="none"/>
                <w:lang w:val="en-US" w:eastAsia="zh-CN"/>
              </w:rPr>
            </w:pPr>
            <w:r>
              <w:rPr>
                <w:rFonts w:hint="eastAsia"/>
                <w:color w:val="auto"/>
                <w:highlight w:val="none"/>
                <w:lang w:val="en-US" w:eastAsia="zh-CN"/>
              </w:rPr>
              <w:t>③</w:t>
            </w:r>
            <w:r>
              <w:rPr>
                <w:rFonts w:hint="default"/>
                <w:color w:val="auto"/>
                <w:highlight w:val="none"/>
                <w:lang w:val="en-US" w:eastAsia="zh-CN"/>
              </w:rPr>
              <w:t>贮存点贮存的危险废物应置于容器或包装物中，不应直接散堆；</w:t>
            </w:r>
          </w:p>
          <w:p w14:paraId="4837FDA3">
            <w:pPr>
              <w:bidi w:val="0"/>
              <w:rPr>
                <w:rFonts w:hint="default"/>
                <w:color w:val="auto"/>
                <w:highlight w:val="none"/>
                <w:lang w:val="en-US" w:eastAsia="zh-CN"/>
              </w:rPr>
            </w:pPr>
            <w:r>
              <w:rPr>
                <w:rFonts w:hint="eastAsia"/>
                <w:color w:val="auto"/>
                <w:highlight w:val="none"/>
                <w:lang w:val="en-US" w:eastAsia="zh-CN"/>
              </w:rPr>
              <w:t>④</w:t>
            </w:r>
            <w:r>
              <w:rPr>
                <w:rFonts w:hint="default"/>
                <w:color w:val="auto"/>
                <w:highlight w:val="none"/>
                <w:lang w:val="en-US" w:eastAsia="zh-CN"/>
              </w:rPr>
              <w:t>贮存点应根据危险废物的形态、物理化学性质、包装形式等，采取防渗、防漏等污染防治措施或采用具有相应功能的装置；</w:t>
            </w:r>
          </w:p>
          <w:p w14:paraId="4C4B5CB8">
            <w:pPr>
              <w:bidi w:val="0"/>
              <w:rPr>
                <w:rFonts w:hint="default"/>
                <w:color w:val="auto"/>
                <w:highlight w:val="none"/>
                <w:lang w:val="en-US" w:eastAsia="zh-CN"/>
              </w:rPr>
            </w:pPr>
            <w:r>
              <w:rPr>
                <w:rFonts w:hint="eastAsia"/>
                <w:color w:val="auto"/>
                <w:highlight w:val="none"/>
                <w:lang w:val="en-US" w:eastAsia="zh-CN"/>
              </w:rPr>
              <w:t>⑤</w:t>
            </w:r>
            <w:r>
              <w:rPr>
                <w:rFonts w:hint="default"/>
                <w:color w:val="auto"/>
                <w:highlight w:val="none"/>
                <w:lang w:val="en-US" w:eastAsia="zh-CN"/>
              </w:rPr>
              <w:t>贮存点应及时清运贮存的危险废物，实时贮存量不应超过3吨；</w:t>
            </w:r>
          </w:p>
          <w:p w14:paraId="2769C268">
            <w:pPr>
              <w:bidi w:val="0"/>
              <w:rPr>
                <w:rFonts w:hint="default"/>
                <w:color w:val="auto"/>
                <w:highlight w:val="none"/>
                <w:lang w:val="en-US" w:eastAsia="zh-CN"/>
              </w:rPr>
            </w:pPr>
            <w:r>
              <w:rPr>
                <w:rFonts w:hint="eastAsia"/>
                <w:color w:val="auto"/>
                <w:highlight w:val="none"/>
                <w:lang w:val="en-US" w:eastAsia="zh-CN"/>
              </w:rPr>
              <w:t>⑥</w:t>
            </w:r>
            <w:r>
              <w:rPr>
                <w:rFonts w:hint="default"/>
                <w:color w:val="auto"/>
                <w:highlight w:val="none"/>
                <w:lang w:val="en-US" w:eastAsia="zh-CN"/>
              </w:rPr>
              <w:t>贮存设施应采取技术和管理措施防止无关人员进入。</w:t>
            </w:r>
          </w:p>
          <w:p w14:paraId="53809E8F">
            <w:pPr>
              <w:bidi w:val="0"/>
              <w:rPr>
                <w:rFonts w:hint="default"/>
                <w:color w:val="auto"/>
                <w:highlight w:val="none"/>
                <w:lang w:val="en-US" w:eastAsia="zh-CN"/>
              </w:rPr>
            </w:pPr>
            <w:r>
              <w:rPr>
                <w:rFonts w:hint="eastAsia"/>
                <w:color w:val="auto"/>
                <w:highlight w:val="none"/>
                <w:lang w:val="en-US" w:eastAsia="zh-CN"/>
              </w:rPr>
              <w:t>⑦</w:t>
            </w:r>
            <w:r>
              <w:rPr>
                <w:rFonts w:hint="default"/>
                <w:color w:val="auto"/>
                <w:highlight w:val="none"/>
                <w:lang w:val="en-US" w:eastAsia="zh-CN"/>
              </w:rPr>
              <w:t>建立严格的管理制度，对于进出存放库的危废严格登记；定期对所贮存的危险废物包装容器及贮存设施进行检查，发现破损及时采取措施清理更换。</w:t>
            </w:r>
          </w:p>
          <w:p w14:paraId="16BF4A70">
            <w:pPr>
              <w:numPr>
                <w:ilvl w:val="0"/>
                <w:numId w:val="11"/>
              </w:numPr>
              <w:bidi w:val="0"/>
              <w:rPr>
                <w:rFonts w:hint="default"/>
                <w:b/>
                <w:bCs/>
                <w:color w:val="auto"/>
                <w:highlight w:val="none"/>
                <w:lang w:val="en-US" w:eastAsia="zh-CN"/>
              </w:rPr>
            </w:pPr>
            <w:r>
              <w:rPr>
                <w:rFonts w:hint="eastAsia"/>
                <w:b/>
                <w:bCs/>
                <w:color w:val="auto"/>
                <w:highlight w:val="none"/>
                <w:lang w:val="en-US" w:eastAsia="zh-CN"/>
              </w:rPr>
              <w:t>运营期地下水、土壤环境影响和保护措施</w:t>
            </w:r>
          </w:p>
          <w:p w14:paraId="76664371">
            <w:pPr>
              <w:bidi w:val="0"/>
              <w:rPr>
                <w:rFonts w:hint="eastAsia"/>
                <w:color w:val="auto"/>
                <w:highlight w:val="none"/>
                <w:lang w:val="en-US" w:eastAsia="zh-CN"/>
              </w:rPr>
            </w:pPr>
            <w:r>
              <w:rPr>
                <w:rFonts w:hint="eastAsia"/>
                <w:color w:val="auto"/>
                <w:highlight w:val="none"/>
                <w:lang w:val="en-US" w:eastAsia="zh-CN"/>
              </w:rPr>
              <w:t>根据《环境影响评价技术导则地下水环境》（HJ610-2016）和《环境影响评价技术导则土壤环境》（HJ964-2018）可知，本项目</w:t>
            </w:r>
            <w:r>
              <w:rPr>
                <w:rFonts w:hint="default"/>
                <w:color w:val="auto"/>
                <w:highlight w:val="none"/>
                <w:lang w:val="en-US" w:eastAsia="zh-CN"/>
              </w:rPr>
              <w:t>厂界外500米范围内不涉及地下水集中式饮用水水源和热水、矿泉水、温泉等特殊地下水资源，</w:t>
            </w:r>
            <w:r>
              <w:rPr>
                <w:rFonts w:hint="eastAsia"/>
                <w:color w:val="auto"/>
                <w:highlight w:val="none"/>
                <w:lang w:val="en-US" w:eastAsia="zh-CN"/>
              </w:rPr>
              <w:t>运营期无废水直接排放，且车间内均已做防渗处理，</w:t>
            </w:r>
            <w:r>
              <w:rPr>
                <w:rFonts w:hint="default"/>
                <w:color w:val="auto"/>
                <w:highlight w:val="none"/>
                <w:lang w:val="en-US" w:eastAsia="zh-CN"/>
              </w:rPr>
              <w:t>不存在对地下水、土壤环境造成污染的污染源、污染物。</w:t>
            </w:r>
            <w:r>
              <w:rPr>
                <w:rFonts w:hint="eastAsia"/>
                <w:color w:val="auto"/>
                <w:highlight w:val="none"/>
                <w:lang w:val="en-US" w:eastAsia="zh-CN"/>
              </w:rPr>
              <w:t>因此，可不开展地下水及土壤评价。</w:t>
            </w:r>
          </w:p>
          <w:p w14:paraId="6EEEDC7A">
            <w:pPr>
              <w:numPr>
                <w:ilvl w:val="0"/>
                <w:numId w:val="11"/>
              </w:numPr>
              <w:bidi w:val="0"/>
              <w:rPr>
                <w:rFonts w:hint="default"/>
                <w:b/>
                <w:bCs/>
                <w:color w:val="auto"/>
                <w:highlight w:val="none"/>
                <w:lang w:val="en-US" w:eastAsia="zh-CN"/>
              </w:rPr>
            </w:pPr>
            <w:r>
              <w:rPr>
                <w:rFonts w:hint="eastAsia"/>
                <w:b/>
                <w:bCs/>
                <w:color w:val="auto"/>
                <w:highlight w:val="none"/>
                <w:lang w:val="en-US" w:eastAsia="zh-CN"/>
              </w:rPr>
              <w:t>环境风险分析</w:t>
            </w:r>
          </w:p>
          <w:p w14:paraId="1D1DA063">
            <w:pPr>
              <w:numPr>
                <w:ilvl w:val="0"/>
                <w:numId w:val="16"/>
              </w:numPr>
              <w:bidi w:val="0"/>
              <w:rPr>
                <w:rFonts w:hint="eastAsia"/>
                <w:color w:val="auto"/>
                <w:highlight w:val="none"/>
                <w:lang w:val="en-US" w:eastAsia="zh-CN"/>
              </w:rPr>
            </w:pPr>
            <w:r>
              <w:rPr>
                <w:rFonts w:hint="eastAsia"/>
                <w:color w:val="auto"/>
                <w:highlight w:val="none"/>
                <w:lang w:val="en-US" w:eastAsia="zh-CN"/>
              </w:rPr>
              <w:t>环境风险物质</w:t>
            </w:r>
          </w:p>
          <w:p w14:paraId="59F27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kern w:val="0"/>
                <w:sz w:val="24"/>
                <w:szCs w:val="32"/>
                <w:highlight w:val="none"/>
                <w:lang w:eastAsia="zh-CN"/>
              </w:rPr>
            </w:pPr>
            <w:r>
              <w:rPr>
                <w:rFonts w:hint="default" w:hAnsi="宋体" w:eastAsia="宋体"/>
                <w:color w:val="auto"/>
                <w:sz w:val="24"/>
                <w:szCs w:val="21"/>
                <w:highlight w:val="none"/>
              </w:rPr>
              <w:t>根据</w:t>
            </w:r>
            <w:r>
              <w:rPr>
                <w:rFonts w:hint="default" w:hAnsi="宋体" w:eastAsia="宋体"/>
                <w:bCs/>
                <w:color w:val="auto"/>
                <w:sz w:val="24"/>
                <w:highlight w:val="none"/>
              </w:rPr>
              <w:t>《建设项目环境风险评价技术导则（</w:t>
            </w:r>
            <w:r>
              <w:rPr>
                <w:rFonts w:hint="default" w:eastAsia="宋体"/>
                <w:bCs/>
                <w:color w:val="auto"/>
                <w:sz w:val="24"/>
                <w:highlight w:val="none"/>
              </w:rPr>
              <w:t>HJ169-2018</w:t>
            </w:r>
            <w:r>
              <w:rPr>
                <w:rFonts w:hint="default" w:hAnsi="宋体" w:eastAsia="宋体"/>
                <w:bCs/>
                <w:color w:val="auto"/>
                <w:sz w:val="24"/>
                <w:highlight w:val="none"/>
              </w:rPr>
              <w:t>）》</w:t>
            </w:r>
            <w:r>
              <w:rPr>
                <w:rFonts w:hint="default" w:hAnsi="宋体" w:eastAsia="宋体"/>
                <w:color w:val="auto"/>
                <w:sz w:val="24"/>
                <w:szCs w:val="21"/>
                <w:highlight w:val="none"/>
              </w:rPr>
              <w:t>附录</w:t>
            </w:r>
            <w:r>
              <w:rPr>
                <w:rFonts w:hint="default" w:eastAsia="宋体"/>
                <w:color w:val="auto"/>
                <w:sz w:val="24"/>
                <w:szCs w:val="21"/>
                <w:highlight w:val="none"/>
              </w:rPr>
              <w:t>B</w:t>
            </w:r>
            <w:r>
              <w:rPr>
                <w:rFonts w:hint="eastAsia"/>
                <w:color w:val="auto"/>
                <w:sz w:val="24"/>
                <w:szCs w:val="21"/>
                <w:highlight w:val="none"/>
                <w:lang w:val="en-US" w:eastAsia="zh-CN"/>
              </w:rPr>
              <w:t>以及《危险化学品重大危险源辨识》（GB 18218-2018）</w:t>
            </w:r>
            <w:r>
              <w:rPr>
                <w:rFonts w:hint="eastAsia" w:eastAsia="宋体"/>
                <w:color w:val="auto"/>
                <w:sz w:val="24"/>
                <w:szCs w:val="21"/>
                <w:highlight w:val="none"/>
              </w:rPr>
              <w:t>，本项目涉及的风险物质为废</w:t>
            </w:r>
            <w:r>
              <w:rPr>
                <w:rFonts w:hint="eastAsia" w:eastAsia="宋体"/>
                <w:color w:val="auto"/>
                <w:sz w:val="24"/>
                <w:szCs w:val="21"/>
                <w:highlight w:val="none"/>
                <w:lang w:val="en-US" w:eastAsia="zh-CN"/>
              </w:rPr>
              <w:t>润滑油、淬火油、废液压油</w:t>
            </w:r>
            <w:r>
              <w:rPr>
                <w:rFonts w:hint="eastAsia"/>
                <w:color w:val="auto"/>
                <w:sz w:val="24"/>
                <w:szCs w:val="21"/>
                <w:highlight w:val="none"/>
                <w:lang w:val="en-US" w:eastAsia="zh-CN"/>
              </w:rPr>
              <w:t>、废磁粉液，</w:t>
            </w:r>
            <w:r>
              <w:rPr>
                <w:rFonts w:hint="eastAsia" w:eastAsia="宋体"/>
                <w:color w:val="auto"/>
                <w:sz w:val="24"/>
                <w:szCs w:val="21"/>
                <w:highlight w:val="none"/>
                <w:lang w:val="en-US" w:eastAsia="zh-CN"/>
              </w:rPr>
              <w:t>实验室</w:t>
            </w:r>
            <w:r>
              <w:rPr>
                <w:rFonts w:hint="eastAsia"/>
                <w:color w:val="auto"/>
                <w:sz w:val="24"/>
                <w:szCs w:val="21"/>
                <w:highlight w:val="none"/>
                <w:lang w:val="en-US" w:eastAsia="zh-CN"/>
              </w:rPr>
              <w:t>对成品齿轮</w:t>
            </w:r>
            <w:r>
              <w:rPr>
                <w:rFonts w:hint="eastAsia" w:eastAsia="宋体"/>
                <w:color w:val="auto"/>
                <w:sz w:val="24"/>
                <w:szCs w:val="21"/>
                <w:highlight w:val="none"/>
                <w:lang w:val="en-US" w:eastAsia="zh-CN"/>
              </w:rPr>
              <w:t>检测用</w:t>
            </w:r>
            <w:r>
              <w:rPr>
                <w:rFonts w:hint="eastAsia"/>
                <w:color w:val="auto"/>
                <w:sz w:val="24"/>
                <w:szCs w:val="21"/>
                <w:highlight w:val="none"/>
                <w:lang w:val="en-US" w:eastAsia="zh-CN"/>
              </w:rPr>
              <w:t>到</w:t>
            </w:r>
            <w:r>
              <w:rPr>
                <w:rFonts w:hint="eastAsia" w:eastAsia="宋体"/>
                <w:color w:val="auto"/>
                <w:sz w:val="24"/>
                <w:szCs w:val="21"/>
                <w:highlight w:val="none"/>
                <w:lang w:val="en-US" w:eastAsia="zh-CN"/>
              </w:rPr>
              <w:t>的乙醇</w:t>
            </w:r>
            <w:r>
              <w:rPr>
                <w:rFonts w:hint="eastAsia"/>
                <w:color w:val="auto"/>
                <w:sz w:val="24"/>
                <w:szCs w:val="21"/>
                <w:highlight w:val="none"/>
                <w:lang w:val="en-US" w:eastAsia="zh-CN"/>
              </w:rPr>
              <w:t>以及管道内输送的天然气</w:t>
            </w:r>
            <w:r>
              <w:rPr>
                <w:rFonts w:hint="eastAsia"/>
                <w:color w:val="auto"/>
                <w:sz w:val="24"/>
                <w:szCs w:val="21"/>
                <w:highlight w:val="none"/>
                <w:lang w:eastAsia="zh-CN"/>
              </w:rPr>
              <w:t>。</w:t>
            </w:r>
            <w:r>
              <w:rPr>
                <w:rFonts w:hint="eastAsia"/>
                <w:color w:val="auto"/>
                <w:kern w:val="0"/>
                <w:sz w:val="24"/>
                <w:szCs w:val="32"/>
                <w:highlight w:val="none"/>
              </w:rPr>
              <w:t>在储存和使用的过程中，如果管理操作不当或发生意外事故，存在着火、泄露等事故风险</w:t>
            </w:r>
            <w:r>
              <w:rPr>
                <w:rFonts w:hint="eastAsia"/>
                <w:color w:val="auto"/>
                <w:kern w:val="0"/>
                <w:sz w:val="24"/>
                <w:szCs w:val="32"/>
                <w:highlight w:val="none"/>
                <w:lang w:eastAsia="zh-CN"/>
              </w:rPr>
              <w:t>。</w:t>
            </w:r>
          </w:p>
          <w:p w14:paraId="362AE269">
            <w:pPr>
              <w:pStyle w:val="58"/>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color w:val="auto"/>
                <w:highlight w:val="none"/>
                <w:lang w:val="en-GB" w:eastAsia="zh-CN"/>
              </w:rPr>
            </w:pPr>
            <w:r>
              <w:rPr>
                <w:rFonts w:hint="default"/>
                <w:color w:val="auto"/>
                <w:highlight w:val="none"/>
                <w:lang w:val="en-GB" w:eastAsia="zh-CN"/>
              </w:rPr>
              <w:t>表</w:t>
            </w:r>
            <w:r>
              <w:rPr>
                <w:rFonts w:hint="eastAsia"/>
                <w:color w:val="auto"/>
                <w:highlight w:val="none"/>
                <w:lang w:val="en-US" w:eastAsia="zh-CN"/>
              </w:rPr>
              <w:t xml:space="preserve">4-15 </w:t>
            </w:r>
            <w:r>
              <w:rPr>
                <w:rFonts w:hint="default"/>
                <w:color w:val="auto"/>
                <w:highlight w:val="none"/>
                <w:lang w:val="en-GB" w:eastAsia="zh-CN"/>
              </w:rPr>
              <w:t xml:space="preserve">  </w:t>
            </w:r>
            <w:r>
              <w:rPr>
                <w:rFonts w:hint="eastAsia"/>
                <w:color w:val="auto"/>
                <w:highlight w:val="none"/>
                <w:lang w:val="en-US" w:eastAsia="zh-CN"/>
              </w:rPr>
              <w:t>危险</w:t>
            </w:r>
            <w:r>
              <w:rPr>
                <w:color w:val="auto"/>
                <w:highlight w:val="none"/>
              </w:rPr>
              <w:t>物质及存储一览表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661"/>
              <w:gridCol w:w="1807"/>
              <w:gridCol w:w="1197"/>
              <w:gridCol w:w="1465"/>
              <w:gridCol w:w="1958"/>
            </w:tblGrid>
            <w:tr w14:paraId="3D25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noWrap w:val="0"/>
                  <w:vAlign w:val="center"/>
                </w:tcPr>
                <w:p w14:paraId="26BFFBDA">
                  <w:pPr>
                    <w:pStyle w:val="53"/>
                    <w:bidi w:val="0"/>
                    <w:ind w:left="0" w:leftChars="0" w:firstLine="0" w:firstLineChars="0"/>
                    <w:rPr>
                      <w:rFonts w:hint="eastAsia" w:ascii="Times New Roman" w:hAnsi="Times New Roman" w:eastAsia="宋体" w:cs="Times New Roman"/>
                      <w:b/>
                      <w:bCs/>
                      <w:color w:val="auto"/>
                      <w:kern w:val="0"/>
                      <w:sz w:val="21"/>
                      <w:szCs w:val="20"/>
                      <w:highlight w:val="none"/>
                      <w:lang w:val="en-US" w:eastAsia="zh-CN" w:bidi="ar-SA"/>
                    </w:rPr>
                  </w:pPr>
                  <w:r>
                    <w:rPr>
                      <w:rFonts w:hint="eastAsia"/>
                      <w:b/>
                      <w:bCs/>
                      <w:color w:val="auto"/>
                      <w:highlight w:val="none"/>
                      <w:lang w:val="en-US" w:eastAsia="zh-CN"/>
                    </w:rPr>
                    <w:t>序号</w:t>
                  </w:r>
                </w:p>
              </w:tc>
              <w:tc>
                <w:tcPr>
                  <w:tcW w:w="2468" w:type="dxa"/>
                  <w:gridSpan w:val="2"/>
                  <w:noWrap w:val="0"/>
                  <w:vAlign w:val="center"/>
                </w:tcPr>
                <w:p w14:paraId="30812B67">
                  <w:pPr>
                    <w:pStyle w:val="53"/>
                    <w:bidi w:val="0"/>
                    <w:rPr>
                      <w:b/>
                      <w:bCs/>
                      <w:color w:val="auto"/>
                      <w:highlight w:val="none"/>
                    </w:rPr>
                  </w:pPr>
                  <w:r>
                    <w:rPr>
                      <w:rFonts w:hint="eastAsia"/>
                      <w:b/>
                      <w:bCs/>
                      <w:color w:val="auto"/>
                      <w:highlight w:val="none"/>
                      <w:lang w:val="en-US" w:eastAsia="zh-CN"/>
                    </w:rPr>
                    <w:t>危险</w:t>
                  </w:r>
                  <w:r>
                    <w:rPr>
                      <w:b/>
                      <w:bCs/>
                      <w:color w:val="auto"/>
                      <w:highlight w:val="none"/>
                    </w:rPr>
                    <w:t>物质</w:t>
                  </w:r>
                </w:p>
              </w:tc>
              <w:tc>
                <w:tcPr>
                  <w:tcW w:w="1197" w:type="dxa"/>
                  <w:noWrap w:val="0"/>
                  <w:vAlign w:val="center"/>
                </w:tcPr>
                <w:p w14:paraId="25DE3DEB">
                  <w:pPr>
                    <w:pStyle w:val="53"/>
                    <w:bidi w:val="0"/>
                    <w:rPr>
                      <w:b/>
                      <w:bCs/>
                      <w:color w:val="auto"/>
                      <w:highlight w:val="none"/>
                    </w:rPr>
                  </w:pPr>
                  <w:r>
                    <w:rPr>
                      <w:b/>
                      <w:bCs/>
                      <w:color w:val="auto"/>
                      <w:highlight w:val="none"/>
                      <w:lang w:val="en-GB"/>
                    </w:rPr>
                    <w:t>临界量Q</w:t>
                  </w:r>
                  <w:r>
                    <w:rPr>
                      <w:b/>
                      <w:bCs/>
                      <w:color w:val="auto"/>
                      <w:highlight w:val="none"/>
                      <w:vertAlign w:val="subscript"/>
                      <w:lang w:val="en-GB"/>
                    </w:rPr>
                    <w:t>n</w:t>
                  </w:r>
                  <w:r>
                    <w:rPr>
                      <w:b/>
                      <w:bCs/>
                      <w:color w:val="auto"/>
                      <w:highlight w:val="none"/>
                      <w:lang w:val="en-GB"/>
                    </w:rPr>
                    <w:t>/t</w:t>
                  </w:r>
                </w:p>
              </w:tc>
              <w:tc>
                <w:tcPr>
                  <w:tcW w:w="1465" w:type="dxa"/>
                  <w:noWrap w:val="0"/>
                  <w:vAlign w:val="center"/>
                </w:tcPr>
                <w:p w14:paraId="5A913E54">
                  <w:pPr>
                    <w:pStyle w:val="53"/>
                    <w:bidi w:val="0"/>
                    <w:rPr>
                      <w:b/>
                      <w:bCs/>
                      <w:color w:val="auto"/>
                      <w:highlight w:val="none"/>
                    </w:rPr>
                  </w:pPr>
                  <w:r>
                    <w:rPr>
                      <w:b/>
                      <w:bCs/>
                      <w:color w:val="auto"/>
                      <w:highlight w:val="none"/>
                      <w:lang w:val="en-GB"/>
                    </w:rPr>
                    <w:t>最大存在总量q</w:t>
                  </w:r>
                  <w:r>
                    <w:rPr>
                      <w:b/>
                      <w:bCs/>
                      <w:color w:val="auto"/>
                      <w:highlight w:val="none"/>
                      <w:vertAlign w:val="subscript"/>
                      <w:lang w:val="en-GB"/>
                    </w:rPr>
                    <w:t>n</w:t>
                  </w:r>
                  <w:r>
                    <w:rPr>
                      <w:b/>
                      <w:bCs/>
                      <w:color w:val="auto"/>
                      <w:highlight w:val="none"/>
                      <w:lang w:val="en-GB"/>
                    </w:rPr>
                    <w:t>/t</w:t>
                  </w:r>
                </w:p>
              </w:tc>
              <w:tc>
                <w:tcPr>
                  <w:tcW w:w="1958" w:type="dxa"/>
                  <w:noWrap w:val="0"/>
                  <w:vAlign w:val="center"/>
                </w:tcPr>
                <w:p w14:paraId="46945EE8">
                  <w:pPr>
                    <w:pStyle w:val="53"/>
                    <w:bidi w:val="0"/>
                    <w:rPr>
                      <w:b/>
                      <w:bCs/>
                      <w:color w:val="auto"/>
                      <w:highlight w:val="none"/>
                    </w:rPr>
                  </w:pPr>
                  <w:r>
                    <w:rPr>
                      <w:b/>
                      <w:bCs/>
                      <w:color w:val="auto"/>
                      <w:highlight w:val="none"/>
                      <w:lang w:val="en-GB"/>
                    </w:rPr>
                    <w:t>该种</w:t>
                  </w:r>
                  <w:r>
                    <w:rPr>
                      <w:b/>
                      <w:bCs/>
                      <w:color w:val="auto"/>
                      <w:highlight w:val="none"/>
                    </w:rPr>
                    <w:t>风险</w:t>
                  </w:r>
                  <w:r>
                    <w:rPr>
                      <w:b/>
                      <w:bCs/>
                      <w:color w:val="auto"/>
                      <w:highlight w:val="none"/>
                      <w:lang w:val="en-GB"/>
                    </w:rPr>
                    <w:t>物质Q值</w:t>
                  </w:r>
                </w:p>
              </w:tc>
            </w:tr>
            <w:tr w14:paraId="1FF2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noWrap w:val="0"/>
                  <w:vAlign w:val="center"/>
                </w:tcPr>
                <w:p w14:paraId="4E541A99">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w:t>
                  </w:r>
                </w:p>
              </w:tc>
              <w:tc>
                <w:tcPr>
                  <w:tcW w:w="661" w:type="dxa"/>
                  <w:vMerge w:val="restart"/>
                  <w:noWrap w:val="0"/>
                  <w:vAlign w:val="center"/>
                </w:tcPr>
                <w:p w14:paraId="1E254887">
                  <w:pPr>
                    <w:pStyle w:val="53"/>
                    <w:bidi w:val="0"/>
                    <w:rPr>
                      <w:rFonts w:hint="default"/>
                      <w:color w:val="auto"/>
                      <w:highlight w:val="none"/>
                      <w:lang w:val="en-US" w:eastAsia="zh-CN"/>
                    </w:rPr>
                  </w:pPr>
                  <w:r>
                    <w:rPr>
                      <w:rFonts w:hint="eastAsia"/>
                      <w:color w:val="auto"/>
                      <w:highlight w:val="none"/>
                      <w:lang w:val="en-US" w:eastAsia="zh-CN"/>
                    </w:rPr>
                    <w:t>油类物质</w:t>
                  </w:r>
                </w:p>
              </w:tc>
              <w:tc>
                <w:tcPr>
                  <w:tcW w:w="1807" w:type="dxa"/>
                  <w:noWrap w:val="0"/>
                  <w:vAlign w:val="center"/>
                </w:tcPr>
                <w:p w14:paraId="200B5211">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废润滑油</w:t>
                  </w:r>
                </w:p>
              </w:tc>
              <w:tc>
                <w:tcPr>
                  <w:tcW w:w="1197" w:type="dxa"/>
                  <w:noWrap w:val="0"/>
                  <w:vAlign w:val="center"/>
                </w:tcPr>
                <w:p w14:paraId="1B719F10">
                  <w:pPr>
                    <w:pStyle w:val="53"/>
                    <w:bidi w:val="0"/>
                    <w:rPr>
                      <w:rFonts w:hint="default"/>
                      <w:color w:val="auto"/>
                      <w:highlight w:val="none"/>
                      <w:lang w:val="en-US" w:eastAsia="zh-CN"/>
                    </w:rPr>
                  </w:pPr>
                  <w:r>
                    <w:rPr>
                      <w:rFonts w:hint="eastAsia"/>
                      <w:color w:val="auto"/>
                      <w:highlight w:val="none"/>
                      <w:lang w:val="en-US" w:eastAsia="zh-CN"/>
                    </w:rPr>
                    <w:t>2500</w:t>
                  </w:r>
                </w:p>
              </w:tc>
              <w:tc>
                <w:tcPr>
                  <w:tcW w:w="1465" w:type="dxa"/>
                  <w:noWrap w:val="0"/>
                  <w:vAlign w:val="center"/>
                </w:tcPr>
                <w:p w14:paraId="0781BBF4">
                  <w:pPr>
                    <w:pStyle w:val="53"/>
                    <w:bidi w:val="0"/>
                    <w:rPr>
                      <w:rFonts w:hint="default"/>
                      <w:color w:val="auto"/>
                      <w:highlight w:val="none"/>
                      <w:lang w:val="en-US" w:eastAsia="zh-CN"/>
                    </w:rPr>
                  </w:pPr>
                  <w:r>
                    <w:rPr>
                      <w:rFonts w:hint="eastAsia"/>
                      <w:color w:val="auto"/>
                      <w:highlight w:val="none"/>
                      <w:lang w:val="en-US" w:eastAsia="zh-CN"/>
                    </w:rPr>
                    <w:t>0.2</w:t>
                  </w:r>
                </w:p>
              </w:tc>
              <w:tc>
                <w:tcPr>
                  <w:tcW w:w="1958" w:type="dxa"/>
                  <w:noWrap w:val="0"/>
                  <w:vAlign w:val="center"/>
                </w:tcPr>
                <w:p w14:paraId="7F406DC0">
                  <w:pPr>
                    <w:pStyle w:val="53"/>
                    <w:bidi w:val="0"/>
                    <w:rPr>
                      <w:rFonts w:hint="default"/>
                      <w:color w:val="auto"/>
                      <w:highlight w:val="none"/>
                      <w:lang w:val="en-US" w:eastAsia="zh-CN"/>
                    </w:rPr>
                  </w:pPr>
                  <w:r>
                    <w:rPr>
                      <w:rFonts w:hint="eastAsia"/>
                      <w:color w:val="auto"/>
                      <w:highlight w:val="none"/>
                      <w:lang w:val="en-US" w:eastAsia="zh-CN"/>
                    </w:rPr>
                    <w:t>0.00008</w:t>
                  </w:r>
                </w:p>
              </w:tc>
            </w:tr>
            <w:tr w14:paraId="207C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noWrap w:val="0"/>
                  <w:vAlign w:val="center"/>
                </w:tcPr>
                <w:p w14:paraId="2BC4E930">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w:t>
                  </w:r>
                </w:p>
              </w:tc>
              <w:tc>
                <w:tcPr>
                  <w:tcW w:w="661" w:type="dxa"/>
                  <w:vMerge w:val="continue"/>
                  <w:noWrap w:val="0"/>
                  <w:vAlign w:val="center"/>
                </w:tcPr>
                <w:p w14:paraId="553A2FF9">
                  <w:pPr>
                    <w:pStyle w:val="53"/>
                    <w:bidi w:val="0"/>
                    <w:rPr>
                      <w:rFonts w:hint="default"/>
                      <w:color w:val="auto"/>
                      <w:highlight w:val="none"/>
                      <w:lang w:val="en-US" w:eastAsia="zh-CN"/>
                    </w:rPr>
                  </w:pPr>
                </w:p>
              </w:tc>
              <w:tc>
                <w:tcPr>
                  <w:tcW w:w="1807" w:type="dxa"/>
                  <w:noWrap w:val="0"/>
                  <w:vAlign w:val="center"/>
                </w:tcPr>
                <w:p w14:paraId="5BCC916B">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淬火油</w:t>
                  </w:r>
                </w:p>
              </w:tc>
              <w:tc>
                <w:tcPr>
                  <w:tcW w:w="1197" w:type="dxa"/>
                  <w:noWrap w:val="0"/>
                  <w:vAlign w:val="center"/>
                </w:tcPr>
                <w:p w14:paraId="12809D24">
                  <w:pPr>
                    <w:pStyle w:val="53"/>
                    <w:bidi w:val="0"/>
                    <w:rPr>
                      <w:rFonts w:hint="default"/>
                      <w:color w:val="auto"/>
                      <w:highlight w:val="none"/>
                      <w:lang w:val="en-US" w:eastAsia="zh-CN"/>
                    </w:rPr>
                  </w:pPr>
                  <w:r>
                    <w:rPr>
                      <w:rFonts w:hint="eastAsia"/>
                      <w:color w:val="auto"/>
                      <w:highlight w:val="none"/>
                      <w:lang w:val="en-US" w:eastAsia="zh-CN"/>
                    </w:rPr>
                    <w:t>2500</w:t>
                  </w:r>
                </w:p>
              </w:tc>
              <w:tc>
                <w:tcPr>
                  <w:tcW w:w="1465" w:type="dxa"/>
                  <w:noWrap w:val="0"/>
                  <w:vAlign w:val="center"/>
                </w:tcPr>
                <w:p w14:paraId="404997CC">
                  <w:pPr>
                    <w:pStyle w:val="53"/>
                    <w:bidi w:val="0"/>
                    <w:rPr>
                      <w:rFonts w:hint="default"/>
                      <w:color w:val="auto"/>
                      <w:highlight w:val="none"/>
                      <w:lang w:val="en-US" w:eastAsia="zh-CN"/>
                    </w:rPr>
                  </w:pPr>
                  <w:r>
                    <w:rPr>
                      <w:rFonts w:hint="eastAsia"/>
                      <w:color w:val="auto"/>
                      <w:highlight w:val="none"/>
                      <w:lang w:val="en-US" w:eastAsia="zh-CN"/>
                    </w:rPr>
                    <w:t>1</w:t>
                  </w:r>
                </w:p>
              </w:tc>
              <w:tc>
                <w:tcPr>
                  <w:tcW w:w="1958" w:type="dxa"/>
                  <w:noWrap w:val="0"/>
                  <w:vAlign w:val="center"/>
                </w:tcPr>
                <w:p w14:paraId="7EB84863">
                  <w:pPr>
                    <w:pStyle w:val="53"/>
                    <w:bidi w:val="0"/>
                    <w:rPr>
                      <w:rFonts w:hint="default"/>
                      <w:color w:val="auto"/>
                      <w:highlight w:val="none"/>
                      <w:lang w:val="en-US" w:eastAsia="zh-CN"/>
                    </w:rPr>
                  </w:pPr>
                  <w:r>
                    <w:rPr>
                      <w:rFonts w:hint="eastAsia"/>
                      <w:color w:val="auto"/>
                      <w:highlight w:val="none"/>
                      <w:lang w:val="en-US" w:eastAsia="zh-CN"/>
                    </w:rPr>
                    <w:t>0.0004</w:t>
                  </w:r>
                </w:p>
              </w:tc>
            </w:tr>
            <w:tr w14:paraId="4636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shd w:val="clear" w:color="auto" w:fill="auto"/>
                  <w:noWrap w:val="0"/>
                  <w:vAlign w:val="center"/>
                </w:tcPr>
                <w:p w14:paraId="7FFAE7C0">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3</w:t>
                  </w:r>
                </w:p>
              </w:tc>
              <w:tc>
                <w:tcPr>
                  <w:tcW w:w="661" w:type="dxa"/>
                  <w:vMerge w:val="continue"/>
                  <w:shd w:val="clear" w:color="auto" w:fill="auto"/>
                  <w:noWrap w:val="0"/>
                  <w:vAlign w:val="center"/>
                </w:tcPr>
                <w:p w14:paraId="7A68586B">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p>
              </w:tc>
              <w:tc>
                <w:tcPr>
                  <w:tcW w:w="1807" w:type="dxa"/>
                  <w:shd w:val="clear" w:color="auto" w:fill="auto"/>
                  <w:noWrap w:val="0"/>
                  <w:vAlign w:val="center"/>
                </w:tcPr>
                <w:p w14:paraId="7576A4BC">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废液压油</w:t>
                  </w:r>
                </w:p>
              </w:tc>
              <w:tc>
                <w:tcPr>
                  <w:tcW w:w="1197" w:type="dxa"/>
                  <w:shd w:val="clear" w:color="auto" w:fill="auto"/>
                  <w:noWrap w:val="0"/>
                  <w:vAlign w:val="center"/>
                </w:tcPr>
                <w:p w14:paraId="64391637">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2500</w:t>
                  </w:r>
                </w:p>
              </w:tc>
              <w:tc>
                <w:tcPr>
                  <w:tcW w:w="1465" w:type="dxa"/>
                  <w:shd w:val="clear" w:color="auto" w:fill="auto"/>
                  <w:noWrap w:val="0"/>
                  <w:vAlign w:val="center"/>
                </w:tcPr>
                <w:p w14:paraId="5BB27912">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0.4</w:t>
                  </w:r>
                </w:p>
              </w:tc>
              <w:tc>
                <w:tcPr>
                  <w:tcW w:w="1958" w:type="dxa"/>
                  <w:shd w:val="clear" w:color="auto" w:fill="auto"/>
                  <w:noWrap w:val="0"/>
                  <w:vAlign w:val="center"/>
                </w:tcPr>
                <w:p w14:paraId="32F2EB7C">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0.00016</w:t>
                  </w:r>
                </w:p>
              </w:tc>
            </w:tr>
            <w:tr w14:paraId="71E4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shd w:val="clear" w:color="auto" w:fill="auto"/>
                  <w:noWrap w:val="0"/>
                  <w:vAlign w:val="center"/>
                </w:tcPr>
                <w:p w14:paraId="03AE9B03">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4</w:t>
                  </w:r>
                </w:p>
              </w:tc>
              <w:tc>
                <w:tcPr>
                  <w:tcW w:w="661" w:type="dxa"/>
                  <w:vMerge w:val="continue"/>
                  <w:noWrap w:val="0"/>
                  <w:vAlign w:val="center"/>
                </w:tcPr>
                <w:p w14:paraId="7A97EAE9">
                  <w:pPr>
                    <w:pStyle w:val="53"/>
                    <w:bidi w:val="0"/>
                    <w:rPr>
                      <w:rFonts w:hint="default"/>
                      <w:color w:val="auto"/>
                      <w:highlight w:val="none"/>
                      <w:lang w:val="en-US" w:eastAsia="zh-CN"/>
                    </w:rPr>
                  </w:pPr>
                </w:p>
              </w:tc>
              <w:tc>
                <w:tcPr>
                  <w:tcW w:w="1807" w:type="dxa"/>
                  <w:noWrap w:val="0"/>
                  <w:vAlign w:val="center"/>
                </w:tcPr>
                <w:p w14:paraId="1871C0D9">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废磁粉液</w:t>
                  </w:r>
                </w:p>
              </w:tc>
              <w:tc>
                <w:tcPr>
                  <w:tcW w:w="1197" w:type="dxa"/>
                  <w:noWrap w:val="0"/>
                  <w:vAlign w:val="center"/>
                </w:tcPr>
                <w:p w14:paraId="1C5B1EDA">
                  <w:pPr>
                    <w:pStyle w:val="53"/>
                    <w:bidi w:val="0"/>
                    <w:rPr>
                      <w:rFonts w:hint="default"/>
                      <w:color w:val="auto"/>
                      <w:highlight w:val="none"/>
                      <w:lang w:val="en-US" w:eastAsia="zh-CN"/>
                    </w:rPr>
                  </w:pPr>
                  <w:r>
                    <w:rPr>
                      <w:rFonts w:hint="eastAsia"/>
                      <w:color w:val="auto"/>
                      <w:highlight w:val="none"/>
                      <w:lang w:val="en-US" w:eastAsia="zh-CN"/>
                    </w:rPr>
                    <w:t>2500</w:t>
                  </w:r>
                </w:p>
              </w:tc>
              <w:tc>
                <w:tcPr>
                  <w:tcW w:w="1465" w:type="dxa"/>
                  <w:noWrap w:val="0"/>
                  <w:vAlign w:val="center"/>
                </w:tcPr>
                <w:p w14:paraId="168266C1">
                  <w:pPr>
                    <w:pStyle w:val="53"/>
                    <w:bidi w:val="0"/>
                    <w:rPr>
                      <w:rFonts w:hint="default"/>
                      <w:color w:val="auto"/>
                      <w:highlight w:val="none"/>
                      <w:lang w:val="en-US" w:eastAsia="zh-CN"/>
                    </w:rPr>
                  </w:pPr>
                  <w:r>
                    <w:rPr>
                      <w:rFonts w:hint="eastAsia"/>
                      <w:color w:val="auto"/>
                      <w:highlight w:val="none"/>
                      <w:lang w:val="en-US" w:eastAsia="zh-CN"/>
                    </w:rPr>
                    <w:t>1.5</w:t>
                  </w:r>
                </w:p>
              </w:tc>
              <w:tc>
                <w:tcPr>
                  <w:tcW w:w="1958" w:type="dxa"/>
                  <w:noWrap w:val="0"/>
                  <w:vAlign w:val="center"/>
                </w:tcPr>
                <w:p w14:paraId="3C38E40B">
                  <w:pPr>
                    <w:pStyle w:val="53"/>
                    <w:bidi w:val="0"/>
                    <w:rPr>
                      <w:rFonts w:hint="default"/>
                      <w:color w:val="auto"/>
                      <w:highlight w:val="none"/>
                      <w:lang w:val="en-US" w:eastAsia="zh-CN"/>
                    </w:rPr>
                  </w:pPr>
                  <w:r>
                    <w:rPr>
                      <w:rFonts w:hint="eastAsia"/>
                      <w:color w:val="auto"/>
                      <w:highlight w:val="none"/>
                      <w:lang w:val="en-US" w:eastAsia="zh-CN"/>
                    </w:rPr>
                    <w:t>0.0006</w:t>
                  </w:r>
                </w:p>
              </w:tc>
            </w:tr>
            <w:tr w14:paraId="1908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shd w:val="clear" w:color="auto" w:fill="auto"/>
                  <w:noWrap w:val="0"/>
                  <w:vAlign w:val="center"/>
                </w:tcPr>
                <w:p w14:paraId="5415E043">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5</w:t>
                  </w:r>
                </w:p>
              </w:tc>
              <w:tc>
                <w:tcPr>
                  <w:tcW w:w="2468" w:type="dxa"/>
                  <w:gridSpan w:val="2"/>
                  <w:noWrap w:val="0"/>
                  <w:vAlign w:val="center"/>
                </w:tcPr>
                <w:p w14:paraId="0887D9FF">
                  <w:pPr>
                    <w:pStyle w:val="53"/>
                    <w:bidi w:val="0"/>
                    <w:rPr>
                      <w:rFonts w:hint="default"/>
                      <w:color w:val="auto"/>
                      <w:highlight w:val="none"/>
                      <w:lang w:val="en-US" w:eastAsia="zh-CN"/>
                    </w:rPr>
                  </w:pPr>
                  <w:r>
                    <w:rPr>
                      <w:rFonts w:hint="eastAsia"/>
                      <w:color w:val="auto"/>
                      <w:highlight w:val="none"/>
                      <w:lang w:val="en-US" w:eastAsia="zh-CN"/>
                    </w:rPr>
                    <w:t>乙醇</w:t>
                  </w:r>
                </w:p>
              </w:tc>
              <w:tc>
                <w:tcPr>
                  <w:tcW w:w="1197" w:type="dxa"/>
                  <w:noWrap w:val="0"/>
                  <w:vAlign w:val="center"/>
                </w:tcPr>
                <w:p w14:paraId="49A9F491">
                  <w:pPr>
                    <w:pStyle w:val="53"/>
                    <w:bidi w:val="0"/>
                    <w:rPr>
                      <w:rFonts w:hint="default"/>
                      <w:color w:val="auto"/>
                      <w:highlight w:val="none"/>
                      <w:lang w:val="en-US" w:eastAsia="zh-CN"/>
                    </w:rPr>
                  </w:pPr>
                  <w:r>
                    <w:rPr>
                      <w:rFonts w:hint="eastAsia"/>
                      <w:color w:val="auto"/>
                      <w:highlight w:val="none"/>
                      <w:lang w:val="en-US" w:eastAsia="zh-CN"/>
                    </w:rPr>
                    <w:t>500</w:t>
                  </w:r>
                </w:p>
              </w:tc>
              <w:tc>
                <w:tcPr>
                  <w:tcW w:w="1465" w:type="dxa"/>
                  <w:noWrap w:val="0"/>
                  <w:vAlign w:val="center"/>
                </w:tcPr>
                <w:p w14:paraId="77FB625F">
                  <w:pPr>
                    <w:pStyle w:val="53"/>
                    <w:bidi w:val="0"/>
                    <w:rPr>
                      <w:rFonts w:hint="default"/>
                      <w:color w:val="auto"/>
                      <w:highlight w:val="none"/>
                      <w:lang w:val="en-US" w:eastAsia="zh-CN"/>
                    </w:rPr>
                  </w:pPr>
                  <w:r>
                    <w:rPr>
                      <w:rFonts w:hint="eastAsia"/>
                      <w:color w:val="auto"/>
                      <w:highlight w:val="none"/>
                      <w:lang w:val="en-US" w:eastAsia="zh-CN"/>
                    </w:rPr>
                    <w:t>0.001</w:t>
                  </w:r>
                </w:p>
              </w:tc>
              <w:tc>
                <w:tcPr>
                  <w:tcW w:w="1958" w:type="dxa"/>
                  <w:noWrap w:val="0"/>
                  <w:vAlign w:val="center"/>
                </w:tcPr>
                <w:p w14:paraId="4CF3D58B">
                  <w:pPr>
                    <w:pStyle w:val="53"/>
                    <w:bidi w:val="0"/>
                    <w:rPr>
                      <w:rFonts w:hint="default"/>
                      <w:color w:val="auto"/>
                      <w:highlight w:val="none"/>
                      <w:lang w:val="en-US" w:eastAsia="zh-CN"/>
                    </w:rPr>
                  </w:pPr>
                  <w:r>
                    <w:rPr>
                      <w:rFonts w:hint="eastAsia"/>
                      <w:color w:val="auto"/>
                      <w:highlight w:val="none"/>
                      <w:lang w:val="en-US" w:eastAsia="zh-CN"/>
                    </w:rPr>
                    <w:t>0.000002</w:t>
                  </w:r>
                </w:p>
              </w:tc>
            </w:tr>
            <w:tr w14:paraId="512B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noWrap w:val="0"/>
                  <w:vAlign w:val="center"/>
                </w:tcPr>
                <w:p w14:paraId="189F9876">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p>
              </w:tc>
              <w:tc>
                <w:tcPr>
                  <w:tcW w:w="2468" w:type="dxa"/>
                  <w:gridSpan w:val="2"/>
                  <w:noWrap w:val="0"/>
                  <w:vAlign w:val="center"/>
                </w:tcPr>
                <w:p w14:paraId="6DCF8211">
                  <w:pPr>
                    <w:pStyle w:val="53"/>
                    <w:bidi w:val="0"/>
                    <w:rPr>
                      <w:rFonts w:hint="default"/>
                      <w:color w:val="auto"/>
                      <w:highlight w:val="none"/>
                      <w:lang w:val="en-US" w:eastAsia="zh-CN"/>
                    </w:rPr>
                  </w:pPr>
                  <w:r>
                    <w:rPr>
                      <w:rFonts w:hint="eastAsia"/>
                      <w:color w:val="auto"/>
                      <w:highlight w:val="none"/>
                      <w:lang w:val="en-US" w:eastAsia="zh-CN"/>
                    </w:rPr>
                    <w:t>天然气（在线量）</w:t>
                  </w:r>
                </w:p>
              </w:tc>
              <w:tc>
                <w:tcPr>
                  <w:tcW w:w="1197" w:type="dxa"/>
                  <w:noWrap w:val="0"/>
                  <w:vAlign w:val="center"/>
                </w:tcPr>
                <w:p w14:paraId="508BB24B">
                  <w:pPr>
                    <w:pStyle w:val="53"/>
                    <w:bidi w:val="0"/>
                    <w:rPr>
                      <w:rFonts w:hint="default"/>
                      <w:color w:val="auto"/>
                      <w:highlight w:val="none"/>
                      <w:lang w:val="en-US" w:eastAsia="zh-CN"/>
                    </w:rPr>
                  </w:pPr>
                  <w:r>
                    <w:rPr>
                      <w:rFonts w:hint="eastAsia"/>
                      <w:color w:val="auto"/>
                      <w:highlight w:val="none"/>
                      <w:lang w:val="en-US" w:eastAsia="zh-CN"/>
                    </w:rPr>
                    <w:t>50</w:t>
                  </w:r>
                </w:p>
              </w:tc>
              <w:tc>
                <w:tcPr>
                  <w:tcW w:w="1465" w:type="dxa"/>
                  <w:noWrap w:val="0"/>
                  <w:vAlign w:val="center"/>
                </w:tcPr>
                <w:p w14:paraId="3CE823D0">
                  <w:pPr>
                    <w:pStyle w:val="53"/>
                    <w:bidi w:val="0"/>
                    <w:rPr>
                      <w:rFonts w:hint="default"/>
                      <w:color w:val="auto"/>
                      <w:highlight w:val="none"/>
                      <w:lang w:val="en-US" w:eastAsia="zh-CN"/>
                    </w:rPr>
                  </w:pPr>
                  <w:r>
                    <w:rPr>
                      <w:rFonts w:hint="eastAsia"/>
                      <w:color w:val="auto"/>
                      <w:highlight w:val="none"/>
                      <w:lang w:val="en-US" w:eastAsia="zh-CN"/>
                    </w:rPr>
                    <w:t>0.01</w:t>
                  </w:r>
                </w:p>
              </w:tc>
              <w:tc>
                <w:tcPr>
                  <w:tcW w:w="1958" w:type="dxa"/>
                  <w:noWrap w:val="0"/>
                  <w:vAlign w:val="center"/>
                </w:tcPr>
                <w:p w14:paraId="4A635065">
                  <w:pPr>
                    <w:pStyle w:val="53"/>
                    <w:bidi w:val="0"/>
                    <w:rPr>
                      <w:rFonts w:hint="default"/>
                      <w:color w:val="auto"/>
                      <w:highlight w:val="none"/>
                      <w:lang w:val="en-US" w:eastAsia="zh-CN"/>
                    </w:rPr>
                  </w:pPr>
                  <w:r>
                    <w:rPr>
                      <w:rFonts w:hint="eastAsia"/>
                      <w:color w:val="auto"/>
                      <w:highlight w:val="none"/>
                      <w:lang w:val="en-US" w:eastAsia="zh-CN"/>
                    </w:rPr>
                    <w:t>0.0002</w:t>
                  </w:r>
                </w:p>
              </w:tc>
            </w:tr>
            <w:tr w14:paraId="52FB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8" w:type="dxa"/>
                  <w:gridSpan w:val="5"/>
                  <w:noWrap w:val="0"/>
                  <w:vAlign w:val="center"/>
                </w:tcPr>
                <w:p w14:paraId="313E8188">
                  <w:pPr>
                    <w:pStyle w:val="53"/>
                    <w:bidi w:val="0"/>
                    <w:rPr>
                      <w:color w:val="auto"/>
                      <w:highlight w:val="none"/>
                    </w:rPr>
                  </w:pPr>
                  <w:r>
                    <w:rPr>
                      <w:color w:val="auto"/>
                      <w:highlight w:val="none"/>
                    </w:rPr>
                    <w:t>合计</w:t>
                  </w:r>
                </w:p>
              </w:tc>
              <w:tc>
                <w:tcPr>
                  <w:tcW w:w="1958" w:type="dxa"/>
                  <w:noWrap w:val="0"/>
                  <w:vAlign w:val="center"/>
                </w:tcPr>
                <w:p w14:paraId="068FD7C3">
                  <w:pPr>
                    <w:pStyle w:val="53"/>
                    <w:bidi w:val="0"/>
                    <w:rPr>
                      <w:rFonts w:hint="default"/>
                      <w:color w:val="auto"/>
                      <w:highlight w:val="none"/>
                      <w:lang w:val="en-US" w:eastAsia="zh-CN"/>
                    </w:rPr>
                  </w:pPr>
                  <w:r>
                    <w:rPr>
                      <w:rFonts w:hint="eastAsia"/>
                      <w:color w:val="auto"/>
                      <w:highlight w:val="none"/>
                      <w:lang w:val="en-US" w:eastAsia="zh-CN"/>
                    </w:rPr>
                    <w:t>0.000842</w:t>
                  </w:r>
                </w:p>
              </w:tc>
            </w:tr>
          </w:tbl>
          <w:p w14:paraId="4237B804">
            <w:pPr>
              <w:bidi w:val="0"/>
              <w:rPr>
                <w:rFonts w:hint="default"/>
                <w:color w:val="auto"/>
                <w:highlight w:val="none"/>
                <w:lang w:eastAsia="zh-CN"/>
              </w:rPr>
            </w:pPr>
            <w:r>
              <w:rPr>
                <w:rFonts w:hint="default"/>
                <w:color w:val="auto"/>
                <w:highlight w:val="none"/>
                <w:lang w:eastAsia="zh-CN"/>
              </w:rPr>
              <w:t>由《建设项目环境风险评价技术导则》（HJ/T169-2018）附录</w:t>
            </w:r>
            <w:r>
              <w:rPr>
                <w:rFonts w:hint="default"/>
                <w:color w:val="auto"/>
                <w:highlight w:val="none"/>
                <w:lang w:val="en-US" w:eastAsia="zh-CN"/>
              </w:rPr>
              <w:t>C</w:t>
            </w:r>
            <w:r>
              <w:rPr>
                <w:rFonts w:hint="default"/>
                <w:color w:val="auto"/>
                <w:highlight w:val="none"/>
                <w:lang w:eastAsia="zh-CN"/>
              </w:rPr>
              <w:t>可知，Q</w:t>
            </w:r>
            <w:r>
              <w:rPr>
                <w:rFonts w:hint="eastAsia"/>
                <w:color w:val="auto"/>
                <w:highlight w:val="none"/>
                <w:lang w:val="en-US" w:eastAsia="zh-CN"/>
              </w:rPr>
              <w:t>值=0.000842</w:t>
            </w:r>
            <w:r>
              <w:rPr>
                <w:rFonts w:hint="default"/>
                <w:color w:val="auto"/>
                <w:highlight w:val="none"/>
                <w:lang w:eastAsia="zh-CN"/>
              </w:rPr>
              <w:t>＜1。</w:t>
            </w:r>
            <w:r>
              <w:rPr>
                <w:rFonts w:hint="default"/>
                <w:color w:val="auto"/>
                <w:highlight w:val="none"/>
                <w:lang w:val="en-US" w:eastAsia="zh-CN"/>
              </w:rPr>
              <w:t>根据《建设项目环境风险评价技术导则》</w:t>
            </w:r>
            <w:r>
              <w:rPr>
                <w:rFonts w:hint="eastAsia"/>
                <w:color w:val="auto"/>
                <w:highlight w:val="none"/>
                <w:lang w:val="en-US" w:eastAsia="zh-CN"/>
              </w:rPr>
              <w:t>（</w:t>
            </w:r>
            <w:r>
              <w:rPr>
                <w:rFonts w:hint="default"/>
                <w:color w:val="auto"/>
                <w:highlight w:val="none"/>
                <w:lang w:val="en-US" w:eastAsia="zh-CN"/>
              </w:rPr>
              <w:t>HJ169-2018</w:t>
            </w:r>
            <w:r>
              <w:rPr>
                <w:rFonts w:hint="eastAsia"/>
                <w:color w:val="auto"/>
                <w:highlight w:val="none"/>
                <w:lang w:val="en-US" w:eastAsia="zh-CN"/>
              </w:rPr>
              <w:t>）</w:t>
            </w:r>
            <w:r>
              <w:rPr>
                <w:rFonts w:hint="default"/>
                <w:color w:val="auto"/>
                <w:highlight w:val="none"/>
                <w:lang w:val="en-US" w:eastAsia="zh-CN"/>
              </w:rPr>
              <w:t>中项目风险等级判别表可知，</w:t>
            </w:r>
            <w:r>
              <w:rPr>
                <w:rFonts w:hint="default"/>
                <w:color w:val="auto"/>
                <w:highlight w:val="none"/>
                <w:lang w:eastAsia="zh-CN"/>
              </w:rPr>
              <w:t>评价等级为简单分析。</w:t>
            </w:r>
          </w:p>
          <w:p w14:paraId="00E84D2F">
            <w:pPr>
              <w:numPr>
                <w:ilvl w:val="0"/>
                <w:numId w:val="16"/>
              </w:numPr>
              <w:bidi w:val="0"/>
              <w:rPr>
                <w:rFonts w:hint="default"/>
                <w:color w:val="auto"/>
                <w:highlight w:val="none"/>
                <w:lang w:eastAsia="zh-CN"/>
              </w:rPr>
            </w:pPr>
            <w:r>
              <w:rPr>
                <w:rFonts w:hint="default"/>
                <w:color w:val="auto"/>
                <w:highlight w:val="none"/>
                <w:lang w:eastAsia="zh-CN"/>
              </w:rPr>
              <w:t>环境影响途径</w:t>
            </w:r>
          </w:p>
          <w:p w14:paraId="46620CC9">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lang w:eastAsia="zh-CN"/>
              </w:rPr>
            </w:pPr>
            <w:r>
              <w:rPr>
                <w:rFonts w:hint="eastAsia"/>
                <w:color w:val="auto"/>
                <w:kern w:val="0"/>
                <w:sz w:val="24"/>
                <w:highlight w:val="none"/>
                <w:lang w:val="en-US" w:eastAsia="zh-CN"/>
              </w:rPr>
              <w:t>油类物质</w:t>
            </w:r>
            <w:r>
              <w:rPr>
                <w:rFonts w:hint="eastAsia"/>
                <w:color w:val="auto"/>
                <w:kern w:val="0"/>
                <w:sz w:val="24"/>
                <w:highlight w:val="none"/>
              </w:rPr>
              <w:t>如果不按要求进行安全处置，而是随一般固体废物进行处理，则可能污染土壤和水体，</w:t>
            </w:r>
            <w:r>
              <w:rPr>
                <w:rFonts w:hint="eastAsia" w:ascii="宋体" w:hAnsi="宋体" w:cs="宋体"/>
                <w:color w:val="auto"/>
                <w:kern w:val="0"/>
                <w:sz w:val="24"/>
                <w:highlight w:val="none"/>
                <w:lang w:bidi="ar"/>
              </w:rPr>
              <w:t>油烃及其组分通过土壤向地下水的迁移，会造成地下水环境中石油烃组分的不同程度检出，降低地下水的品质，影响其使用功能。</w:t>
            </w:r>
            <w:r>
              <w:rPr>
                <w:rFonts w:hint="eastAsia" w:ascii="Times New Roman" w:hAnsi="Times New Roman" w:eastAsia="宋体" w:cs="Times New Roman"/>
                <w:color w:val="auto"/>
                <w:sz w:val="24"/>
                <w:szCs w:val="24"/>
                <w:highlight w:val="none"/>
              </w:rPr>
              <w:t>其次</w:t>
            </w:r>
            <w:r>
              <w:rPr>
                <w:rFonts w:hint="eastAsia" w:ascii="Times New Roman" w:hAnsi="Times New Roman" w:eastAsia="宋体" w:cs="Times New Roman"/>
                <w:color w:val="auto"/>
                <w:sz w:val="24"/>
                <w:szCs w:val="24"/>
                <w:highlight w:val="none"/>
                <w:lang w:val="en-US" w:eastAsia="zh-CN"/>
              </w:rPr>
              <w:t>贮存的</w:t>
            </w:r>
            <w:r>
              <w:rPr>
                <w:rFonts w:hint="eastAsia"/>
                <w:color w:val="auto"/>
                <w:kern w:val="0"/>
                <w:sz w:val="24"/>
                <w:highlight w:val="none"/>
                <w:lang w:val="en-US" w:eastAsia="zh-CN"/>
              </w:rPr>
              <w:t>油类物质</w:t>
            </w:r>
            <w:r>
              <w:rPr>
                <w:rFonts w:hint="eastAsia" w:ascii="Times New Roman" w:hAnsi="Times New Roman" w:eastAsia="宋体" w:cs="Times New Roman"/>
                <w:color w:val="auto"/>
                <w:sz w:val="24"/>
                <w:szCs w:val="24"/>
                <w:highlight w:val="none"/>
              </w:rPr>
              <w:t>一旦遇到明火，如施工人员吸烟、厂区中有明火等，均可能导致火灾的发生，危害人身安全</w:t>
            </w:r>
            <w:r>
              <w:rPr>
                <w:rFonts w:hint="eastAsia" w:ascii="Times New Roman" w:hAnsi="Times New Roman" w:eastAsia="宋体" w:cs="Times New Roman"/>
                <w:color w:val="auto"/>
                <w:sz w:val="24"/>
                <w:szCs w:val="24"/>
                <w:highlight w:val="none"/>
                <w:lang w:eastAsia="zh-CN"/>
              </w:rPr>
              <w:t>。</w:t>
            </w:r>
          </w:p>
          <w:p w14:paraId="17B87DC2">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管输天然气</w:t>
            </w:r>
            <w:r>
              <w:rPr>
                <w:rFonts w:hint="eastAsia" w:ascii="Times New Roman" w:hAnsi="Times New Roman" w:eastAsia="宋体" w:cs="Times New Roman"/>
                <w:color w:val="auto"/>
                <w:sz w:val="24"/>
                <w:szCs w:val="24"/>
                <w:highlight w:val="none"/>
                <w:lang w:eastAsia="zh-CN"/>
              </w:rPr>
              <w:t>可能发生的事故为管线、阀室工艺管道破裂、爆管引起天然气泄漏，进而引发人员窒息、火灾或爆炸事故。本项目</w:t>
            </w:r>
            <w:r>
              <w:rPr>
                <w:rFonts w:hint="eastAsia" w:cs="Times New Roman"/>
                <w:color w:val="auto"/>
                <w:sz w:val="24"/>
                <w:szCs w:val="24"/>
                <w:highlight w:val="none"/>
                <w:lang w:val="en-US" w:eastAsia="zh-CN"/>
              </w:rPr>
              <w:t>使用天然气为燃料，主要成分为甲烷，甲烷属于易燃气体，与空气混合能形成爆炸性混合物，遇热源和明火有燃烧爆炸的危险</w:t>
            </w:r>
            <w:r>
              <w:rPr>
                <w:rFonts w:hint="eastAsia" w:ascii="Times New Roman" w:hAnsi="Times New Roman" w:eastAsia="宋体" w:cs="Times New Roman"/>
                <w:color w:val="auto"/>
                <w:sz w:val="24"/>
                <w:szCs w:val="24"/>
                <w:highlight w:val="none"/>
                <w:lang w:eastAsia="zh-CN"/>
              </w:rPr>
              <w:t>。</w:t>
            </w:r>
          </w:p>
          <w:p w14:paraId="461C7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综上，</w:t>
            </w:r>
            <w:r>
              <w:rPr>
                <w:rFonts w:hint="eastAsia"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rPr>
              <w:t>环境风险主要为</w:t>
            </w:r>
            <w:r>
              <w:rPr>
                <w:rFonts w:hint="eastAsia" w:ascii="Times New Roman" w:hAnsi="Times New Roman" w:eastAsia="宋体" w:cs="Times New Roman"/>
                <w:color w:val="auto"/>
                <w:sz w:val="24"/>
                <w:szCs w:val="24"/>
                <w:highlight w:val="none"/>
                <w:lang w:val="en-US" w:eastAsia="zh-CN"/>
              </w:rPr>
              <w:t>油类物质</w:t>
            </w:r>
            <w:r>
              <w:rPr>
                <w:rFonts w:hint="eastAsia" w:ascii="Times New Roman" w:hAnsi="Times New Roman" w:eastAsia="宋体" w:cs="Times New Roman"/>
                <w:color w:val="auto"/>
                <w:sz w:val="24"/>
                <w:szCs w:val="24"/>
                <w:highlight w:val="none"/>
              </w:rPr>
              <w:t>发生泄漏引起的火灾、爆炸等引起的伴生/次生污染物排放。</w:t>
            </w:r>
          </w:p>
          <w:p w14:paraId="3E4C121A">
            <w:pPr>
              <w:numPr>
                <w:ilvl w:val="0"/>
                <w:numId w:val="16"/>
              </w:numPr>
              <w:bidi w:val="0"/>
              <w:rPr>
                <w:rFonts w:hint="eastAsia"/>
                <w:color w:val="auto"/>
                <w:highlight w:val="none"/>
                <w:lang w:val="en-US" w:eastAsia="zh-CN"/>
              </w:rPr>
            </w:pPr>
            <w:r>
              <w:rPr>
                <w:rFonts w:hint="default" w:ascii="Times New Roman" w:hAnsi="Times New Roman" w:eastAsia="宋体" w:cs="Times New Roman"/>
                <w:bCs/>
                <w:color w:val="auto"/>
                <w:sz w:val="24"/>
                <w:szCs w:val="24"/>
                <w:highlight w:val="none"/>
                <w:lang w:eastAsia="zh-CN"/>
              </w:rPr>
              <w:t>风险防范措施</w:t>
            </w:r>
          </w:p>
          <w:p w14:paraId="30B02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val="en-US" w:eastAsia="zh-CN"/>
              </w:rPr>
              <w:t>为确保安全生产，防止灾害和事故的发生和蔓延，在项目建设中，充分设置各种足够的、必须的安全和消防措施。</w:t>
            </w:r>
          </w:p>
          <w:p w14:paraId="4E17C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选择优质的设备、材料，保证工程质量，确保生产安全、正常。杜绝不正常的泄漏。</w:t>
            </w:r>
          </w:p>
          <w:p w14:paraId="5613C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val="en-US" w:eastAsia="zh-CN"/>
              </w:rPr>
              <w:t>危废</w:t>
            </w:r>
            <w:r>
              <w:rPr>
                <w:rFonts w:hint="eastAsia" w:cs="Times New Roman"/>
                <w:color w:val="auto"/>
                <w:sz w:val="24"/>
                <w:szCs w:val="24"/>
                <w:highlight w:val="none"/>
                <w:lang w:val="en-US" w:eastAsia="zh-CN"/>
              </w:rPr>
              <w:t>贮存点</w:t>
            </w:r>
            <w:r>
              <w:rPr>
                <w:rFonts w:hint="default" w:ascii="Times New Roman" w:hAnsi="Times New Roman" w:eastAsia="宋体" w:cs="Times New Roman"/>
                <w:color w:val="auto"/>
                <w:sz w:val="24"/>
                <w:szCs w:val="24"/>
                <w:highlight w:val="none"/>
                <w:lang w:val="en-US" w:eastAsia="zh-CN"/>
              </w:rPr>
              <w:t>严格按照相关技术规范进行设计建设，设置渗漏收集沟渠，确保事故状态下能够有效防治油品溢流。</w:t>
            </w:r>
            <w:r>
              <w:rPr>
                <w:rFonts w:hint="default" w:ascii="Times New Roman" w:hAnsi="Times New Roman" w:eastAsia="宋体" w:cs="Times New Roman"/>
                <w:color w:val="auto"/>
                <w:sz w:val="24"/>
                <w:szCs w:val="24"/>
                <w:highlight w:val="none"/>
              </w:rPr>
              <w:t>并储备一些应急救援物资，如沙袋、吸附棉等。</w:t>
            </w:r>
          </w:p>
          <w:p w14:paraId="2ACD4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④定期对危险废物</w:t>
            </w:r>
            <w:r>
              <w:rPr>
                <w:rFonts w:hint="eastAsia" w:cs="Times New Roman"/>
                <w:color w:val="auto"/>
                <w:sz w:val="24"/>
                <w:szCs w:val="24"/>
                <w:highlight w:val="none"/>
                <w:lang w:val="en-US" w:eastAsia="zh-CN"/>
              </w:rPr>
              <w:t>贮存点</w:t>
            </w:r>
            <w:r>
              <w:rPr>
                <w:rFonts w:hint="default" w:ascii="Times New Roman" w:hAnsi="Times New Roman" w:eastAsia="宋体" w:cs="Times New Roman"/>
                <w:color w:val="auto"/>
                <w:sz w:val="24"/>
                <w:szCs w:val="24"/>
                <w:highlight w:val="none"/>
              </w:rPr>
              <w:t>进行检查，减少事故隐患；</w:t>
            </w:r>
          </w:p>
          <w:p w14:paraId="2DC44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⑤加强对员工的职业素养教育，搞好岗位技术培训，强化应急救援预案的演练，增强员工的应变能力，进一步提高员工的生产意识和自我防范能力；</w:t>
            </w:r>
          </w:p>
          <w:p w14:paraId="63FD8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⑥建立严格的安全管理制度，杜绝违章动火、吸烟等现象，，在醒目的位置应该设置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严禁烟火</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禁火区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等标语和标牌；</w:t>
            </w:r>
          </w:p>
          <w:p w14:paraId="41B0A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⑦对天然气管材选用、焊接工艺、焊后质量检验以及阀室安装方面提出严格的技术要求，并在管道外壁作防腐绝缘层，防止管道外壁腐蚀穿孔；</w:t>
            </w:r>
          </w:p>
          <w:p w14:paraId="02FAC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⑧加强环境安全管理的学习，严格执行正规的操作程序；加强员工的环保意识和风险防范意识，制定完善的事故应急救援预案；并按规定配备劳动防护用品，经常性地进行安全和健康防护方面的教育。</w:t>
            </w:r>
          </w:p>
          <w:p w14:paraId="42560A77">
            <w:pPr>
              <w:keepNext w:val="0"/>
              <w:keepLines w:val="0"/>
              <w:suppressLineNumbers w:val="0"/>
              <w:spacing w:before="0" w:beforeAutospacing="0" w:after="0" w:afterAutospacing="0" w:line="360" w:lineRule="auto"/>
              <w:ind w:right="0"/>
              <w:rPr>
                <w:rFonts w:hint="eastAsia"/>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综上所述，环境风险物质</w:t>
            </w:r>
            <w:r>
              <w:rPr>
                <w:rFonts w:hint="default" w:ascii="Times New Roman" w:hAnsi="Times New Roman" w:eastAsia="宋体" w:cs="Times New Roman"/>
                <w:color w:val="auto"/>
                <w:sz w:val="24"/>
                <w:szCs w:val="24"/>
                <w:highlight w:val="none"/>
                <w:lang w:val="en-US" w:eastAsia="zh-CN"/>
              </w:rPr>
              <w:t>暂存量较少，只要加强日常管理，发生环境风险事件的概率极小，项目运营期环境风险处于可接受水平</w:t>
            </w:r>
            <w:r>
              <w:rPr>
                <w:rFonts w:hint="eastAsia" w:ascii="Times New Roman" w:hAnsi="Times New Roman" w:eastAsia="宋体" w:cs="Times New Roman"/>
                <w:color w:val="auto"/>
                <w:sz w:val="24"/>
                <w:szCs w:val="24"/>
                <w:highlight w:val="none"/>
                <w:lang w:val="en-US" w:eastAsia="zh-CN"/>
              </w:rPr>
              <w:t>。</w:t>
            </w:r>
          </w:p>
          <w:p w14:paraId="312E227F">
            <w:pPr>
              <w:bidi w:val="0"/>
              <w:ind w:left="0" w:leftChars="0" w:firstLine="0" w:firstLineChars="0"/>
              <w:rPr>
                <w:rFonts w:hint="default"/>
                <w:color w:val="auto"/>
                <w:highlight w:val="none"/>
                <w:lang w:val="en-US" w:eastAsia="zh-CN"/>
              </w:rPr>
            </w:pPr>
          </w:p>
          <w:p w14:paraId="03DDAEA1">
            <w:pPr>
              <w:bidi w:val="0"/>
              <w:ind w:left="0" w:leftChars="0" w:firstLine="0" w:firstLineChars="0"/>
              <w:rPr>
                <w:rFonts w:hint="default"/>
                <w:color w:val="auto"/>
                <w:highlight w:val="none"/>
                <w:lang w:val="en-US" w:eastAsia="zh-CN"/>
              </w:rPr>
            </w:pPr>
          </w:p>
          <w:p w14:paraId="6F58FC8D">
            <w:pPr>
              <w:bidi w:val="0"/>
              <w:ind w:left="0" w:leftChars="0" w:firstLine="0" w:firstLineChars="0"/>
              <w:rPr>
                <w:rFonts w:hint="default"/>
                <w:color w:val="auto"/>
                <w:highlight w:val="none"/>
                <w:lang w:val="en-US" w:eastAsia="zh-CN"/>
              </w:rPr>
            </w:pPr>
          </w:p>
        </w:tc>
      </w:tr>
    </w:tbl>
    <w:p w14:paraId="43311C87">
      <w:pPr>
        <w:adjustRightInd w:val="0"/>
        <w:snapToGrid w:val="0"/>
        <w:spacing w:line="360" w:lineRule="auto"/>
        <w:rPr>
          <w:rFonts w:hint="eastAsia" w:ascii="宋体" w:cs="宋体"/>
          <w:b/>
          <w:color w:val="auto"/>
          <w:kern w:val="0"/>
          <w:sz w:val="28"/>
          <w:szCs w:val="28"/>
          <w:highlight w:val="none"/>
        </w:rPr>
        <w:sectPr>
          <w:pgSz w:w="11907" w:h="16840"/>
          <w:pgMar w:top="1701" w:right="1531" w:bottom="2127" w:left="1531" w:header="851" w:footer="851" w:gutter="0"/>
          <w:pgNumType w:fmt="decimal"/>
          <w:cols w:space="720" w:num="1"/>
          <w:docGrid w:linePitch="312" w:charSpace="0"/>
        </w:sectPr>
      </w:pPr>
    </w:p>
    <w:p w14:paraId="28CEAD1B">
      <w:pPr>
        <w:pStyle w:val="26"/>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5" w:name="_Hlk54167917"/>
      <w:r>
        <w:rPr>
          <w:rFonts w:hint="eastAsia" w:ascii="黑体" w:hAnsi="黑体" w:eastAsia="黑体"/>
          <w:snapToGrid w:val="0"/>
          <w:color w:val="auto"/>
          <w:sz w:val="30"/>
          <w:szCs w:val="30"/>
          <w:highlight w:val="none"/>
        </w:rPr>
        <w:t>环境保护措施监督检查清单</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550"/>
        <w:gridCol w:w="1365"/>
        <w:gridCol w:w="1695"/>
        <w:gridCol w:w="2412"/>
      </w:tblGrid>
      <w:tr w14:paraId="1959A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1F727102">
            <w:pPr>
              <w:pStyle w:val="53"/>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内容</w:t>
            </w:r>
          </w:p>
          <w:p w14:paraId="278AD270">
            <w:pPr>
              <w:pStyle w:val="53"/>
              <w:bidi w:val="0"/>
              <w:rPr>
                <w:rFonts w:hint="eastAsia"/>
                <w:b/>
                <w:bCs/>
                <w:color w:val="auto"/>
                <w:highlight w:val="none"/>
              </w:rPr>
            </w:pPr>
            <w:r>
              <w:rPr>
                <w:rFonts w:hint="eastAsia"/>
                <w:b/>
                <w:bCs/>
                <w:color w:val="auto"/>
                <w:highlight w:val="none"/>
              </w:rPr>
              <w:t>要素</w:t>
            </w:r>
          </w:p>
        </w:tc>
        <w:tc>
          <w:tcPr>
            <w:tcW w:w="1550" w:type="dxa"/>
            <w:noWrap w:val="0"/>
            <w:vAlign w:val="center"/>
          </w:tcPr>
          <w:p w14:paraId="3CC7306B">
            <w:pPr>
              <w:pStyle w:val="53"/>
              <w:bidi w:val="0"/>
              <w:rPr>
                <w:rFonts w:hint="eastAsia"/>
                <w:b/>
                <w:bCs/>
                <w:color w:val="auto"/>
                <w:highlight w:val="none"/>
              </w:rPr>
            </w:pPr>
            <w:r>
              <w:rPr>
                <w:rFonts w:hint="eastAsia"/>
                <w:b/>
                <w:bCs/>
                <w:color w:val="auto"/>
                <w:highlight w:val="none"/>
              </w:rPr>
              <w:t>排放口(编号、名称)/污染源</w:t>
            </w:r>
          </w:p>
        </w:tc>
        <w:tc>
          <w:tcPr>
            <w:tcW w:w="1365" w:type="dxa"/>
            <w:noWrap w:val="0"/>
            <w:vAlign w:val="center"/>
          </w:tcPr>
          <w:p w14:paraId="3E63F0BC">
            <w:pPr>
              <w:pStyle w:val="53"/>
              <w:bidi w:val="0"/>
              <w:rPr>
                <w:rFonts w:hint="eastAsia"/>
                <w:b/>
                <w:bCs/>
                <w:color w:val="auto"/>
                <w:highlight w:val="none"/>
              </w:rPr>
            </w:pPr>
            <w:r>
              <w:rPr>
                <w:rFonts w:hint="eastAsia"/>
                <w:b/>
                <w:bCs/>
                <w:color w:val="auto"/>
                <w:highlight w:val="none"/>
              </w:rPr>
              <w:t>污染物项目</w:t>
            </w:r>
          </w:p>
        </w:tc>
        <w:tc>
          <w:tcPr>
            <w:tcW w:w="1695" w:type="dxa"/>
            <w:noWrap w:val="0"/>
            <w:vAlign w:val="center"/>
          </w:tcPr>
          <w:p w14:paraId="2750B620">
            <w:pPr>
              <w:pStyle w:val="53"/>
              <w:bidi w:val="0"/>
              <w:rPr>
                <w:rFonts w:hint="eastAsia"/>
                <w:b/>
                <w:bCs/>
                <w:color w:val="auto"/>
                <w:highlight w:val="none"/>
              </w:rPr>
            </w:pPr>
            <w:r>
              <w:rPr>
                <w:rFonts w:hint="eastAsia"/>
                <w:b/>
                <w:bCs/>
                <w:color w:val="auto"/>
                <w:highlight w:val="none"/>
              </w:rPr>
              <w:t>环境保护措施</w:t>
            </w:r>
          </w:p>
        </w:tc>
        <w:tc>
          <w:tcPr>
            <w:tcW w:w="2412" w:type="dxa"/>
            <w:noWrap w:val="0"/>
            <w:vAlign w:val="center"/>
          </w:tcPr>
          <w:p w14:paraId="2B64717A">
            <w:pPr>
              <w:pStyle w:val="53"/>
              <w:bidi w:val="0"/>
              <w:rPr>
                <w:rFonts w:hint="eastAsia"/>
                <w:b/>
                <w:bCs/>
                <w:color w:val="auto"/>
                <w:highlight w:val="none"/>
              </w:rPr>
            </w:pPr>
            <w:r>
              <w:rPr>
                <w:rFonts w:hint="eastAsia"/>
                <w:b/>
                <w:bCs/>
                <w:color w:val="auto"/>
                <w:highlight w:val="none"/>
              </w:rPr>
              <w:t>执行标准</w:t>
            </w:r>
          </w:p>
        </w:tc>
      </w:tr>
      <w:tr w14:paraId="0692F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restart"/>
            <w:noWrap w:val="0"/>
            <w:vAlign w:val="center"/>
          </w:tcPr>
          <w:p w14:paraId="48D96229">
            <w:pPr>
              <w:pStyle w:val="53"/>
              <w:bidi w:val="0"/>
              <w:rPr>
                <w:rFonts w:hint="eastAsia"/>
                <w:color w:val="auto"/>
                <w:highlight w:val="none"/>
              </w:rPr>
            </w:pPr>
            <w:r>
              <w:rPr>
                <w:rFonts w:hint="eastAsia"/>
                <w:color w:val="auto"/>
                <w:highlight w:val="none"/>
              </w:rPr>
              <w:t>大气环境</w:t>
            </w:r>
          </w:p>
        </w:tc>
        <w:tc>
          <w:tcPr>
            <w:tcW w:w="1550" w:type="dxa"/>
            <w:noWrap w:val="0"/>
            <w:vAlign w:val="center"/>
          </w:tcPr>
          <w:p w14:paraId="537E4BCE">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热处理废气</w:t>
            </w:r>
          </w:p>
        </w:tc>
        <w:tc>
          <w:tcPr>
            <w:tcW w:w="1365" w:type="dxa"/>
            <w:noWrap w:val="0"/>
            <w:vAlign w:val="center"/>
          </w:tcPr>
          <w:p w14:paraId="0F794FA3">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SO</w:t>
            </w:r>
            <w:r>
              <w:rPr>
                <w:rFonts w:hint="eastAsia" w:ascii="Times New Roman" w:hAnsi="Times New Roman" w:eastAsia="宋体" w:cs="Times New Roman"/>
                <w:color w:val="auto"/>
                <w:kern w:val="0"/>
                <w:sz w:val="21"/>
                <w:szCs w:val="20"/>
                <w:highlight w:val="none"/>
                <w:vertAlign w:val="subscript"/>
                <w:lang w:val="en-US" w:eastAsia="zh-CN" w:bidi="ar-SA"/>
              </w:rPr>
              <w:t>2</w:t>
            </w:r>
            <w:r>
              <w:rPr>
                <w:rFonts w:hint="eastAsia" w:cs="Times New Roman"/>
                <w:color w:val="auto"/>
                <w:kern w:val="0"/>
                <w:sz w:val="21"/>
                <w:szCs w:val="20"/>
                <w:highlight w:val="none"/>
                <w:lang w:val="en-US" w:eastAsia="zh-CN" w:bidi="ar-SA"/>
              </w:rPr>
              <w:t>、颗粒物、</w:t>
            </w:r>
            <w:r>
              <w:rPr>
                <w:rFonts w:hint="eastAsia" w:ascii="Times New Roman" w:hAnsi="Times New Roman" w:eastAsia="宋体" w:cs="Times New Roman"/>
                <w:color w:val="auto"/>
                <w:kern w:val="0"/>
                <w:sz w:val="21"/>
                <w:szCs w:val="20"/>
                <w:highlight w:val="none"/>
                <w:lang w:val="en-US" w:eastAsia="zh-CN" w:bidi="ar-SA"/>
              </w:rPr>
              <w:t>NO</w:t>
            </w:r>
            <w:r>
              <w:rPr>
                <w:rFonts w:hint="eastAsia" w:ascii="Times New Roman" w:hAnsi="Times New Roman" w:eastAsia="宋体" w:cs="Times New Roman"/>
                <w:color w:val="auto"/>
                <w:kern w:val="0"/>
                <w:sz w:val="21"/>
                <w:szCs w:val="20"/>
                <w:highlight w:val="none"/>
                <w:vertAlign w:val="subscript"/>
                <w:lang w:val="en-US" w:eastAsia="zh-CN" w:bidi="ar-SA"/>
              </w:rPr>
              <w:t>x</w:t>
            </w:r>
          </w:p>
        </w:tc>
        <w:tc>
          <w:tcPr>
            <w:tcW w:w="1695" w:type="dxa"/>
            <w:noWrap w:val="0"/>
            <w:vAlign w:val="center"/>
          </w:tcPr>
          <w:p w14:paraId="7323401A">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低氮燃烧+油雾净化器+15m</w:t>
            </w:r>
            <w:r>
              <w:rPr>
                <w:rFonts w:hint="default"/>
                <w:color w:val="auto"/>
                <w:highlight w:val="none"/>
                <w:lang w:val="en-US" w:eastAsia="zh-CN"/>
              </w:rPr>
              <w:t>高的排气筒</w:t>
            </w:r>
            <w:r>
              <w:rPr>
                <w:rFonts w:hint="eastAsia"/>
                <w:color w:val="auto"/>
                <w:highlight w:val="none"/>
                <w:lang w:val="en-US" w:eastAsia="zh-CN"/>
              </w:rPr>
              <w:t>DA001</w:t>
            </w:r>
          </w:p>
        </w:tc>
        <w:tc>
          <w:tcPr>
            <w:tcW w:w="2412" w:type="dxa"/>
            <w:noWrap w:val="0"/>
            <w:vAlign w:val="center"/>
          </w:tcPr>
          <w:p w14:paraId="39AB3DB8">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《陕西省工业炉窑大气污染物综合治理实施方案》（陕环函〔2019〕247号）</w:t>
            </w:r>
          </w:p>
        </w:tc>
      </w:tr>
      <w:tr w14:paraId="5587D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noWrap w:val="0"/>
            <w:vAlign w:val="center"/>
          </w:tcPr>
          <w:p w14:paraId="1E026EF2">
            <w:pPr>
              <w:pStyle w:val="53"/>
              <w:bidi w:val="0"/>
              <w:rPr>
                <w:rFonts w:hint="eastAsia"/>
                <w:color w:val="auto"/>
                <w:highlight w:val="none"/>
              </w:rPr>
            </w:pPr>
          </w:p>
        </w:tc>
        <w:tc>
          <w:tcPr>
            <w:tcW w:w="1550" w:type="dxa"/>
            <w:noWrap w:val="0"/>
            <w:vAlign w:val="center"/>
          </w:tcPr>
          <w:p w14:paraId="772C2B32">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抛丸机粉尘</w:t>
            </w:r>
          </w:p>
        </w:tc>
        <w:tc>
          <w:tcPr>
            <w:tcW w:w="1365" w:type="dxa"/>
            <w:noWrap w:val="0"/>
            <w:vAlign w:val="center"/>
          </w:tcPr>
          <w:p w14:paraId="50B78BD6">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颗粒物</w:t>
            </w:r>
          </w:p>
        </w:tc>
        <w:tc>
          <w:tcPr>
            <w:tcW w:w="1695" w:type="dxa"/>
            <w:noWrap w:val="0"/>
            <w:vAlign w:val="center"/>
          </w:tcPr>
          <w:p w14:paraId="48F864C7">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采用袋式除尘（除尘效率95%），并经15m高排气筒DA002排放</w:t>
            </w:r>
          </w:p>
        </w:tc>
        <w:tc>
          <w:tcPr>
            <w:tcW w:w="2412" w:type="dxa"/>
            <w:noWrap w:val="0"/>
            <w:vAlign w:val="center"/>
          </w:tcPr>
          <w:p w14:paraId="1AD4686C">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《大气污染物综合排放标准》（GB16297-1996）中标准限制要求</w:t>
            </w:r>
          </w:p>
        </w:tc>
      </w:tr>
      <w:tr w14:paraId="261FD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noWrap w:val="0"/>
            <w:vAlign w:val="center"/>
          </w:tcPr>
          <w:p w14:paraId="277E77B5">
            <w:pPr>
              <w:pStyle w:val="53"/>
              <w:bidi w:val="0"/>
              <w:rPr>
                <w:rFonts w:hint="eastAsia"/>
                <w:color w:val="auto"/>
                <w:highlight w:val="none"/>
              </w:rPr>
            </w:pPr>
          </w:p>
        </w:tc>
        <w:tc>
          <w:tcPr>
            <w:tcW w:w="1550" w:type="dxa"/>
            <w:noWrap w:val="0"/>
            <w:vAlign w:val="center"/>
          </w:tcPr>
          <w:p w14:paraId="007753C1">
            <w:pPr>
              <w:pStyle w:val="53"/>
              <w:bidi w:val="0"/>
              <w:ind w:left="0" w:leftChars="0" w:firstLine="0" w:firstLineChars="0"/>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无组织废气</w:t>
            </w:r>
          </w:p>
        </w:tc>
        <w:tc>
          <w:tcPr>
            <w:tcW w:w="1365" w:type="dxa"/>
            <w:noWrap w:val="0"/>
            <w:vAlign w:val="center"/>
          </w:tcPr>
          <w:p w14:paraId="52E18C5D">
            <w:pPr>
              <w:pStyle w:val="53"/>
              <w:bidi w:val="0"/>
              <w:ind w:left="0" w:leftChars="0" w:firstLine="0" w:firstLineChars="0"/>
              <w:rPr>
                <w:rFonts w:hint="eastAsia"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SO</w:t>
            </w:r>
            <w:r>
              <w:rPr>
                <w:rFonts w:hint="eastAsia" w:ascii="Times New Roman" w:hAnsi="Times New Roman" w:eastAsia="宋体" w:cs="Times New Roman"/>
                <w:color w:val="auto"/>
                <w:kern w:val="0"/>
                <w:sz w:val="21"/>
                <w:szCs w:val="20"/>
                <w:highlight w:val="none"/>
                <w:vertAlign w:val="subscript"/>
                <w:lang w:val="en-US" w:eastAsia="zh-CN" w:bidi="ar-SA"/>
              </w:rPr>
              <w:t>2</w:t>
            </w:r>
            <w:r>
              <w:rPr>
                <w:rFonts w:hint="eastAsia" w:cs="Times New Roman"/>
                <w:color w:val="auto"/>
                <w:kern w:val="0"/>
                <w:sz w:val="21"/>
                <w:szCs w:val="20"/>
                <w:highlight w:val="none"/>
                <w:lang w:val="en-US" w:eastAsia="zh-CN" w:bidi="ar-SA"/>
              </w:rPr>
              <w:t>、颗粒物、</w:t>
            </w:r>
            <w:r>
              <w:rPr>
                <w:rFonts w:hint="eastAsia" w:ascii="Times New Roman" w:hAnsi="Times New Roman" w:eastAsia="宋体" w:cs="Times New Roman"/>
                <w:color w:val="auto"/>
                <w:kern w:val="0"/>
                <w:sz w:val="21"/>
                <w:szCs w:val="20"/>
                <w:highlight w:val="none"/>
                <w:lang w:val="en-US" w:eastAsia="zh-CN" w:bidi="ar-SA"/>
              </w:rPr>
              <w:t>NO</w:t>
            </w:r>
            <w:r>
              <w:rPr>
                <w:rFonts w:hint="eastAsia" w:ascii="Times New Roman" w:hAnsi="Times New Roman" w:eastAsia="宋体" w:cs="Times New Roman"/>
                <w:color w:val="auto"/>
                <w:kern w:val="0"/>
                <w:sz w:val="21"/>
                <w:szCs w:val="20"/>
                <w:highlight w:val="none"/>
                <w:vertAlign w:val="subscript"/>
                <w:lang w:val="en-US" w:eastAsia="zh-CN" w:bidi="ar-SA"/>
              </w:rPr>
              <w:t>x</w:t>
            </w:r>
          </w:p>
        </w:tc>
        <w:tc>
          <w:tcPr>
            <w:tcW w:w="1695" w:type="dxa"/>
            <w:noWrap w:val="0"/>
            <w:vAlign w:val="center"/>
          </w:tcPr>
          <w:p w14:paraId="69E04A57">
            <w:pPr>
              <w:pStyle w:val="53"/>
              <w:bidi w:val="0"/>
              <w:ind w:left="0" w:leftChars="0" w:firstLine="0" w:firstLineChars="0"/>
              <w:rPr>
                <w:rFonts w:hint="default"/>
                <w:color w:val="auto"/>
                <w:highlight w:val="none"/>
                <w:lang w:val="en-US" w:eastAsia="zh-CN"/>
              </w:rPr>
            </w:pPr>
            <w:r>
              <w:rPr>
                <w:rFonts w:hint="eastAsia"/>
                <w:color w:val="auto"/>
                <w:highlight w:val="none"/>
                <w:lang w:val="en-US" w:eastAsia="zh-CN"/>
              </w:rPr>
              <w:t>/</w:t>
            </w:r>
          </w:p>
        </w:tc>
        <w:tc>
          <w:tcPr>
            <w:tcW w:w="2412" w:type="dxa"/>
            <w:noWrap w:val="0"/>
            <w:vAlign w:val="center"/>
          </w:tcPr>
          <w:p w14:paraId="70C06C7E">
            <w:pPr>
              <w:pStyle w:val="53"/>
              <w:bidi w:val="0"/>
              <w:ind w:left="0" w:leftChars="0" w:firstLine="0" w:firstLineChars="0"/>
              <w:rPr>
                <w:rFonts w:hint="eastAsia"/>
                <w:color w:val="auto"/>
                <w:highlight w:val="none"/>
                <w:lang w:val="en-US" w:eastAsia="zh-CN"/>
              </w:rPr>
            </w:pPr>
            <w:r>
              <w:rPr>
                <w:rFonts w:hint="eastAsia"/>
                <w:color w:val="auto"/>
                <w:highlight w:val="none"/>
                <w:lang w:val="en-US" w:eastAsia="zh-CN"/>
              </w:rPr>
              <w:t>《大气污染物综合排放标准》（GB16297-1996）中标准限制要求</w:t>
            </w:r>
          </w:p>
        </w:tc>
      </w:tr>
      <w:tr w14:paraId="5E505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52BC29E1">
            <w:pPr>
              <w:pStyle w:val="53"/>
              <w:bidi w:val="0"/>
              <w:rPr>
                <w:rFonts w:hint="eastAsia"/>
                <w:color w:val="auto"/>
                <w:highlight w:val="none"/>
              </w:rPr>
            </w:pPr>
            <w:r>
              <w:rPr>
                <w:rFonts w:hint="eastAsia"/>
                <w:color w:val="auto"/>
                <w:highlight w:val="none"/>
              </w:rPr>
              <w:t>地表水环境</w:t>
            </w:r>
          </w:p>
        </w:tc>
        <w:tc>
          <w:tcPr>
            <w:tcW w:w="1550" w:type="dxa"/>
            <w:noWrap w:val="0"/>
            <w:vAlign w:val="center"/>
          </w:tcPr>
          <w:p w14:paraId="64412341">
            <w:pPr>
              <w:pStyle w:val="53"/>
              <w:bidi w:val="0"/>
              <w:rPr>
                <w:rFonts w:hint="default"/>
                <w:color w:val="auto"/>
                <w:highlight w:val="none"/>
                <w:lang w:val="en-US" w:eastAsia="zh-CN"/>
              </w:rPr>
            </w:pPr>
            <w:r>
              <w:rPr>
                <w:rFonts w:hint="eastAsia"/>
                <w:color w:val="auto"/>
                <w:highlight w:val="none"/>
                <w:lang w:val="en-US" w:eastAsia="zh-CN"/>
              </w:rPr>
              <w:t>生活污水</w:t>
            </w:r>
          </w:p>
        </w:tc>
        <w:tc>
          <w:tcPr>
            <w:tcW w:w="1365" w:type="dxa"/>
            <w:noWrap w:val="0"/>
            <w:vAlign w:val="center"/>
          </w:tcPr>
          <w:p w14:paraId="5C512A16">
            <w:pPr>
              <w:pStyle w:val="53"/>
              <w:bidi w:val="0"/>
              <w:rPr>
                <w:rFonts w:hint="default"/>
                <w:color w:val="auto"/>
                <w:highlight w:val="none"/>
                <w:lang w:val="en-US"/>
              </w:rPr>
            </w:pPr>
            <w:r>
              <w:rPr>
                <w:rFonts w:hint="default"/>
                <w:color w:val="auto"/>
                <w:highlight w:val="none"/>
                <w:lang w:val="en-US" w:eastAsia="zh-CN"/>
              </w:rPr>
              <w:t>COD、氨氮、SS</w:t>
            </w:r>
            <w:r>
              <w:rPr>
                <w:rFonts w:hint="eastAsia"/>
                <w:color w:val="auto"/>
                <w:highlight w:val="none"/>
                <w:lang w:val="en-US" w:eastAsia="zh-CN"/>
              </w:rPr>
              <w:t>、BOD</w:t>
            </w:r>
            <w:r>
              <w:rPr>
                <w:rFonts w:hint="eastAsia"/>
                <w:color w:val="auto"/>
                <w:highlight w:val="none"/>
                <w:vertAlign w:val="subscript"/>
                <w:lang w:val="en-US" w:eastAsia="zh-CN"/>
              </w:rPr>
              <w:t>5</w:t>
            </w:r>
          </w:p>
        </w:tc>
        <w:tc>
          <w:tcPr>
            <w:tcW w:w="1695" w:type="dxa"/>
            <w:noWrap w:val="0"/>
            <w:vAlign w:val="center"/>
          </w:tcPr>
          <w:p w14:paraId="1C44CD70">
            <w:pPr>
              <w:pStyle w:val="53"/>
              <w:bidi w:val="0"/>
              <w:rPr>
                <w:rFonts w:hint="default" w:eastAsia="宋体"/>
                <w:color w:val="auto"/>
                <w:highlight w:val="none"/>
                <w:lang w:val="en-US" w:eastAsia="zh-CN"/>
              </w:rPr>
            </w:pPr>
            <w:r>
              <w:rPr>
                <w:rFonts w:hint="eastAsia"/>
                <w:color w:val="auto"/>
                <w:highlight w:val="none"/>
                <w:lang w:val="en-US" w:eastAsia="zh-CN"/>
              </w:rPr>
              <w:t>废水经化粪池预处理达标后排入市政污水管网</w:t>
            </w:r>
          </w:p>
        </w:tc>
        <w:tc>
          <w:tcPr>
            <w:tcW w:w="2412" w:type="dxa"/>
            <w:noWrap w:val="0"/>
            <w:vAlign w:val="center"/>
          </w:tcPr>
          <w:p w14:paraId="39107686">
            <w:pPr>
              <w:pStyle w:val="53"/>
              <w:bidi w:val="0"/>
              <w:rPr>
                <w:rFonts w:hint="eastAsia"/>
                <w:color w:val="auto"/>
                <w:highlight w:val="none"/>
              </w:rPr>
            </w:pPr>
            <w:r>
              <w:rPr>
                <w:rFonts w:hint="eastAsia"/>
                <w:color w:val="auto"/>
                <w:highlight w:val="none"/>
                <w:lang w:val="en-US" w:eastAsia="zh-CN"/>
              </w:rPr>
              <w:t>《污水综合排放标准》（GB8978-1996）中表4三级标准及《污水排入城镇下水道水质标准》（GB/T31962-2015）B级标准</w:t>
            </w:r>
          </w:p>
        </w:tc>
      </w:tr>
      <w:tr w14:paraId="7B6ED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407FDC3">
            <w:pPr>
              <w:pStyle w:val="53"/>
              <w:bidi w:val="0"/>
              <w:rPr>
                <w:rFonts w:hint="eastAsia"/>
                <w:color w:val="auto"/>
                <w:highlight w:val="none"/>
              </w:rPr>
            </w:pPr>
            <w:r>
              <w:rPr>
                <w:rFonts w:hint="eastAsia"/>
                <w:color w:val="auto"/>
                <w:highlight w:val="none"/>
              </w:rPr>
              <w:t>声环境</w:t>
            </w:r>
          </w:p>
        </w:tc>
        <w:tc>
          <w:tcPr>
            <w:tcW w:w="1550" w:type="dxa"/>
            <w:noWrap w:val="0"/>
            <w:vAlign w:val="center"/>
          </w:tcPr>
          <w:p w14:paraId="7E139E0C">
            <w:pPr>
              <w:pStyle w:val="53"/>
              <w:bidi w:val="0"/>
              <w:rPr>
                <w:rFonts w:hint="default" w:eastAsia="宋体"/>
                <w:color w:val="auto"/>
                <w:highlight w:val="none"/>
                <w:lang w:val="en-US" w:eastAsia="zh-CN"/>
              </w:rPr>
            </w:pPr>
            <w:r>
              <w:rPr>
                <w:rFonts w:hint="eastAsia"/>
                <w:color w:val="auto"/>
                <w:highlight w:val="none"/>
                <w:lang w:val="en-US" w:eastAsia="zh-CN"/>
              </w:rPr>
              <w:t>机械设备</w:t>
            </w:r>
          </w:p>
        </w:tc>
        <w:tc>
          <w:tcPr>
            <w:tcW w:w="1365" w:type="dxa"/>
            <w:noWrap w:val="0"/>
            <w:vAlign w:val="center"/>
          </w:tcPr>
          <w:p w14:paraId="069F5B74">
            <w:pPr>
              <w:pStyle w:val="53"/>
              <w:bidi w:val="0"/>
              <w:rPr>
                <w:rFonts w:hint="eastAsia" w:eastAsia="宋体"/>
                <w:color w:val="auto"/>
                <w:highlight w:val="none"/>
                <w:lang w:val="en-US" w:eastAsia="zh-CN"/>
              </w:rPr>
            </w:pPr>
            <w:r>
              <w:rPr>
                <w:rFonts w:hint="eastAsia"/>
                <w:color w:val="auto"/>
                <w:highlight w:val="none"/>
                <w:lang w:val="en-US" w:eastAsia="zh-CN"/>
              </w:rPr>
              <w:t>噪声</w:t>
            </w:r>
          </w:p>
        </w:tc>
        <w:tc>
          <w:tcPr>
            <w:tcW w:w="1695" w:type="dxa"/>
            <w:noWrap w:val="0"/>
            <w:vAlign w:val="center"/>
          </w:tcPr>
          <w:p w14:paraId="71E4871F">
            <w:pPr>
              <w:pStyle w:val="53"/>
              <w:bidi w:val="0"/>
              <w:rPr>
                <w:rFonts w:hint="eastAsia"/>
                <w:color w:val="auto"/>
                <w:highlight w:val="none"/>
              </w:rPr>
            </w:pPr>
            <w:r>
              <w:rPr>
                <w:rFonts w:hint="eastAsia"/>
                <w:color w:val="auto"/>
                <w:highlight w:val="none"/>
                <w:lang w:val="en-US" w:eastAsia="zh-CN"/>
              </w:rPr>
              <w:t>选用低噪声设备、隔声、减振等措施</w:t>
            </w:r>
          </w:p>
        </w:tc>
        <w:tc>
          <w:tcPr>
            <w:tcW w:w="2412" w:type="dxa"/>
            <w:noWrap w:val="0"/>
            <w:vAlign w:val="center"/>
          </w:tcPr>
          <w:p w14:paraId="4C981782">
            <w:pPr>
              <w:pStyle w:val="53"/>
              <w:bidi w:val="0"/>
              <w:rPr>
                <w:rFonts w:hint="eastAsia"/>
                <w:color w:val="auto"/>
                <w:highlight w:val="none"/>
              </w:rPr>
            </w:pPr>
            <w:r>
              <w:rPr>
                <w:rFonts w:hint="default"/>
                <w:color w:val="auto"/>
                <w:highlight w:val="none"/>
              </w:rPr>
              <w:t>《工业企业厂界环境噪声排放标准》（GB12348</w:t>
            </w:r>
            <w:r>
              <w:rPr>
                <w:rFonts w:hint="default"/>
                <w:color w:val="auto"/>
                <w:highlight w:val="none"/>
                <w:lang w:val="en-US" w:eastAsia="zh-CN"/>
              </w:rPr>
              <w:t xml:space="preserve"> </w:t>
            </w:r>
            <w:r>
              <w:rPr>
                <w:rFonts w:hint="default"/>
                <w:color w:val="auto"/>
                <w:highlight w:val="none"/>
              </w:rPr>
              <w:t>-2008）</w:t>
            </w:r>
            <w:r>
              <w:rPr>
                <w:rFonts w:hint="eastAsia"/>
                <w:color w:val="auto"/>
                <w:highlight w:val="none"/>
                <w:lang w:val="en-US" w:eastAsia="zh-CN"/>
              </w:rPr>
              <w:t>3</w:t>
            </w:r>
            <w:r>
              <w:rPr>
                <w:rFonts w:hint="default"/>
                <w:color w:val="auto"/>
                <w:highlight w:val="none"/>
              </w:rPr>
              <w:t>类标准限值</w:t>
            </w:r>
          </w:p>
        </w:tc>
      </w:tr>
      <w:tr w14:paraId="38169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B912702">
            <w:pPr>
              <w:pStyle w:val="53"/>
              <w:bidi w:val="0"/>
              <w:rPr>
                <w:rFonts w:hint="eastAsia"/>
                <w:color w:val="auto"/>
                <w:highlight w:val="none"/>
              </w:rPr>
            </w:pPr>
            <w:r>
              <w:rPr>
                <w:rFonts w:hint="eastAsia"/>
                <w:color w:val="auto"/>
                <w:highlight w:val="none"/>
              </w:rPr>
              <w:t>电磁辐射</w:t>
            </w:r>
          </w:p>
        </w:tc>
        <w:tc>
          <w:tcPr>
            <w:tcW w:w="1550" w:type="dxa"/>
            <w:noWrap w:val="0"/>
            <w:vAlign w:val="center"/>
          </w:tcPr>
          <w:p w14:paraId="7F9DB2C5">
            <w:pPr>
              <w:pStyle w:val="53"/>
              <w:bidi w:val="0"/>
              <w:rPr>
                <w:rFonts w:hint="eastAsia" w:eastAsia="宋体"/>
                <w:color w:val="auto"/>
                <w:highlight w:val="none"/>
                <w:lang w:val="en-US" w:eastAsia="zh-CN"/>
              </w:rPr>
            </w:pPr>
            <w:r>
              <w:rPr>
                <w:rFonts w:hint="eastAsia"/>
                <w:color w:val="auto"/>
                <w:highlight w:val="none"/>
                <w:lang w:val="en-US" w:eastAsia="zh-CN"/>
              </w:rPr>
              <w:t>/</w:t>
            </w:r>
          </w:p>
        </w:tc>
        <w:tc>
          <w:tcPr>
            <w:tcW w:w="1365" w:type="dxa"/>
            <w:noWrap w:val="0"/>
            <w:vAlign w:val="center"/>
          </w:tcPr>
          <w:p w14:paraId="00B2B5B1">
            <w:pPr>
              <w:pStyle w:val="53"/>
              <w:bidi w:val="0"/>
              <w:rPr>
                <w:rFonts w:hint="eastAsia" w:eastAsia="宋体"/>
                <w:color w:val="auto"/>
                <w:highlight w:val="none"/>
                <w:lang w:val="en-US" w:eastAsia="zh-CN"/>
              </w:rPr>
            </w:pPr>
            <w:r>
              <w:rPr>
                <w:rFonts w:hint="eastAsia"/>
                <w:color w:val="auto"/>
                <w:highlight w:val="none"/>
                <w:lang w:val="en-US" w:eastAsia="zh-CN"/>
              </w:rPr>
              <w:t>/</w:t>
            </w:r>
          </w:p>
        </w:tc>
        <w:tc>
          <w:tcPr>
            <w:tcW w:w="1695" w:type="dxa"/>
            <w:noWrap w:val="0"/>
            <w:vAlign w:val="center"/>
          </w:tcPr>
          <w:p w14:paraId="336D4AF3">
            <w:pPr>
              <w:pStyle w:val="53"/>
              <w:bidi w:val="0"/>
              <w:rPr>
                <w:rFonts w:hint="eastAsia" w:eastAsia="宋体"/>
                <w:color w:val="auto"/>
                <w:highlight w:val="none"/>
                <w:lang w:val="en-US" w:eastAsia="zh-CN"/>
              </w:rPr>
            </w:pPr>
            <w:r>
              <w:rPr>
                <w:rFonts w:hint="eastAsia"/>
                <w:color w:val="auto"/>
                <w:highlight w:val="none"/>
                <w:lang w:val="en-US" w:eastAsia="zh-CN"/>
              </w:rPr>
              <w:t>/</w:t>
            </w:r>
          </w:p>
        </w:tc>
        <w:tc>
          <w:tcPr>
            <w:tcW w:w="2412" w:type="dxa"/>
            <w:noWrap w:val="0"/>
            <w:vAlign w:val="center"/>
          </w:tcPr>
          <w:p w14:paraId="7BB85949">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28EF6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511EEF9C">
            <w:pPr>
              <w:pStyle w:val="53"/>
              <w:bidi w:val="0"/>
              <w:rPr>
                <w:rFonts w:hint="eastAsia"/>
                <w:color w:val="auto"/>
                <w:highlight w:val="none"/>
              </w:rPr>
            </w:pPr>
            <w:r>
              <w:rPr>
                <w:rFonts w:hint="eastAsia"/>
                <w:color w:val="auto"/>
                <w:highlight w:val="none"/>
              </w:rPr>
              <w:t>固体废物</w:t>
            </w:r>
          </w:p>
        </w:tc>
        <w:tc>
          <w:tcPr>
            <w:tcW w:w="7022" w:type="dxa"/>
            <w:gridSpan w:val="4"/>
            <w:noWrap w:val="0"/>
            <w:vAlign w:val="center"/>
          </w:tcPr>
          <w:p w14:paraId="535E30DB">
            <w:pPr>
              <w:pStyle w:val="53"/>
              <w:bidi w:val="0"/>
              <w:rPr>
                <w:rFonts w:hint="default" w:eastAsia="宋体"/>
                <w:color w:val="auto"/>
                <w:highlight w:val="none"/>
                <w:lang w:val="en-US" w:eastAsia="zh-CN"/>
              </w:rPr>
            </w:pPr>
            <w:r>
              <w:rPr>
                <w:rFonts w:hint="eastAsia"/>
                <w:color w:val="auto"/>
                <w:highlight w:val="none"/>
                <w:lang w:val="en-US" w:eastAsia="zh-CN"/>
              </w:rPr>
              <w:t>生活垃圾收集于</w:t>
            </w:r>
            <w:r>
              <w:rPr>
                <w:rFonts w:hint="eastAsia"/>
                <w:color w:val="auto"/>
                <w:highlight w:val="none"/>
              </w:rPr>
              <w:t>厂区垃圾</w:t>
            </w:r>
            <w:r>
              <w:rPr>
                <w:rFonts w:hint="eastAsia"/>
                <w:color w:val="auto"/>
                <w:highlight w:val="none"/>
                <w:lang w:val="en-US" w:eastAsia="zh-CN"/>
              </w:rPr>
              <w:t>桶，</w:t>
            </w:r>
            <w:r>
              <w:rPr>
                <w:rFonts w:hint="default"/>
                <w:color w:val="auto"/>
                <w:highlight w:val="none"/>
              </w:rPr>
              <w:t>定期</w:t>
            </w:r>
            <w:r>
              <w:rPr>
                <w:rFonts w:hint="default"/>
                <w:color w:val="auto"/>
                <w:highlight w:val="none"/>
                <w:lang w:eastAsia="zh-CN"/>
              </w:rPr>
              <w:t>由环卫部门进行定期清运处理。</w:t>
            </w:r>
            <w:r>
              <w:rPr>
                <w:rFonts w:hint="eastAsia"/>
                <w:color w:val="auto"/>
                <w:highlight w:val="none"/>
                <w:lang w:val="en-US" w:eastAsia="zh-CN"/>
              </w:rPr>
              <w:t>切割下脚料、锻造废料及不合格品，全部集中收集后外售废品回收站。抛丸机打磨</w:t>
            </w:r>
            <w:r>
              <w:rPr>
                <w:color w:val="auto"/>
                <w:highlight w:val="none"/>
              </w:rPr>
              <w:t>所产生的粉尘</w:t>
            </w:r>
            <w:r>
              <w:rPr>
                <w:rFonts w:hint="eastAsia"/>
                <w:color w:val="auto"/>
                <w:highlight w:val="none"/>
                <w:lang w:val="en-US" w:eastAsia="zh-CN"/>
              </w:rPr>
              <w:t>定期</w:t>
            </w:r>
            <w:r>
              <w:rPr>
                <w:rFonts w:hint="default"/>
                <w:color w:val="auto"/>
                <w:highlight w:val="none"/>
                <w:lang w:val="en-US" w:eastAsia="zh-CN"/>
              </w:rPr>
              <w:t>清理，集中收集</w:t>
            </w:r>
            <w:r>
              <w:rPr>
                <w:rFonts w:hint="eastAsia"/>
                <w:color w:val="auto"/>
                <w:highlight w:val="none"/>
                <w:lang w:val="en-US" w:eastAsia="zh-CN"/>
              </w:rPr>
              <w:t>后</w:t>
            </w:r>
            <w:r>
              <w:rPr>
                <w:rFonts w:hint="default"/>
                <w:color w:val="auto"/>
                <w:highlight w:val="none"/>
                <w:lang w:val="en-US" w:eastAsia="zh-CN"/>
              </w:rPr>
              <w:t>外售废品回收站</w:t>
            </w:r>
            <w:r>
              <w:rPr>
                <w:rFonts w:hint="eastAsia"/>
                <w:color w:val="auto"/>
                <w:highlight w:val="none"/>
                <w:lang w:val="en-US" w:eastAsia="zh-CN"/>
              </w:rPr>
              <w:t>。废润滑油、废液压油、废包装桶以及废含油抹布及手套收集后暂存于危废贮存点，定期交有资质单位处置。</w:t>
            </w:r>
          </w:p>
        </w:tc>
      </w:tr>
      <w:tr w14:paraId="5159D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14:paraId="79FE2ED8">
            <w:pPr>
              <w:pStyle w:val="53"/>
              <w:bidi w:val="0"/>
              <w:rPr>
                <w:rFonts w:hint="eastAsia"/>
                <w:color w:val="auto"/>
                <w:highlight w:val="none"/>
              </w:rPr>
            </w:pPr>
            <w:r>
              <w:rPr>
                <w:rFonts w:hint="eastAsia"/>
                <w:color w:val="auto"/>
                <w:highlight w:val="none"/>
              </w:rPr>
              <w:t>土壤及地下水</w:t>
            </w:r>
          </w:p>
          <w:p w14:paraId="68B8BE6C">
            <w:pPr>
              <w:pStyle w:val="53"/>
              <w:bidi w:val="0"/>
              <w:rPr>
                <w:rFonts w:hint="eastAsia"/>
                <w:color w:val="auto"/>
                <w:highlight w:val="none"/>
              </w:rPr>
            </w:pPr>
            <w:r>
              <w:rPr>
                <w:rFonts w:hint="eastAsia"/>
                <w:color w:val="auto"/>
                <w:highlight w:val="none"/>
              </w:rPr>
              <w:t>污染防治措施</w:t>
            </w:r>
          </w:p>
        </w:tc>
        <w:tc>
          <w:tcPr>
            <w:tcW w:w="7022" w:type="dxa"/>
            <w:gridSpan w:val="4"/>
            <w:noWrap w:val="0"/>
            <w:vAlign w:val="center"/>
          </w:tcPr>
          <w:p w14:paraId="38372B40">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363A8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14:paraId="1E6C608B">
            <w:pPr>
              <w:pStyle w:val="53"/>
              <w:bidi w:val="0"/>
              <w:rPr>
                <w:rFonts w:hint="eastAsia"/>
                <w:color w:val="auto"/>
                <w:highlight w:val="none"/>
              </w:rPr>
            </w:pPr>
            <w:r>
              <w:rPr>
                <w:rFonts w:hint="eastAsia"/>
                <w:color w:val="auto"/>
                <w:highlight w:val="none"/>
              </w:rPr>
              <w:t>生态保护措施</w:t>
            </w:r>
          </w:p>
        </w:tc>
        <w:tc>
          <w:tcPr>
            <w:tcW w:w="7022" w:type="dxa"/>
            <w:gridSpan w:val="4"/>
            <w:noWrap w:val="0"/>
            <w:vAlign w:val="center"/>
          </w:tcPr>
          <w:p w14:paraId="1034C6DE">
            <w:pPr>
              <w:pStyle w:val="53"/>
              <w:bidi w:val="0"/>
              <w:rPr>
                <w:rFonts w:hint="eastAsia" w:eastAsia="宋体"/>
                <w:color w:val="auto"/>
                <w:highlight w:val="none"/>
                <w:lang w:val="en-US" w:eastAsia="zh-CN"/>
              </w:rPr>
            </w:pPr>
            <w:r>
              <w:rPr>
                <w:rFonts w:hint="eastAsia"/>
                <w:color w:val="auto"/>
                <w:highlight w:val="none"/>
                <w:lang w:val="en-US" w:eastAsia="zh-CN"/>
              </w:rPr>
              <w:t>/</w:t>
            </w:r>
          </w:p>
        </w:tc>
      </w:tr>
      <w:tr w14:paraId="7F935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14:paraId="5ED949B9">
            <w:pPr>
              <w:pStyle w:val="53"/>
              <w:bidi w:val="0"/>
              <w:rPr>
                <w:color w:val="auto"/>
                <w:highlight w:val="none"/>
              </w:rPr>
            </w:pPr>
            <w:r>
              <w:rPr>
                <w:rFonts w:hint="eastAsia"/>
                <w:color w:val="auto"/>
                <w:highlight w:val="none"/>
              </w:rPr>
              <w:t>环境风险</w:t>
            </w:r>
          </w:p>
          <w:p w14:paraId="19650ED2">
            <w:pPr>
              <w:pStyle w:val="53"/>
              <w:bidi w:val="0"/>
              <w:rPr>
                <w:rFonts w:hint="eastAsia"/>
                <w:color w:val="auto"/>
                <w:highlight w:val="none"/>
              </w:rPr>
            </w:pPr>
            <w:r>
              <w:rPr>
                <w:rFonts w:hint="eastAsia"/>
                <w:color w:val="auto"/>
                <w:highlight w:val="none"/>
              </w:rPr>
              <w:t>防范措施</w:t>
            </w:r>
          </w:p>
        </w:tc>
        <w:tc>
          <w:tcPr>
            <w:tcW w:w="7022" w:type="dxa"/>
            <w:gridSpan w:val="4"/>
            <w:noWrap w:val="0"/>
            <w:vAlign w:val="center"/>
          </w:tcPr>
          <w:p w14:paraId="5EDB6D5D">
            <w:pPr>
              <w:pStyle w:val="53"/>
              <w:bidi w:val="0"/>
              <w:rPr>
                <w:rFonts w:hint="eastAsia"/>
                <w:color w:val="auto"/>
                <w:highlight w:val="none"/>
              </w:rPr>
            </w:pPr>
            <w:r>
              <w:rPr>
                <w:rFonts w:hint="default" w:ascii="Times New Roman" w:hAnsi="Times New Roman" w:cs="Times New Roman"/>
                <w:color w:val="auto"/>
                <w:kern w:val="0"/>
                <w:szCs w:val="21"/>
                <w:highlight w:val="none"/>
              </w:rPr>
              <w:t>对</w:t>
            </w:r>
            <w:r>
              <w:rPr>
                <w:rFonts w:hint="eastAsia" w:cs="Times New Roman"/>
                <w:color w:val="auto"/>
                <w:kern w:val="0"/>
                <w:szCs w:val="21"/>
                <w:highlight w:val="none"/>
                <w:lang w:val="en-US" w:eastAsia="zh-CN"/>
              </w:rPr>
              <w:t>油类物质等</w:t>
            </w:r>
            <w:r>
              <w:rPr>
                <w:rFonts w:hint="default" w:ascii="Times New Roman" w:hAnsi="Times New Roman" w:cs="Times New Roman"/>
                <w:color w:val="auto"/>
                <w:kern w:val="0"/>
                <w:szCs w:val="21"/>
                <w:highlight w:val="none"/>
              </w:rPr>
              <w:t>通过加强管理，安全操作并在贮存、运输、消防设施、泄露后的处置措施和环境风险应急等方面采取相应措施</w:t>
            </w:r>
            <w:r>
              <w:rPr>
                <w:rFonts w:hint="eastAsia" w:ascii="宋体" w:hAnsi="宋体" w:eastAsia="宋体" w:cs="宋体"/>
                <w:color w:val="auto"/>
                <w:szCs w:val="21"/>
                <w:highlight w:val="none"/>
                <w:lang w:val="en-US" w:eastAsia="zh-CN"/>
              </w:rPr>
              <w:t>。</w:t>
            </w:r>
          </w:p>
        </w:tc>
      </w:tr>
      <w:tr w14:paraId="53E25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778" w:type="dxa"/>
            <w:noWrap w:val="0"/>
            <w:vAlign w:val="center"/>
          </w:tcPr>
          <w:p w14:paraId="22864CFE">
            <w:pPr>
              <w:pStyle w:val="53"/>
              <w:bidi w:val="0"/>
              <w:rPr>
                <w:color w:val="auto"/>
                <w:highlight w:val="none"/>
              </w:rPr>
            </w:pPr>
            <w:r>
              <w:rPr>
                <w:rFonts w:hint="eastAsia"/>
                <w:color w:val="auto"/>
                <w:highlight w:val="none"/>
              </w:rPr>
              <w:t>其他环境</w:t>
            </w:r>
          </w:p>
          <w:p w14:paraId="65A5A085">
            <w:pPr>
              <w:pStyle w:val="53"/>
              <w:bidi w:val="0"/>
              <w:rPr>
                <w:rFonts w:hint="eastAsia"/>
                <w:color w:val="auto"/>
                <w:highlight w:val="none"/>
              </w:rPr>
            </w:pPr>
            <w:r>
              <w:rPr>
                <w:rFonts w:hint="eastAsia"/>
                <w:color w:val="auto"/>
                <w:highlight w:val="none"/>
              </w:rPr>
              <w:t>管理要求</w:t>
            </w:r>
          </w:p>
        </w:tc>
        <w:tc>
          <w:tcPr>
            <w:tcW w:w="7022" w:type="dxa"/>
            <w:gridSpan w:val="4"/>
            <w:noWrap w:val="0"/>
            <w:vAlign w:val="center"/>
          </w:tcPr>
          <w:p w14:paraId="06D6C0FF">
            <w:pPr>
              <w:bidi w:val="0"/>
              <w:rPr>
                <w:rFonts w:hint="default"/>
                <w:b/>
                <w:bCs/>
                <w:color w:val="auto"/>
                <w:highlight w:val="none"/>
                <w:lang w:val="en-US" w:eastAsia="zh-CN"/>
              </w:rPr>
            </w:pPr>
            <w:r>
              <w:rPr>
                <w:rFonts w:hint="eastAsia"/>
                <w:b/>
                <w:bCs/>
                <w:color w:val="auto"/>
                <w:highlight w:val="none"/>
                <w:lang w:val="en-US" w:eastAsia="zh-CN"/>
              </w:rPr>
              <w:t>1、环保投资</w:t>
            </w:r>
          </w:p>
          <w:p w14:paraId="2EF66615">
            <w:pPr>
              <w:bidi w:val="0"/>
              <w:rPr>
                <w:color w:val="auto"/>
                <w:highlight w:val="none"/>
              </w:rPr>
            </w:pPr>
            <w:r>
              <w:rPr>
                <w:rFonts w:hint="eastAsia"/>
                <w:color w:val="auto"/>
                <w:highlight w:val="none"/>
              </w:rPr>
              <w:t>本项目总投资</w:t>
            </w:r>
            <w:r>
              <w:rPr>
                <w:rFonts w:hint="eastAsia"/>
                <w:color w:val="auto"/>
                <w:highlight w:val="none"/>
                <w:lang w:val="en-US" w:eastAsia="zh-CN"/>
              </w:rPr>
              <w:t>3822</w:t>
            </w:r>
            <w:r>
              <w:rPr>
                <w:rFonts w:hint="eastAsia"/>
                <w:color w:val="auto"/>
                <w:highlight w:val="none"/>
              </w:rPr>
              <w:t>万元，其中环保投资</w:t>
            </w:r>
            <w:r>
              <w:rPr>
                <w:rFonts w:hint="eastAsia"/>
                <w:color w:val="auto"/>
                <w:highlight w:val="none"/>
                <w:lang w:val="en-US" w:eastAsia="zh-CN"/>
              </w:rPr>
              <w:t>40.3</w:t>
            </w:r>
            <w:r>
              <w:rPr>
                <w:rFonts w:hint="eastAsia"/>
                <w:color w:val="auto"/>
                <w:highlight w:val="none"/>
              </w:rPr>
              <w:t>万元，占总投资的</w:t>
            </w:r>
            <w:r>
              <w:rPr>
                <w:rFonts w:hint="eastAsia"/>
                <w:color w:val="auto"/>
                <w:highlight w:val="none"/>
                <w:lang w:val="en-US" w:eastAsia="zh-CN"/>
              </w:rPr>
              <w:t>1.05%</w:t>
            </w:r>
            <w:r>
              <w:rPr>
                <w:rFonts w:hint="eastAsia"/>
                <w:color w:val="auto"/>
                <w:highlight w:val="none"/>
              </w:rPr>
              <w:t>。环境保护投资估算详见表</w:t>
            </w:r>
            <w:r>
              <w:rPr>
                <w:rFonts w:hint="eastAsia"/>
                <w:color w:val="auto"/>
                <w:highlight w:val="none"/>
                <w:lang w:val="en-US" w:eastAsia="zh-CN"/>
              </w:rPr>
              <w:t>5-1</w:t>
            </w:r>
            <w:r>
              <w:rPr>
                <w:rFonts w:hint="eastAsia"/>
                <w:color w:val="auto"/>
                <w:highlight w:val="none"/>
              </w:rPr>
              <w:t>。</w:t>
            </w:r>
          </w:p>
          <w:p w14:paraId="78FB7A2E">
            <w:pPr>
              <w:pStyle w:val="58"/>
              <w:bidi w:val="0"/>
              <w:rPr>
                <w:color w:val="auto"/>
                <w:highlight w:val="none"/>
              </w:rPr>
            </w:pPr>
            <w:r>
              <w:rPr>
                <w:color w:val="auto"/>
                <w:highlight w:val="none"/>
              </w:rPr>
              <w:t>表</w:t>
            </w:r>
            <w:r>
              <w:rPr>
                <w:rFonts w:hint="eastAsia"/>
                <w:color w:val="auto"/>
                <w:highlight w:val="none"/>
                <w:lang w:val="en-US" w:eastAsia="zh-CN"/>
              </w:rPr>
              <w:t xml:space="preserve">5-1 </w:t>
            </w:r>
            <w:r>
              <w:rPr>
                <w:color w:val="auto"/>
                <w:highlight w:val="none"/>
              </w:rPr>
              <w:t xml:space="preserve"> 环保设施</w:t>
            </w:r>
            <w:r>
              <w:rPr>
                <w:rFonts w:hint="eastAsia"/>
                <w:color w:val="auto"/>
                <w:highlight w:val="none"/>
                <w:lang w:val="en-US" w:eastAsia="zh-CN"/>
              </w:rPr>
              <w:t>投资</w:t>
            </w:r>
            <w:r>
              <w:rPr>
                <w:color w:val="auto"/>
                <w:highlight w:val="none"/>
              </w:rPr>
              <w:t>估算表</w:t>
            </w:r>
          </w:p>
          <w:tbl>
            <w:tblPr>
              <w:tblStyle w:val="3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
              <w:gridCol w:w="481"/>
              <w:gridCol w:w="1492"/>
              <w:gridCol w:w="3045"/>
              <w:gridCol w:w="1196"/>
            </w:tblGrid>
            <w:tr w14:paraId="1DF03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426" w:type="pct"/>
                  <w:noWrap w:val="0"/>
                  <w:vAlign w:val="center"/>
                </w:tcPr>
                <w:p w14:paraId="762F2565">
                  <w:pPr>
                    <w:pStyle w:val="53"/>
                    <w:bidi w:val="0"/>
                    <w:rPr>
                      <w:b/>
                      <w:bCs/>
                      <w:color w:val="auto"/>
                      <w:highlight w:val="none"/>
                    </w:rPr>
                  </w:pPr>
                  <w:r>
                    <w:rPr>
                      <w:rFonts w:hint="eastAsia"/>
                      <w:b/>
                      <w:bCs/>
                      <w:color w:val="auto"/>
                      <w:highlight w:val="none"/>
                    </w:rPr>
                    <w:t>序号</w:t>
                  </w:r>
                </w:p>
              </w:tc>
              <w:tc>
                <w:tcPr>
                  <w:tcW w:w="1452" w:type="pct"/>
                  <w:gridSpan w:val="2"/>
                  <w:noWrap w:val="0"/>
                  <w:vAlign w:val="center"/>
                </w:tcPr>
                <w:p w14:paraId="2F199F24">
                  <w:pPr>
                    <w:pStyle w:val="53"/>
                    <w:bidi w:val="0"/>
                    <w:rPr>
                      <w:b/>
                      <w:bCs/>
                      <w:color w:val="auto"/>
                      <w:highlight w:val="none"/>
                    </w:rPr>
                  </w:pPr>
                  <w:r>
                    <w:rPr>
                      <w:rFonts w:hint="eastAsia"/>
                      <w:b/>
                      <w:bCs/>
                      <w:color w:val="auto"/>
                      <w:highlight w:val="none"/>
                    </w:rPr>
                    <w:t>类别</w:t>
                  </w:r>
                </w:p>
              </w:tc>
              <w:tc>
                <w:tcPr>
                  <w:tcW w:w="2240" w:type="pct"/>
                  <w:noWrap w:val="0"/>
                  <w:vAlign w:val="center"/>
                </w:tcPr>
                <w:p w14:paraId="422EF650">
                  <w:pPr>
                    <w:pStyle w:val="53"/>
                    <w:bidi w:val="0"/>
                    <w:rPr>
                      <w:b/>
                      <w:bCs/>
                      <w:color w:val="auto"/>
                      <w:highlight w:val="none"/>
                      <w:lang w:val="en-GB"/>
                    </w:rPr>
                  </w:pPr>
                  <w:r>
                    <w:rPr>
                      <w:rFonts w:hint="eastAsia"/>
                      <w:b/>
                      <w:bCs/>
                      <w:color w:val="auto"/>
                      <w:highlight w:val="none"/>
                      <w:lang w:val="en-GB"/>
                    </w:rPr>
                    <w:t>环保措施</w:t>
                  </w:r>
                </w:p>
              </w:tc>
              <w:tc>
                <w:tcPr>
                  <w:tcW w:w="880" w:type="pct"/>
                  <w:noWrap w:val="0"/>
                  <w:vAlign w:val="center"/>
                </w:tcPr>
                <w:p w14:paraId="1858EA18">
                  <w:pPr>
                    <w:pStyle w:val="53"/>
                    <w:bidi w:val="0"/>
                    <w:rPr>
                      <w:rFonts w:hint="eastAsia"/>
                      <w:b/>
                      <w:bCs/>
                      <w:color w:val="auto"/>
                      <w:highlight w:val="none"/>
                      <w:lang w:eastAsia="zh-CN"/>
                    </w:rPr>
                  </w:pPr>
                  <w:r>
                    <w:rPr>
                      <w:rFonts w:hint="eastAsia"/>
                      <w:b/>
                      <w:bCs/>
                      <w:color w:val="auto"/>
                      <w:highlight w:val="none"/>
                    </w:rPr>
                    <w:t>环保投资</w:t>
                  </w:r>
                  <w:r>
                    <w:rPr>
                      <w:rFonts w:hint="eastAsia"/>
                      <w:b/>
                      <w:bCs/>
                      <w:color w:val="auto"/>
                      <w:highlight w:val="none"/>
                      <w:lang w:eastAsia="zh-CN"/>
                    </w:rPr>
                    <w:t>（</w:t>
                  </w:r>
                  <w:r>
                    <w:rPr>
                      <w:rFonts w:hint="eastAsia"/>
                      <w:b/>
                      <w:bCs/>
                      <w:color w:val="auto"/>
                      <w:highlight w:val="none"/>
                      <w:lang w:val="en-US" w:eastAsia="zh-CN"/>
                    </w:rPr>
                    <w:t>万元</w:t>
                  </w:r>
                  <w:r>
                    <w:rPr>
                      <w:rFonts w:hint="eastAsia"/>
                      <w:b/>
                      <w:bCs/>
                      <w:color w:val="auto"/>
                      <w:highlight w:val="none"/>
                      <w:lang w:eastAsia="zh-CN"/>
                    </w:rPr>
                    <w:t>）</w:t>
                  </w:r>
                </w:p>
              </w:tc>
            </w:tr>
            <w:tr w14:paraId="59D3F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1550C10F">
                  <w:pPr>
                    <w:pStyle w:val="53"/>
                    <w:bidi w:val="0"/>
                    <w:rPr>
                      <w:color w:val="auto"/>
                      <w:highlight w:val="none"/>
                    </w:rPr>
                  </w:pPr>
                  <w:r>
                    <w:rPr>
                      <w:rFonts w:hint="eastAsia"/>
                      <w:color w:val="auto"/>
                      <w:highlight w:val="none"/>
                    </w:rPr>
                    <w:t>1</w:t>
                  </w:r>
                </w:p>
              </w:tc>
              <w:tc>
                <w:tcPr>
                  <w:tcW w:w="354" w:type="pct"/>
                  <w:vMerge w:val="restart"/>
                  <w:tcBorders>
                    <w:right w:val="single" w:color="auto" w:sz="4" w:space="0"/>
                  </w:tcBorders>
                  <w:noWrap w:val="0"/>
                  <w:vAlign w:val="center"/>
                </w:tcPr>
                <w:p w14:paraId="2A830A11">
                  <w:pPr>
                    <w:pStyle w:val="53"/>
                    <w:bidi w:val="0"/>
                    <w:rPr>
                      <w:rFonts w:hint="eastAsia" w:eastAsia="宋体"/>
                      <w:color w:val="auto"/>
                      <w:highlight w:val="none"/>
                      <w:lang w:val="en-US" w:eastAsia="zh-CN"/>
                    </w:rPr>
                  </w:pPr>
                  <w:r>
                    <w:rPr>
                      <w:rFonts w:hint="eastAsia"/>
                      <w:color w:val="auto"/>
                      <w:highlight w:val="none"/>
                      <w:lang w:val="en-US" w:eastAsia="zh-CN"/>
                    </w:rPr>
                    <w:t>废气</w:t>
                  </w:r>
                </w:p>
              </w:tc>
              <w:tc>
                <w:tcPr>
                  <w:tcW w:w="1098" w:type="pct"/>
                  <w:tcBorders>
                    <w:left w:val="single" w:color="auto" w:sz="4" w:space="0"/>
                  </w:tcBorders>
                  <w:noWrap w:val="0"/>
                  <w:vAlign w:val="center"/>
                </w:tcPr>
                <w:p w14:paraId="1C960A9D">
                  <w:pPr>
                    <w:pStyle w:val="53"/>
                    <w:bidi w:val="0"/>
                    <w:rPr>
                      <w:rFonts w:hint="default"/>
                      <w:color w:val="auto"/>
                      <w:highlight w:val="none"/>
                      <w:lang w:val="en-US" w:eastAsia="zh-CN"/>
                    </w:rPr>
                  </w:pPr>
                  <w:r>
                    <w:rPr>
                      <w:rFonts w:hint="eastAsia"/>
                      <w:color w:val="auto"/>
                      <w:highlight w:val="none"/>
                      <w:lang w:val="en-US" w:eastAsia="zh-CN"/>
                    </w:rPr>
                    <w:t>热处理废气</w:t>
                  </w:r>
                </w:p>
              </w:tc>
              <w:tc>
                <w:tcPr>
                  <w:tcW w:w="2240" w:type="pct"/>
                  <w:noWrap w:val="0"/>
                  <w:vAlign w:val="center"/>
                </w:tcPr>
                <w:p w14:paraId="1D3337AD">
                  <w:pPr>
                    <w:pStyle w:val="53"/>
                    <w:bidi w:val="0"/>
                    <w:rPr>
                      <w:rFonts w:hint="default"/>
                      <w:color w:val="auto"/>
                      <w:highlight w:val="none"/>
                      <w:lang w:val="en-US" w:eastAsia="zh-CN"/>
                    </w:rPr>
                  </w:pPr>
                  <w:r>
                    <w:rPr>
                      <w:rFonts w:hint="eastAsia"/>
                      <w:color w:val="auto"/>
                      <w:highlight w:val="none"/>
                      <w:lang w:val="en-US" w:eastAsia="zh-CN"/>
                    </w:rPr>
                    <w:t>低氮燃烧+油雾净化器+15m排气筒DA001</w:t>
                  </w:r>
                </w:p>
              </w:tc>
              <w:tc>
                <w:tcPr>
                  <w:tcW w:w="880" w:type="pct"/>
                  <w:noWrap w:val="0"/>
                  <w:vAlign w:val="center"/>
                </w:tcPr>
                <w:p w14:paraId="175378A7">
                  <w:pPr>
                    <w:pStyle w:val="53"/>
                    <w:bidi w:val="0"/>
                    <w:rPr>
                      <w:rFonts w:hint="default"/>
                      <w:color w:val="auto"/>
                      <w:highlight w:val="none"/>
                      <w:lang w:val="en-US" w:eastAsia="zh-CN"/>
                    </w:rPr>
                  </w:pPr>
                  <w:r>
                    <w:rPr>
                      <w:rFonts w:hint="eastAsia"/>
                      <w:color w:val="auto"/>
                      <w:highlight w:val="none"/>
                      <w:lang w:val="en-US" w:eastAsia="zh-CN"/>
                    </w:rPr>
                    <w:t>15.0</w:t>
                  </w:r>
                </w:p>
              </w:tc>
            </w:tr>
            <w:tr w14:paraId="2EE8A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0F90F60F">
                  <w:pPr>
                    <w:pStyle w:val="53"/>
                    <w:bidi w:val="0"/>
                    <w:rPr>
                      <w:rFonts w:hint="eastAsia"/>
                      <w:color w:val="auto"/>
                      <w:highlight w:val="none"/>
                      <w:lang w:val="en-US" w:eastAsia="zh-CN"/>
                    </w:rPr>
                  </w:pPr>
                  <w:r>
                    <w:rPr>
                      <w:rFonts w:hint="eastAsia"/>
                      <w:color w:val="auto"/>
                      <w:highlight w:val="none"/>
                      <w:lang w:val="en-US" w:eastAsia="zh-CN"/>
                    </w:rPr>
                    <w:t>2</w:t>
                  </w:r>
                </w:p>
              </w:tc>
              <w:tc>
                <w:tcPr>
                  <w:tcW w:w="354" w:type="pct"/>
                  <w:vMerge w:val="continue"/>
                  <w:tcBorders>
                    <w:right w:val="single" w:color="auto" w:sz="4" w:space="0"/>
                  </w:tcBorders>
                  <w:noWrap w:val="0"/>
                  <w:vAlign w:val="center"/>
                </w:tcPr>
                <w:p w14:paraId="3572B726">
                  <w:pPr>
                    <w:pStyle w:val="58"/>
                    <w:bidi w:val="0"/>
                    <w:rPr>
                      <w:rFonts w:hint="eastAsia"/>
                      <w:color w:val="auto"/>
                      <w:highlight w:val="none"/>
                      <w:lang w:val="en-US" w:eastAsia="zh-CN"/>
                    </w:rPr>
                  </w:pPr>
                </w:p>
              </w:tc>
              <w:tc>
                <w:tcPr>
                  <w:tcW w:w="1098" w:type="pct"/>
                  <w:tcBorders>
                    <w:left w:val="single" w:color="auto" w:sz="4" w:space="0"/>
                  </w:tcBorders>
                  <w:noWrap w:val="0"/>
                  <w:vAlign w:val="center"/>
                </w:tcPr>
                <w:p w14:paraId="29B2724A">
                  <w:pPr>
                    <w:pStyle w:val="53"/>
                    <w:bidi w:val="0"/>
                    <w:rPr>
                      <w:rFonts w:hint="default"/>
                      <w:color w:val="auto"/>
                      <w:highlight w:val="none"/>
                      <w:lang w:val="en-US" w:eastAsia="zh-CN"/>
                    </w:rPr>
                  </w:pPr>
                  <w:r>
                    <w:rPr>
                      <w:rFonts w:hint="eastAsia"/>
                      <w:color w:val="auto"/>
                      <w:highlight w:val="none"/>
                      <w:lang w:val="en-US" w:eastAsia="zh-CN"/>
                    </w:rPr>
                    <w:t>抛丸机粉尘</w:t>
                  </w:r>
                </w:p>
              </w:tc>
              <w:tc>
                <w:tcPr>
                  <w:tcW w:w="2240" w:type="pct"/>
                  <w:noWrap w:val="0"/>
                  <w:vAlign w:val="center"/>
                </w:tcPr>
                <w:p w14:paraId="6F9D025E">
                  <w:pPr>
                    <w:pStyle w:val="53"/>
                    <w:bidi w:val="0"/>
                    <w:rPr>
                      <w:rFonts w:hint="default"/>
                      <w:color w:val="auto"/>
                      <w:highlight w:val="none"/>
                      <w:lang w:val="en-US" w:eastAsia="zh-CN"/>
                    </w:rPr>
                  </w:pPr>
                  <w:r>
                    <w:rPr>
                      <w:rFonts w:hint="eastAsia"/>
                      <w:color w:val="auto"/>
                      <w:highlight w:val="none"/>
                      <w:lang w:val="en-US" w:eastAsia="zh-CN"/>
                    </w:rPr>
                    <w:t>设置布袋除尘设施+15m排气筒DA002</w:t>
                  </w:r>
                </w:p>
              </w:tc>
              <w:tc>
                <w:tcPr>
                  <w:tcW w:w="880" w:type="pct"/>
                  <w:noWrap w:val="0"/>
                  <w:vAlign w:val="center"/>
                </w:tcPr>
                <w:p w14:paraId="6AC8BB5E">
                  <w:pPr>
                    <w:pStyle w:val="53"/>
                    <w:bidi w:val="0"/>
                    <w:rPr>
                      <w:rFonts w:hint="default"/>
                      <w:color w:val="auto"/>
                      <w:highlight w:val="none"/>
                      <w:lang w:val="en-US" w:eastAsia="zh-CN"/>
                    </w:rPr>
                  </w:pPr>
                  <w:r>
                    <w:rPr>
                      <w:rFonts w:hint="eastAsia"/>
                      <w:color w:val="auto"/>
                      <w:highlight w:val="none"/>
                      <w:lang w:val="en-US" w:eastAsia="zh-CN"/>
                    </w:rPr>
                    <w:t>15.0</w:t>
                  </w:r>
                </w:p>
              </w:tc>
            </w:tr>
            <w:tr w14:paraId="5AB43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11AA39F5">
                  <w:pPr>
                    <w:pStyle w:val="53"/>
                    <w:bidi w:val="0"/>
                    <w:rPr>
                      <w:rFonts w:hint="eastAsia"/>
                      <w:color w:val="auto"/>
                      <w:highlight w:val="none"/>
                      <w:lang w:val="en-US" w:eastAsia="zh-CN"/>
                    </w:rPr>
                  </w:pPr>
                  <w:r>
                    <w:rPr>
                      <w:rFonts w:hint="eastAsia"/>
                      <w:color w:val="auto"/>
                      <w:highlight w:val="none"/>
                      <w:lang w:val="en-US" w:eastAsia="zh-CN"/>
                    </w:rPr>
                    <w:t>3</w:t>
                  </w:r>
                </w:p>
              </w:tc>
              <w:tc>
                <w:tcPr>
                  <w:tcW w:w="354" w:type="pct"/>
                  <w:tcBorders>
                    <w:right w:val="single" w:color="auto" w:sz="4" w:space="0"/>
                  </w:tcBorders>
                  <w:noWrap w:val="0"/>
                  <w:vAlign w:val="center"/>
                </w:tcPr>
                <w:p w14:paraId="3B18748A">
                  <w:pPr>
                    <w:pStyle w:val="53"/>
                    <w:bidi w:val="0"/>
                    <w:rPr>
                      <w:rFonts w:hint="eastAsia" w:eastAsia="宋体"/>
                      <w:color w:val="auto"/>
                      <w:highlight w:val="none"/>
                      <w:lang w:val="en-US" w:eastAsia="zh-CN"/>
                    </w:rPr>
                  </w:pPr>
                  <w:r>
                    <w:rPr>
                      <w:rFonts w:hint="eastAsia"/>
                      <w:color w:val="auto"/>
                      <w:highlight w:val="none"/>
                      <w:lang w:val="en-US" w:eastAsia="zh-CN"/>
                    </w:rPr>
                    <w:t>废水</w:t>
                  </w:r>
                </w:p>
              </w:tc>
              <w:tc>
                <w:tcPr>
                  <w:tcW w:w="1098" w:type="pct"/>
                  <w:tcBorders>
                    <w:left w:val="single" w:color="auto" w:sz="4" w:space="0"/>
                  </w:tcBorders>
                  <w:noWrap w:val="0"/>
                  <w:vAlign w:val="center"/>
                </w:tcPr>
                <w:p w14:paraId="7A312482">
                  <w:pPr>
                    <w:pStyle w:val="53"/>
                    <w:bidi w:val="0"/>
                    <w:rPr>
                      <w:rFonts w:hint="default"/>
                      <w:color w:val="auto"/>
                      <w:highlight w:val="none"/>
                      <w:lang w:val="en-US" w:eastAsia="zh-CN"/>
                    </w:rPr>
                  </w:pPr>
                  <w:r>
                    <w:rPr>
                      <w:rFonts w:hint="eastAsia"/>
                      <w:color w:val="auto"/>
                      <w:highlight w:val="none"/>
                      <w:lang w:val="en-US" w:eastAsia="zh-CN"/>
                    </w:rPr>
                    <w:t>生活污水</w:t>
                  </w:r>
                </w:p>
              </w:tc>
              <w:tc>
                <w:tcPr>
                  <w:tcW w:w="2240" w:type="pct"/>
                  <w:noWrap w:val="0"/>
                  <w:vAlign w:val="center"/>
                </w:tcPr>
                <w:p w14:paraId="3A3F1490">
                  <w:pPr>
                    <w:pStyle w:val="53"/>
                    <w:bidi w:val="0"/>
                    <w:rPr>
                      <w:rFonts w:hint="default"/>
                      <w:color w:val="auto"/>
                      <w:highlight w:val="none"/>
                      <w:lang w:val="en-US" w:eastAsia="zh-CN"/>
                    </w:rPr>
                  </w:pPr>
                  <w:r>
                    <w:rPr>
                      <w:rFonts w:hint="eastAsia"/>
                      <w:color w:val="auto"/>
                      <w:highlight w:val="none"/>
                      <w:lang w:val="en-US" w:eastAsia="zh-CN"/>
                    </w:rPr>
                    <w:t>依托园区污水管网</w:t>
                  </w:r>
                </w:p>
              </w:tc>
              <w:tc>
                <w:tcPr>
                  <w:tcW w:w="880" w:type="pct"/>
                  <w:noWrap w:val="0"/>
                  <w:vAlign w:val="center"/>
                </w:tcPr>
                <w:p w14:paraId="7421FBDB">
                  <w:pPr>
                    <w:pStyle w:val="53"/>
                    <w:bidi w:val="0"/>
                    <w:rPr>
                      <w:rFonts w:hint="default"/>
                      <w:color w:val="auto"/>
                      <w:highlight w:val="none"/>
                      <w:lang w:val="en-US" w:eastAsia="zh-CN"/>
                    </w:rPr>
                  </w:pPr>
                  <w:r>
                    <w:rPr>
                      <w:rFonts w:hint="eastAsia"/>
                      <w:color w:val="auto"/>
                      <w:highlight w:val="none"/>
                      <w:lang w:val="en-US" w:eastAsia="zh-CN"/>
                    </w:rPr>
                    <w:t>0</w:t>
                  </w:r>
                </w:p>
              </w:tc>
            </w:tr>
            <w:tr w14:paraId="6C938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62C4C42C">
                  <w:pPr>
                    <w:pStyle w:val="53"/>
                    <w:bidi w:val="0"/>
                    <w:rPr>
                      <w:rFonts w:hint="default"/>
                      <w:color w:val="auto"/>
                      <w:highlight w:val="none"/>
                      <w:lang w:val="en-US" w:eastAsia="zh-CN"/>
                    </w:rPr>
                  </w:pPr>
                  <w:r>
                    <w:rPr>
                      <w:rFonts w:hint="eastAsia"/>
                      <w:color w:val="auto"/>
                      <w:highlight w:val="none"/>
                      <w:lang w:val="en-US" w:eastAsia="zh-CN"/>
                    </w:rPr>
                    <w:t>4</w:t>
                  </w:r>
                </w:p>
              </w:tc>
              <w:tc>
                <w:tcPr>
                  <w:tcW w:w="1452" w:type="pct"/>
                  <w:gridSpan w:val="2"/>
                  <w:noWrap w:val="0"/>
                  <w:vAlign w:val="center"/>
                </w:tcPr>
                <w:p w14:paraId="37555E7F">
                  <w:pPr>
                    <w:pStyle w:val="53"/>
                    <w:bidi w:val="0"/>
                    <w:rPr>
                      <w:rFonts w:hint="eastAsia"/>
                      <w:color w:val="auto"/>
                      <w:highlight w:val="none"/>
                      <w:lang w:val="en-US" w:eastAsia="zh-CN"/>
                    </w:rPr>
                  </w:pPr>
                  <w:r>
                    <w:rPr>
                      <w:rFonts w:hint="eastAsia"/>
                      <w:color w:val="auto"/>
                      <w:highlight w:val="none"/>
                      <w:lang w:val="en-US" w:eastAsia="zh-CN"/>
                    </w:rPr>
                    <w:t>噪声</w:t>
                  </w:r>
                </w:p>
              </w:tc>
              <w:tc>
                <w:tcPr>
                  <w:tcW w:w="2240" w:type="pct"/>
                  <w:noWrap w:val="0"/>
                  <w:vAlign w:val="center"/>
                </w:tcPr>
                <w:p w14:paraId="4D1370B6">
                  <w:pPr>
                    <w:pStyle w:val="53"/>
                    <w:bidi w:val="0"/>
                    <w:rPr>
                      <w:rFonts w:hint="eastAsia"/>
                      <w:color w:val="auto"/>
                      <w:highlight w:val="none"/>
                      <w:lang w:val="en-US" w:eastAsia="zh-CN"/>
                    </w:rPr>
                  </w:pPr>
                  <w:r>
                    <w:rPr>
                      <w:rFonts w:hint="default" w:ascii="Times New Roman" w:hAnsi="Times New Roman" w:eastAsia="宋体" w:cs="Times New Roman"/>
                      <w:color w:val="auto"/>
                      <w:sz w:val="21"/>
                      <w:szCs w:val="21"/>
                      <w:highlight w:val="none"/>
                    </w:rPr>
                    <w:t>选用低噪声设备、基础减振</w:t>
                  </w:r>
                </w:p>
              </w:tc>
              <w:tc>
                <w:tcPr>
                  <w:tcW w:w="880" w:type="pct"/>
                  <w:noWrap w:val="0"/>
                  <w:vAlign w:val="center"/>
                </w:tcPr>
                <w:p w14:paraId="0622BF66">
                  <w:pPr>
                    <w:pStyle w:val="53"/>
                    <w:bidi w:val="0"/>
                    <w:rPr>
                      <w:rFonts w:hint="default"/>
                      <w:color w:val="auto"/>
                      <w:highlight w:val="none"/>
                      <w:lang w:val="en-US" w:eastAsia="zh-CN"/>
                    </w:rPr>
                  </w:pPr>
                  <w:r>
                    <w:rPr>
                      <w:rFonts w:hint="eastAsia"/>
                      <w:color w:val="auto"/>
                      <w:highlight w:val="none"/>
                      <w:lang w:val="en-US" w:eastAsia="zh-CN"/>
                    </w:rPr>
                    <w:t>5.0</w:t>
                  </w:r>
                </w:p>
              </w:tc>
            </w:tr>
            <w:tr w14:paraId="73297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21272359">
                  <w:pPr>
                    <w:pStyle w:val="53"/>
                    <w:bidi w:val="0"/>
                    <w:rPr>
                      <w:rFonts w:hint="default"/>
                      <w:color w:val="auto"/>
                      <w:highlight w:val="none"/>
                      <w:lang w:val="en-US" w:eastAsia="zh-CN"/>
                    </w:rPr>
                  </w:pPr>
                  <w:r>
                    <w:rPr>
                      <w:rFonts w:hint="eastAsia"/>
                      <w:color w:val="auto"/>
                      <w:highlight w:val="none"/>
                      <w:lang w:val="en-US" w:eastAsia="zh-CN"/>
                    </w:rPr>
                    <w:t>5</w:t>
                  </w:r>
                </w:p>
              </w:tc>
              <w:tc>
                <w:tcPr>
                  <w:tcW w:w="354" w:type="pct"/>
                  <w:vMerge w:val="restart"/>
                  <w:tcBorders>
                    <w:right w:val="single" w:color="auto" w:sz="4" w:space="0"/>
                  </w:tcBorders>
                  <w:noWrap w:val="0"/>
                  <w:vAlign w:val="center"/>
                </w:tcPr>
                <w:p w14:paraId="75F8DA88">
                  <w:pPr>
                    <w:pStyle w:val="53"/>
                    <w:bidi w:val="0"/>
                    <w:rPr>
                      <w:rFonts w:hint="eastAsia" w:eastAsia="宋体"/>
                      <w:color w:val="auto"/>
                      <w:highlight w:val="none"/>
                      <w:lang w:val="en-US" w:eastAsia="zh-CN"/>
                    </w:rPr>
                  </w:pPr>
                  <w:r>
                    <w:rPr>
                      <w:rFonts w:hint="eastAsia"/>
                      <w:color w:val="auto"/>
                      <w:highlight w:val="none"/>
                      <w:lang w:val="en-US" w:eastAsia="zh-CN"/>
                    </w:rPr>
                    <w:t>固废</w:t>
                  </w:r>
                </w:p>
              </w:tc>
              <w:tc>
                <w:tcPr>
                  <w:tcW w:w="1098" w:type="pct"/>
                  <w:tcBorders>
                    <w:left w:val="single" w:color="auto" w:sz="4" w:space="0"/>
                  </w:tcBorders>
                  <w:noWrap w:val="0"/>
                  <w:vAlign w:val="center"/>
                </w:tcPr>
                <w:p w14:paraId="3CF4C230">
                  <w:pPr>
                    <w:pStyle w:val="53"/>
                    <w:bidi w:val="0"/>
                    <w:rPr>
                      <w:rFonts w:hint="default"/>
                      <w:color w:val="auto"/>
                      <w:highlight w:val="none"/>
                      <w:lang w:val="en-US" w:eastAsia="zh-CN"/>
                    </w:rPr>
                  </w:pPr>
                  <w:r>
                    <w:rPr>
                      <w:rFonts w:hint="eastAsia"/>
                      <w:color w:val="auto"/>
                      <w:highlight w:val="none"/>
                      <w:lang w:val="en-US" w:eastAsia="zh-CN"/>
                    </w:rPr>
                    <w:t>生活垃圾</w:t>
                  </w:r>
                </w:p>
              </w:tc>
              <w:tc>
                <w:tcPr>
                  <w:tcW w:w="2240" w:type="pct"/>
                  <w:noWrap w:val="0"/>
                  <w:vAlign w:val="center"/>
                </w:tcPr>
                <w:p w14:paraId="2BE1A9A9">
                  <w:pPr>
                    <w:pStyle w:val="53"/>
                    <w:bidi w:val="0"/>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收集于</w:t>
                  </w:r>
                  <w:r>
                    <w:rPr>
                      <w:rFonts w:hint="default" w:ascii="Times New Roman" w:hAnsi="Times New Roman" w:eastAsia="宋体" w:cs="Times New Roman"/>
                      <w:color w:val="auto"/>
                      <w:sz w:val="21"/>
                      <w:szCs w:val="21"/>
                      <w:highlight w:val="none"/>
                    </w:rPr>
                    <w:t>厂区垃圾</w:t>
                  </w:r>
                  <w:r>
                    <w:rPr>
                      <w:rFonts w:hint="default" w:ascii="Times New Roman" w:hAnsi="Times New Roman" w:eastAsia="宋体" w:cs="Times New Roman"/>
                      <w:color w:val="auto"/>
                      <w:sz w:val="21"/>
                      <w:szCs w:val="21"/>
                      <w:highlight w:val="none"/>
                      <w:lang w:val="en-US" w:eastAsia="zh-CN"/>
                    </w:rPr>
                    <w:t>桶，由环卫部门定期清运</w:t>
                  </w:r>
                </w:p>
              </w:tc>
              <w:tc>
                <w:tcPr>
                  <w:tcW w:w="880" w:type="pct"/>
                  <w:noWrap w:val="0"/>
                  <w:vAlign w:val="center"/>
                </w:tcPr>
                <w:p w14:paraId="251DE129">
                  <w:pPr>
                    <w:pStyle w:val="53"/>
                    <w:bidi w:val="0"/>
                    <w:rPr>
                      <w:rFonts w:hint="default"/>
                      <w:color w:val="auto"/>
                      <w:highlight w:val="none"/>
                      <w:lang w:val="en-US" w:eastAsia="zh-CN"/>
                    </w:rPr>
                  </w:pPr>
                  <w:r>
                    <w:rPr>
                      <w:rFonts w:hint="eastAsia"/>
                      <w:color w:val="auto"/>
                      <w:highlight w:val="none"/>
                      <w:lang w:val="en-US" w:eastAsia="zh-CN"/>
                    </w:rPr>
                    <w:t>0.3</w:t>
                  </w:r>
                </w:p>
              </w:tc>
            </w:tr>
            <w:tr w14:paraId="32FB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7C2ECF44">
                  <w:pPr>
                    <w:pStyle w:val="53"/>
                    <w:bidi w:val="0"/>
                    <w:rPr>
                      <w:rFonts w:hint="eastAsia"/>
                      <w:color w:val="auto"/>
                      <w:highlight w:val="none"/>
                      <w:lang w:val="en-US" w:eastAsia="zh-CN"/>
                    </w:rPr>
                  </w:pPr>
                  <w:r>
                    <w:rPr>
                      <w:rFonts w:hint="eastAsia"/>
                      <w:color w:val="auto"/>
                      <w:highlight w:val="none"/>
                      <w:lang w:val="en-US" w:eastAsia="zh-CN"/>
                    </w:rPr>
                    <w:t>5</w:t>
                  </w:r>
                </w:p>
              </w:tc>
              <w:tc>
                <w:tcPr>
                  <w:tcW w:w="354" w:type="pct"/>
                  <w:vMerge w:val="continue"/>
                  <w:tcBorders>
                    <w:right w:val="single" w:color="auto" w:sz="4" w:space="0"/>
                  </w:tcBorders>
                  <w:noWrap w:val="0"/>
                  <w:vAlign w:val="center"/>
                </w:tcPr>
                <w:p w14:paraId="5A9BE866">
                  <w:pPr>
                    <w:pStyle w:val="53"/>
                    <w:bidi w:val="0"/>
                    <w:rPr>
                      <w:rFonts w:hint="eastAsia"/>
                      <w:color w:val="auto"/>
                      <w:highlight w:val="none"/>
                      <w:lang w:val="en-US" w:eastAsia="zh-CN"/>
                    </w:rPr>
                  </w:pPr>
                </w:p>
              </w:tc>
              <w:tc>
                <w:tcPr>
                  <w:tcW w:w="1098" w:type="pct"/>
                  <w:tcBorders>
                    <w:left w:val="single" w:color="auto" w:sz="4" w:space="0"/>
                  </w:tcBorders>
                  <w:noWrap w:val="0"/>
                  <w:vAlign w:val="center"/>
                </w:tcPr>
                <w:p w14:paraId="5E94110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废润滑油</w:t>
                  </w:r>
                </w:p>
              </w:tc>
              <w:tc>
                <w:tcPr>
                  <w:tcW w:w="2240" w:type="pct"/>
                  <w:vMerge w:val="restart"/>
                  <w:noWrap w:val="0"/>
                  <w:vAlign w:val="center"/>
                </w:tcPr>
                <w:p w14:paraId="09BCF24D">
                  <w:pPr>
                    <w:pStyle w:val="53"/>
                    <w:bidi w:val="0"/>
                    <w:rPr>
                      <w:rFonts w:hint="default"/>
                      <w:color w:val="auto"/>
                      <w:highlight w:val="none"/>
                      <w:lang w:val="en-US" w:eastAsia="zh-CN"/>
                    </w:rPr>
                  </w:pPr>
                  <w:r>
                    <w:rPr>
                      <w:rFonts w:hint="eastAsia"/>
                      <w:color w:val="auto"/>
                      <w:highlight w:val="none"/>
                      <w:lang w:val="en-US" w:eastAsia="zh-CN"/>
                    </w:rPr>
                    <w:t>分类收集后暂存于危废贮存点，</w:t>
                  </w:r>
                  <w:r>
                    <w:rPr>
                      <w:rFonts w:hint="default" w:ascii="Times New Roman" w:hAnsi="Times New Roman" w:eastAsia="宋体" w:cs="Times New Roman"/>
                      <w:color w:val="auto"/>
                      <w:sz w:val="21"/>
                      <w:szCs w:val="21"/>
                      <w:highlight w:val="none"/>
                      <w:lang w:val="en-US" w:eastAsia="zh-CN"/>
                    </w:rPr>
                    <w:t>定期交由</w:t>
                  </w:r>
                  <w:r>
                    <w:rPr>
                      <w:rFonts w:hint="default" w:ascii="Times New Roman" w:hAnsi="Times New Roman" w:eastAsia="宋体" w:cs="Times New Roman"/>
                      <w:color w:val="auto"/>
                      <w:sz w:val="21"/>
                      <w:szCs w:val="21"/>
                      <w:highlight w:val="none"/>
                    </w:rPr>
                    <w:t>有资质单位处理</w:t>
                  </w:r>
                </w:p>
              </w:tc>
              <w:tc>
                <w:tcPr>
                  <w:tcW w:w="880" w:type="pct"/>
                  <w:vMerge w:val="restart"/>
                  <w:noWrap w:val="0"/>
                  <w:vAlign w:val="center"/>
                </w:tcPr>
                <w:p w14:paraId="0102C95C">
                  <w:pPr>
                    <w:pStyle w:val="53"/>
                    <w:bidi w:val="0"/>
                    <w:rPr>
                      <w:rFonts w:hint="default"/>
                      <w:color w:val="auto"/>
                      <w:highlight w:val="none"/>
                      <w:lang w:val="en-US" w:eastAsia="zh-CN"/>
                    </w:rPr>
                  </w:pPr>
                  <w:r>
                    <w:rPr>
                      <w:rFonts w:hint="eastAsia"/>
                      <w:color w:val="auto"/>
                      <w:highlight w:val="none"/>
                      <w:lang w:val="en-US" w:eastAsia="zh-CN"/>
                    </w:rPr>
                    <w:t>5.0</w:t>
                  </w:r>
                </w:p>
              </w:tc>
            </w:tr>
            <w:tr w14:paraId="07261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5CD47EF7">
                  <w:pPr>
                    <w:pStyle w:val="53"/>
                    <w:bidi w:val="0"/>
                    <w:rPr>
                      <w:rFonts w:hint="default"/>
                      <w:color w:val="auto"/>
                      <w:highlight w:val="none"/>
                      <w:lang w:val="en-US" w:eastAsia="zh-CN"/>
                    </w:rPr>
                  </w:pPr>
                  <w:r>
                    <w:rPr>
                      <w:rFonts w:hint="eastAsia"/>
                      <w:color w:val="auto"/>
                      <w:highlight w:val="none"/>
                      <w:lang w:val="en-US" w:eastAsia="zh-CN"/>
                    </w:rPr>
                    <w:t>6</w:t>
                  </w:r>
                </w:p>
              </w:tc>
              <w:tc>
                <w:tcPr>
                  <w:tcW w:w="354" w:type="pct"/>
                  <w:vMerge w:val="continue"/>
                  <w:tcBorders>
                    <w:right w:val="single" w:color="auto" w:sz="4" w:space="0"/>
                  </w:tcBorders>
                  <w:noWrap w:val="0"/>
                  <w:vAlign w:val="center"/>
                </w:tcPr>
                <w:p w14:paraId="5A04061F">
                  <w:pPr>
                    <w:pStyle w:val="53"/>
                    <w:bidi w:val="0"/>
                    <w:rPr>
                      <w:rFonts w:hint="eastAsia"/>
                      <w:color w:val="auto"/>
                      <w:highlight w:val="none"/>
                      <w:lang w:eastAsia="zh-CN"/>
                    </w:rPr>
                  </w:pPr>
                </w:p>
              </w:tc>
              <w:tc>
                <w:tcPr>
                  <w:tcW w:w="1098" w:type="pct"/>
                  <w:tcBorders>
                    <w:left w:val="single" w:color="auto" w:sz="4" w:space="0"/>
                  </w:tcBorders>
                  <w:noWrap w:val="0"/>
                  <w:vAlign w:val="center"/>
                </w:tcPr>
                <w:p w14:paraId="6CACEF99">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废液压油</w:t>
                  </w:r>
                </w:p>
              </w:tc>
              <w:tc>
                <w:tcPr>
                  <w:tcW w:w="2240" w:type="pct"/>
                  <w:vMerge w:val="continue"/>
                  <w:noWrap w:val="0"/>
                  <w:vAlign w:val="center"/>
                </w:tcPr>
                <w:p w14:paraId="4CBF4D7F">
                  <w:pPr>
                    <w:pStyle w:val="53"/>
                    <w:bidi w:val="0"/>
                    <w:rPr>
                      <w:rFonts w:hint="eastAsia"/>
                      <w:color w:val="auto"/>
                      <w:highlight w:val="none"/>
                      <w:lang w:val="en-US" w:eastAsia="zh-CN"/>
                    </w:rPr>
                  </w:pPr>
                </w:p>
              </w:tc>
              <w:tc>
                <w:tcPr>
                  <w:tcW w:w="880" w:type="pct"/>
                  <w:vMerge w:val="continue"/>
                  <w:noWrap w:val="0"/>
                  <w:vAlign w:val="center"/>
                </w:tcPr>
                <w:p w14:paraId="371CB812">
                  <w:pPr>
                    <w:pStyle w:val="53"/>
                    <w:bidi w:val="0"/>
                    <w:rPr>
                      <w:rFonts w:hint="default"/>
                      <w:color w:val="auto"/>
                      <w:highlight w:val="none"/>
                      <w:lang w:val="en-US" w:eastAsia="zh-CN"/>
                    </w:rPr>
                  </w:pPr>
                </w:p>
              </w:tc>
            </w:tr>
            <w:tr w14:paraId="091B3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52953789">
                  <w:pPr>
                    <w:pStyle w:val="53"/>
                    <w:bidi w:val="0"/>
                    <w:rPr>
                      <w:rFonts w:hint="default"/>
                      <w:color w:val="auto"/>
                      <w:highlight w:val="none"/>
                      <w:lang w:val="en-US" w:eastAsia="zh-CN"/>
                    </w:rPr>
                  </w:pPr>
                  <w:r>
                    <w:rPr>
                      <w:rFonts w:hint="eastAsia"/>
                      <w:color w:val="auto"/>
                      <w:highlight w:val="none"/>
                      <w:lang w:val="en-US" w:eastAsia="zh-CN"/>
                    </w:rPr>
                    <w:t>7</w:t>
                  </w:r>
                </w:p>
              </w:tc>
              <w:tc>
                <w:tcPr>
                  <w:tcW w:w="354" w:type="pct"/>
                  <w:vMerge w:val="continue"/>
                  <w:tcBorders>
                    <w:right w:val="single" w:color="auto" w:sz="4" w:space="0"/>
                  </w:tcBorders>
                  <w:noWrap w:val="0"/>
                  <w:vAlign w:val="center"/>
                </w:tcPr>
                <w:p w14:paraId="5F713C12">
                  <w:pPr>
                    <w:pStyle w:val="53"/>
                    <w:bidi w:val="0"/>
                    <w:rPr>
                      <w:rFonts w:hint="eastAsia"/>
                      <w:color w:val="auto"/>
                      <w:highlight w:val="none"/>
                      <w:lang w:val="en-US" w:eastAsia="zh-CN"/>
                    </w:rPr>
                  </w:pPr>
                </w:p>
              </w:tc>
              <w:tc>
                <w:tcPr>
                  <w:tcW w:w="1098" w:type="pct"/>
                  <w:tcBorders>
                    <w:left w:val="single" w:color="auto" w:sz="4" w:space="0"/>
                  </w:tcBorders>
                  <w:noWrap w:val="0"/>
                  <w:vAlign w:val="center"/>
                </w:tcPr>
                <w:p w14:paraId="3DFA5A76">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废包装桶</w:t>
                  </w:r>
                </w:p>
              </w:tc>
              <w:tc>
                <w:tcPr>
                  <w:tcW w:w="2240" w:type="pct"/>
                  <w:vMerge w:val="continue"/>
                  <w:noWrap w:val="0"/>
                  <w:vAlign w:val="center"/>
                </w:tcPr>
                <w:p w14:paraId="067D3497">
                  <w:pPr>
                    <w:pStyle w:val="53"/>
                    <w:bidi w:val="0"/>
                    <w:rPr>
                      <w:rFonts w:hint="eastAsia"/>
                      <w:color w:val="auto"/>
                      <w:highlight w:val="none"/>
                      <w:lang w:val="en-US" w:eastAsia="zh-CN"/>
                    </w:rPr>
                  </w:pPr>
                </w:p>
              </w:tc>
              <w:tc>
                <w:tcPr>
                  <w:tcW w:w="880" w:type="pct"/>
                  <w:vMerge w:val="continue"/>
                  <w:noWrap w:val="0"/>
                  <w:vAlign w:val="center"/>
                </w:tcPr>
                <w:p w14:paraId="2D4F4983">
                  <w:pPr>
                    <w:pStyle w:val="53"/>
                    <w:bidi w:val="0"/>
                    <w:rPr>
                      <w:rFonts w:hint="default"/>
                      <w:color w:val="auto"/>
                      <w:highlight w:val="none"/>
                      <w:lang w:val="en-US" w:eastAsia="zh-CN"/>
                    </w:rPr>
                  </w:pPr>
                </w:p>
              </w:tc>
            </w:tr>
            <w:tr w14:paraId="2BFD3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noWrap w:val="0"/>
                  <w:vAlign w:val="center"/>
                </w:tcPr>
                <w:p w14:paraId="6C241B74">
                  <w:pPr>
                    <w:pStyle w:val="53"/>
                    <w:bidi w:val="0"/>
                    <w:rPr>
                      <w:rFonts w:hint="default"/>
                      <w:color w:val="auto"/>
                      <w:highlight w:val="none"/>
                      <w:lang w:val="en-US" w:eastAsia="zh-CN"/>
                    </w:rPr>
                  </w:pPr>
                  <w:r>
                    <w:rPr>
                      <w:rFonts w:hint="eastAsia"/>
                      <w:color w:val="auto"/>
                      <w:highlight w:val="none"/>
                      <w:lang w:val="en-US" w:eastAsia="zh-CN"/>
                    </w:rPr>
                    <w:t>8</w:t>
                  </w:r>
                </w:p>
              </w:tc>
              <w:tc>
                <w:tcPr>
                  <w:tcW w:w="354" w:type="pct"/>
                  <w:vMerge w:val="continue"/>
                  <w:tcBorders>
                    <w:right w:val="single" w:color="auto" w:sz="4" w:space="0"/>
                  </w:tcBorders>
                  <w:noWrap w:val="0"/>
                  <w:vAlign w:val="center"/>
                </w:tcPr>
                <w:p w14:paraId="382C6939">
                  <w:pPr>
                    <w:pStyle w:val="53"/>
                    <w:bidi w:val="0"/>
                    <w:rPr>
                      <w:rFonts w:hint="eastAsia"/>
                      <w:color w:val="auto"/>
                      <w:highlight w:val="none"/>
                      <w:lang w:eastAsia="zh-CN"/>
                    </w:rPr>
                  </w:pPr>
                </w:p>
              </w:tc>
              <w:tc>
                <w:tcPr>
                  <w:tcW w:w="1098" w:type="pct"/>
                  <w:tcBorders>
                    <w:left w:val="single" w:color="auto" w:sz="4" w:space="0"/>
                  </w:tcBorders>
                  <w:noWrap w:val="0"/>
                  <w:vAlign w:val="center"/>
                </w:tcPr>
                <w:p w14:paraId="3E289AAB">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废含油纱布及手套</w:t>
                  </w:r>
                </w:p>
              </w:tc>
              <w:tc>
                <w:tcPr>
                  <w:tcW w:w="2240" w:type="pct"/>
                  <w:vMerge w:val="continue"/>
                  <w:noWrap w:val="0"/>
                  <w:vAlign w:val="center"/>
                </w:tcPr>
                <w:p w14:paraId="0FA119F7">
                  <w:pPr>
                    <w:pStyle w:val="53"/>
                    <w:bidi w:val="0"/>
                    <w:rPr>
                      <w:rFonts w:hint="eastAsia"/>
                      <w:color w:val="auto"/>
                      <w:highlight w:val="none"/>
                      <w:lang w:val="en-US" w:eastAsia="zh-CN"/>
                    </w:rPr>
                  </w:pPr>
                </w:p>
              </w:tc>
              <w:tc>
                <w:tcPr>
                  <w:tcW w:w="880" w:type="pct"/>
                  <w:vMerge w:val="continue"/>
                  <w:noWrap w:val="0"/>
                  <w:vAlign w:val="center"/>
                </w:tcPr>
                <w:p w14:paraId="77BE6B49">
                  <w:pPr>
                    <w:pStyle w:val="53"/>
                    <w:bidi w:val="0"/>
                    <w:rPr>
                      <w:rFonts w:hint="eastAsia"/>
                      <w:color w:val="auto"/>
                      <w:highlight w:val="none"/>
                      <w:lang w:val="en-US" w:eastAsia="zh-CN"/>
                    </w:rPr>
                  </w:pPr>
                </w:p>
              </w:tc>
            </w:tr>
            <w:tr w14:paraId="40370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119" w:type="pct"/>
                  <w:gridSpan w:val="4"/>
                  <w:noWrap w:val="0"/>
                  <w:vAlign w:val="center"/>
                </w:tcPr>
                <w:p w14:paraId="34E3DBFE">
                  <w:pPr>
                    <w:pStyle w:val="53"/>
                    <w:bidi w:val="0"/>
                    <w:rPr>
                      <w:color w:val="auto"/>
                      <w:highlight w:val="none"/>
                    </w:rPr>
                  </w:pPr>
                  <w:r>
                    <w:rPr>
                      <w:color w:val="auto"/>
                      <w:highlight w:val="none"/>
                    </w:rPr>
                    <w:t>合计</w:t>
                  </w:r>
                </w:p>
              </w:tc>
              <w:tc>
                <w:tcPr>
                  <w:tcW w:w="880" w:type="pct"/>
                  <w:noWrap w:val="0"/>
                  <w:vAlign w:val="center"/>
                </w:tcPr>
                <w:p w14:paraId="3B8A78E0">
                  <w:pPr>
                    <w:pStyle w:val="53"/>
                    <w:bidi w:val="0"/>
                    <w:rPr>
                      <w:rFonts w:hint="default"/>
                      <w:color w:val="auto"/>
                      <w:highlight w:val="none"/>
                      <w:lang w:val="en-US" w:eastAsia="zh-CN"/>
                    </w:rPr>
                  </w:pPr>
                  <w:r>
                    <w:rPr>
                      <w:rFonts w:hint="eastAsia"/>
                      <w:color w:val="auto"/>
                      <w:highlight w:val="none"/>
                      <w:lang w:val="en-US" w:eastAsia="zh-CN"/>
                    </w:rPr>
                    <w:t>40.3</w:t>
                  </w:r>
                </w:p>
              </w:tc>
            </w:tr>
          </w:tbl>
          <w:p w14:paraId="7107A4BF">
            <w:pPr>
              <w:bidi w:val="0"/>
              <w:rPr>
                <w:rFonts w:hint="eastAsia"/>
                <w:b/>
                <w:bCs/>
                <w:color w:val="auto"/>
                <w:highlight w:val="none"/>
              </w:rPr>
            </w:pPr>
            <w:r>
              <w:rPr>
                <w:rFonts w:hint="eastAsia"/>
                <w:b/>
                <w:bCs/>
                <w:color w:val="auto"/>
                <w:highlight w:val="none"/>
                <w:lang w:val="en-US" w:eastAsia="zh-CN"/>
              </w:rPr>
              <w:t>2</w:t>
            </w:r>
            <w:r>
              <w:rPr>
                <w:rFonts w:hint="eastAsia"/>
                <w:b/>
                <w:bCs/>
                <w:color w:val="auto"/>
                <w:highlight w:val="none"/>
              </w:rPr>
              <w:t>、其他环保手续要求</w:t>
            </w:r>
          </w:p>
          <w:p w14:paraId="013DAF17">
            <w:pPr>
              <w:bidi w:val="0"/>
              <w:rPr>
                <w:rFonts w:hint="eastAsia"/>
                <w:color w:val="auto"/>
                <w:highlight w:val="none"/>
              </w:rPr>
            </w:pPr>
            <w:r>
              <w:rPr>
                <w:rFonts w:hint="eastAsia"/>
                <w:color w:val="auto"/>
                <w:highlight w:val="none"/>
              </w:rPr>
              <w:t>按照要求申请排污许可证及进行环境保护工程竣工验收工作，通过验收后按证排污。</w:t>
            </w:r>
          </w:p>
          <w:p w14:paraId="7BB72B9D">
            <w:pPr>
              <w:bidi w:val="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、环境管理制度</w:t>
            </w:r>
          </w:p>
          <w:p w14:paraId="5DCB255A">
            <w:pPr>
              <w:bidi w:val="0"/>
              <w:rPr>
                <w:rFonts w:hint="eastAsia"/>
                <w:color w:val="auto"/>
                <w:highlight w:val="none"/>
              </w:rPr>
            </w:pPr>
            <w:r>
              <w:rPr>
                <w:rFonts w:hint="eastAsia"/>
                <w:color w:val="auto"/>
                <w:highlight w:val="none"/>
              </w:rPr>
              <w:t>根据国家的相关规定，结合</w:t>
            </w:r>
            <w:r>
              <w:rPr>
                <w:rFonts w:hint="eastAsia"/>
                <w:color w:val="auto"/>
                <w:highlight w:val="none"/>
                <w:lang w:val="en-US" w:eastAsia="zh-CN"/>
              </w:rPr>
              <w:t>项目</w:t>
            </w:r>
            <w:r>
              <w:rPr>
                <w:rFonts w:hint="eastAsia"/>
                <w:color w:val="auto"/>
                <w:highlight w:val="none"/>
              </w:rPr>
              <w:t>的实际情况，设置1</w:t>
            </w:r>
            <w:r>
              <w:rPr>
                <w:rFonts w:hint="eastAsia"/>
                <w:color w:val="auto"/>
                <w:highlight w:val="none"/>
                <w:lang w:val="en-US" w:eastAsia="zh-CN"/>
              </w:rPr>
              <w:t>~2</w:t>
            </w:r>
            <w:r>
              <w:rPr>
                <w:rFonts w:hint="eastAsia"/>
                <w:color w:val="auto"/>
                <w:highlight w:val="none"/>
              </w:rPr>
              <w:t>名环保管理人员，贯彻执行国家和地方各项环保方针、政策和法规，制定环境</w:t>
            </w:r>
            <w:r>
              <w:rPr>
                <w:rFonts w:hint="eastAsia"/>
                <w:color w:val="auto"/>
                <w:highlight w:val="none"/>
                <w:lang w:eastAsia="zh-CN"/>
              </w:rPr>
              <w:t>管理制度</w:t>
            </w:r>
            <w:r>
              <w:rPr>
                <w:rFonts w:hint="eastAsia"/>
                <w:color w:val="auto"/>
                <w:highlight w:val="none"/>
              </w:rPr>
              <w:t>，落实环保管理要求。环境管理机构的具体职责包括：</w:t>
            </w:r>
          </w:p>
          <w:p w14:paraId="0421540F">
            <w:pPr>
              <w:bidi w:val="0"/>
              <w:rPr>
                <w:rFonts w:hint="eastAsia"/>
                <w:color w:val="auto"/>
                <w:highlight w:val="none"/>
              </w:rPr>
            </w:pPr>
            <w:r>
              <w:rPr>
                <w:rFonts w:hint="eastAsia"/>
                <w:color w:val="auto"/>
                <w:highlight w:val="none"/>
              </w:rPr>
              <w:t>（1）建立健全环保工作规章制度，明确环保责任制及奖惩办法；</w:t>
            </w:r>
          </w:p>
          <w:p w14:paraId="4D362C36">
            <w:pPr>
              <w:bidi w:val="0"/>
              <w:rPr>
                <w:rFonts w:hint="eastAsia"/>
                <w:color w:val="auto"/>
                <w:highlight w:val="none"/>
              </w:rPr>
            </w:pPr>
            <w:r>
              <w:rPr>
                <w:rFonts w:hint="eastAsia"/>
                <w:color w:val="auto"/>
                <w:highlight w:val="none"/>
              </w:rPr>
              <w:t>（2）确定环境管理目标，如“三废”达标排放，固废尤其是危废及时处置等；</w:t>
            </w:r>
          </w:p>
          <w:p w14:paraId="5DE7904C">
            <w:pPr>
              <w:bidi w:val="0"/>
              <w:rPr>
                <w:rFonts w:hint="eastAsia"/>
                <w:color w:val="auto"/>
                <w:highlight w:val="none"/>
              </w:rPr>
            </w:pPr>
            <w:r>
              <w:rPr>
                <w:rFonts w:hint="eastAsia"/>
                <w:color w:val="auto"/>
                <w:highlight w:val="none"/>
              </w:rPr>
              <w:t>（3）建立环保档案，包括环评报告文件及批复、环保工程验收报告及专家评审意见、突发环境事件应急预案报告及备案、污染源监测报告、环保设施运行记录以及其他的环境统计资料；</w:t>
            </w:r>
          </w:p>
          <w:p w14:paraId="45497496">
            <w:pPr>
              <w:bidi w:val="0"/>
              <w:rPr>
                <w:rFonts w:hint="eastAsia"/>
                <w:color w:val="auto"/>
                <w:highlight w:val="none"/>
              </w:rPr>
            </w:pPr>
            <w:r>
              <w:rPr>
                <w:rFonts w:hint="eastAsia"/>
                <w:color w:val="auto"/>
                <w:highlight w:val="none"/>
              </w:rPr>
              <w:t>（4）收集与管理有关的污染物排放标准、环保法规、环保技术资料；</w:t>
            </w:r>
          </w:p>
          <w:p w14:paraId="0661BC2F">
            <w:pPr>
              <w:bidi w:val="0"/>
              <w:rPr>
                <w:rFonts w:hint="eastAsia"/>
                <w:color w:val="auto"/>
                <w:highlight w:val="none"/>
              </w:rPr>
            </w:pPr>
            <w:r>
              <w:rPr>
                <w:rFonts w:hint="eastAsia"/>
                <w:color w:val="auto"/>
                <w:highlight w:val="none"/>
              </w:rPr>
              <w:t>（5）防治“三废”污染是环保工作的重中之重，应通过环境管理保证污染防治设施稳定正常运行。搞好所有环保设施与主体设备的协调管理，使污染防治设施的配备与主体设备相适应，并与主体设备同时运行及检修；污染防治设施出现故障时，环境管理机构应立即与各部门采取措施，防止污染扩大化；</w:t>
            </w:r>
          </w:p>
          <w:p w14:paraId="7AFB4C13">
            <w:pPr>
              <w:bidi w:val="0"/>
              <w:rPr>
                <w:rFonts w:hint="eastAsia"/>
                <w:color w:val="auto"/>
                <w:highlight w:val="none"/>
              </w:rPr>
            </w:pPr>
            <w:r>
              <w:rPr>
                <w:rFonts w:hint="eastAsia"/>
                <w:color w:val="auto"/>
                <w:highlight w:val="none"/>
              </w:rPr>
              <w:t>（6）搞好污染物排放总量控制；</w:t>
            </w:r>
          </w:p>
          <w:p w14:paraId="4D473958">
            <w:pPr>
              <w:bidi w:val="0"/>
              <w:rPr>
                <w:rFonts w:hint="eastAsia"/>
                <w:color w:val="auto"/>
                <w:highlight w:val="none"/>
              </w:rPr>
            </w:pPr>
            <w:r>
              <w:rPr>
                <w:rFonts w:hint="eastAsia"/>
                <w:color w:val="auto"/>
                <w:highlight w:val="none"/>
              </w:rPr>
              <w:t>（7）负责一般的污染事故处理；</w:t>
            </w:r>
          </w:p>
          <w:p w14:paraId="6CE4FB53">
            <w:pPr>
              <w:bidi w:val="0"/>
              <w:rPr>
                <w:rFonts w:hint="eastAsia"/>
                <w:color w:val="auto"/>
                <w:highlight w:val="none"/>
                <w:lang w:eastAsia="zh-CN"/>
              </w:rPr>
            </w:pPr>
            <w:r>
              <w:rPr>
                <w:rFonts w:hint="eastAsia"/>
                <w:color w:val="auto"/>
                <w:highlight w:val="none"/>
              </w:rPr>
              <w:t>（8）组织职工的环保教育，做好环境宣传工作</w:t>
            </w:r>
            <w:r>
              <w:rPr>
                <w:rFonts w:hint="eastAsia"/>
                <w:color w:val="auto"/>
                <w:highlight w:val="none"/>
                <w:lang w:eastAsia="zh-CN"/>
              </w:rPr>
              <w:t>。</w:t>
            </w:r>
          </w:p>
          <w:p w14:paraId="683A7D76">
            <w:pPr>
              <w:bidi w:val="0"/>
              <w:rPr>
                <w:rFonts w:hint="eastAsia"/>
                <w:color w:val="auto"/>
                <w:highlight w:val="none"/>
                <w:lang w:eastAsia="zh-CN"/>
              </w:rPr>
            </w:pPr>
          </w:p>
          <w:p w14:paraId="30522D36">
            <w:pPr>
              <w:bidi w:val="0"/>
              <w:rPr>
                <w:rFonts w:hint="eastAsia"/>
                <w:color w:val="auto"/>
                <w:highlight w:val="none"/>
                <w:lang w:eastAsia="zh-CN"/>
              </w:rPr>
            </w:pPr>
          </w:p>
          <w:p w14:paraId="6117E19C">
            <w:pPr>
              <w:bidi w:val="0"/>
              <w:rPr>
                <w:rFonts w:hint="eastAsia"/>
                <w:color w:val="auto"/>
                <w:highlight w:val="none"/>
                <w:lang w:eastAsia="zh-CN"/>
              </w:rPr>
            </w:pPr>
          </w:p>
          <w:p w14:paraId="2E9EEBBE">
            <w:pPr>
              <w:bidi w:val="0"/>
              <w:rPr>
                <w:rFonts w:hint="eastAsia"/>
                <w:color w:val="auto"/>
                <w:highlight w:val="none"/>
                <w:lang w:eastAsia="zh-CN"/>
              </w:rPr>
            </w:pPr>
          </w:p>
          <w:p w14:paraId="493ED539">
            <w:pPr>
              <w:bidi w:val="0"/>
              <w:rPr>
                <w:rFonts w:hint="eastAsia"/>
                <w:color w:val="auto"/>
                <w:highlight w:val="none"/>
                <w:lang w:eastAsia="zh-CN"/>
              </w:rPr>
            </w:pPr>
          </w:p>
          <w:p w14:paraId="469F5571">
            <w:pPr>
              <w:bidi w:val="0"/>
              <w:rPr>
                <w:rFonts w:hint="eastAsia"/>
                <w:color w:val="auto"/>
                <w:highlight w:val="none"/>
                <w:lang w:eastAsia="zh-CN"/>
              </w:rPr>
            </w:pPr>
          </w:p>
          <w:p w14:paraId="71284303">
            <w:pPr>
              <w:bidi w:val="0"/>
              <w:rPr>
                <w:rFonts w:hint="eastAsia"/>
                <w:color w:val="auto"/>
                <w:highlight w:val="none"/>
                <w:lang w:eastAsia="zh-CN"/>
              </w:rPr>
            </w:pPr>
          </w:p>
          <w:p w14:paraId="69913ED2">
            <w:pPr>
              <w:bidi w:val="0"/>
              <w:rPr>
                <w:rFonts w:hint="eastAsia"/>
                <w:color w:val="auto"/>
                <w:highlight w:val="none"/>
                <w:lang w:eastAsia="zh-CN"/>
              </w:rPr>
            </w:pPr>
          </w:p>
          <w:p w14:paraId="7B10B0A4">
            <w:pPr>
              <w:bidi w:val="0"/>
              <w:rPr>
                <w:rFonts w:hint="eastAsia"/>
                <w:color w:val="auto"/>
                <w:highlight w:val="none"/>
                <w:lang w:eastAsia="zh-CN"/>
              </w:rPr>
            </w:pPr>
          </w:p>
          <w:p w14:paraId="4AB68AB7">
            <w:pPr>
              <w:bidi w:val="0"/>
              <w:rPr>
                <w:rFonts w:hint="eastAsia"/>
                <w:color w:val="auto"/>
                <w:highlight w:val="none"/>
                <w:lang w:eastAsia="zh-CN"/>
              </w:rPr>
            </w:pPr>
          </w:p>
          <w:p w14:paraId="600A6850">
            <w:pPr>
              <w:bidi w:val="0"/>
              <w:rPr>
                <w:rFonts w:hint="eastAsia"/>
                <w:color w:val="auto"/>
                <w:highlight w:val="none"/>
                <w:lang w:eastAsia="zh-CN"/>
              </w:rPr>
            </w:pPr>
          </w:p>
          <w:p w14:paraId="61874B8B">
            <w:pPr>
              <w:bidi w:val="0"/>
              <w:rPr>
                <w:rFonts w:hint="eastAsia"/>
                <w:color w:val="auto"/>
                <w:highlight w:val="none"/>
                <w:lang w:eastAsia="zh-CN"/>
              </w:rPr>
            </w:pPr>
          </w:p>
          <w:p w14:paraId="711B82D5">
            <w:pPr>
              <w:bidi w:val="0"/>
              <w:rPr>
                <w:rFonts w:hint="eastAsia"/>
                <w:color w:val="auto"/>
                <w:highlight w:val="none"/>
                <w:lang w:eastAsia="zh-CN"/>
              </w:rPr>
            </w:pPr>
          </w:p>
          <w:p w14:paraId="268166DF">
            <w:pPr>
              <w:bidi w:val="0"/>
              <w:rPr>
                <w:rFonts w:hint="eastAsia"/>
                <w:color w:val="auto"/>
                <w:highlight w:val="none"/>
                <w:lang w:eastAsia="zh-CN"/>
              </w:rPr>
            </w:pPr>
          </w:p>
          <w:p w14:paraId="0AF0C25F">
            <w:pPr>
              <w:bidi w:val="0"/>
              <w:rPr>
                <w:rFonts w:hint="eastAsia"/>
                <w:color w:val="auto"/>
                <w:highlight w:val="none"/>
                <w:lang w:eastAsia="zh-CN"/>
              </w:rPr>
            </w:pPr>
          </w:p>
          <w:p w14:paraId="11B65CCE">
            <w:pPr>
              <w:bidi w:val="0"/>
              <w:rPr>
                <w:rFonts w:hint="eastAsia"/>
                <w:color w:val="auto"/>
                <w:highlight w:val="none"/>
                <w:lang w:eastAsia="zh-CN"/>
              </w:rPr>
            </w:pPr>
          </w:p>
          <w:p w14:paraId="0D702A23">
            <w:pPr>
              <w:bidi w:val="0"/>
              <w:rPr>
                <w:rFonts w:hint="eastAsia"/>
                <w:color w:val="auto"/>
                <w:highlight w:val="none"/>
                <w:lang w:eastAsia="zh-CN"/>
              </w:rPr>
            </w:pPr>
          </w:p>
          <w:p w14:paraId="5A3358A9">
            <w:pPr>
              <w:bidi w:val="0"/>
              <w:rPr>
                <w:rFonts w:hint="eastAsia"/>
                <w:color w:val="auto"/>
                <w:highlight w:val="none"/>
                <w:lang w:eastAsia="zh-CN"/>
              </w:rPr>
            </w:pPr>
          </w:p>
          <w:p w14:paraId="69EE94DA">
            <w:pPr>
              <w:bidi w:val="0"/>
              <w:rPr>
                <w:rFonts w:hint="eastAsia"/>
                <w:color w:val="auto"/>
                <w:highlight w:val="none"/>
                <w:lang w:eastAsia="zh-CN"/>
              </w:rPr>
            </w:pPr>
          </w:p>
          <w:p w14:paraId="305C3954">
            <w:pPr>
              <w:bidi w:val="0"/>
              <w:rPr>
                <w:rFonts w:hint="eastAsia"/>
                <w:color w:val="auto"/>
                <w:highlight w:val="none"/>
                <w:lang w:eastAsia="zh-CN"/>
              </w:rPr>
            </w:pPr>
          </w:p>
          <w:p w14:paraId="314EDA38">
            <w:pPr>
              <w:bidi w:val="0"/>
              <w:rPr>
                <w:rFonts w:hint="eastAsia"/>
                <w:color w:val="auto"/>
                <w:highlight w:val="none"/>
                <w:lang w:eastAsia="zh-CN"/>
              </w:rPr>
            </w:pPr>
          </w:p>
          <w:p w14:paraId="6872B015">
            <w:pPr>
              <w:bidi w:val="0"/>
              <w:rPr>
                <w:rFonts w:hint="eastAsia"/>
                <w:color w:val="auto"/>
                <w:highlight w:val="none"/>
                <w:lang w:eastAsia="zh-CN"/>
              </w:rPr>
            </w:pPr>
          </w:p>
          <w:p w14:paraId="3B54A848">
            <w:pPr>
              <w:bidi w:val="0"/>
              <w:rPr>
                <w:rFonts w:hint="eastAsia"/>
                <w:color w:val="auto"/>
                <w:highlight w:val="none"/>
                <w:lang w:eastAsia="zh-CN"/>
              </w:rPr>
            </w:pPr>
          </w:p>
          <w:p w14:paraId="778E1E57">
            <w:pPr>
              <w:bidi w:val="0"/>
              <w:rPr>
                <w:rFonts w:hint="eastAsia"/>
                <w:color w:val="auto"/>
                <w:highlight w:val="none"/>
                <w:lang w:eastAsia="zh-CN"/>
              </w:rPr>
            </w:pPr>
          </w:p>
          <w:p w14:paraId="033A214C">
            <w:pPr>
              <w:bidi w:val="0"/>
              <w:rPr>
                <w:rFonts w:hint="eastAsia"/>
                <w:color w:val="auto"/>
                <w:highlight w:val="none"/>
                <w:lang w:eastAsia="zh-CN"/>
              </w:rPr>
            </w:pPr>
          </w:p>
          <w:p w14:paraId="1FFC8CFD">
            <w:pPr>
              <w:bidi w:val="0"/>
              <w:ind w:left="0" w:leftChars="0" w:firstLine="0" w:firstLineChars="0"/>
              <w:rPr>
                <w:rFonts w:hint="eastAsia"/>
                <w:color w:val="auto"/>
                <w:highlight w:val="none"/>
                <w:lang w:eastAsia="zh-CN"/>
              </w:rPr>
            </w:pPr>
          </w:p>
        </w:tc>
      </w:tr>
    </w:tbl>
    <w:p w14:paraId="653E4B0C">
      <w:pPr>
        <w:pStyle w:val="26"/>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E735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5208AA00">
            <w:pPr>
              <w:bidi w:val="0"/>
              <w:jc w:val="both"/>
              <w:rPr>
                <w:rFonts w:hint="default"/>
                <w:color w:val="auto"/>
                <w:highlight w:val="none"/>
              </w:rPr>
            </w:pPr>
          </w:p>
          <w:p w14:paraId="6E9EA14D">
            <w:pPr>
              <w:bidi w:val="0"/>
              <w:jc w:val="both"/>
              <w:rPr>
                <w:rFonts w:hint="eastAsia"/>
                <w:color w:val="auto"/>
                <w:highlight w:val="none"/>
              </w:rPr>
            </w:pPr>
            <w:r>
              <w:rPr>
                <w:rFonts w:hint="eastAsia"/>
                <w:color w:val="auto"/>
                <w:highlight w:val="none"/>
                <w:lang w:val="en-US" w:eastAsia="zh-CN"/>
              </w:rPr>
              <w:t>本项目</w:t>
            </w:r>
            <w:r>
              <w:rPr>
                <w:color w:val="auto"/>
                <w:highlight w:val="none"/>
              </w:rPr>
              <w:t>符合国家产业政策要求</w:t>
            </w:r>
            <w:r>
              <w:rPr>
                <w:rFonts w:hint="eastAsia"/>
                <w:color w:val="auto"/>
                <w:highlight w:val="none"/>
                <w:lang w:eastAsia="zh-CN"/>
              </w:rPr>
              <w:t>，</w:t>
            </w:r>
            <w:r>
              <w:rPr>
                <w:rFonts w:hint="eastAsia"/>
                <w:color w:val="auto"/>
                <w:highlight w:val="none"/>
                <w:lang w:val="en-US" w:eastAsia="zh-CN"/>
              </w:rPr>
              <w:t>符合相关规划及规划环评要求</w:t>
            </w:r>
            <w:r>
              <w:rPr>
                <w:color w:val="auto"/>
                <w:highlight w:val="none"/>
              </w:rPr>
              <w:t>，</w:t>
            </w:r>
            <w:r>
              <w:rPr>
                <w:rFonts w:hint="eastAsia"/>
                <w:color w:val="auto"/>
                <w:highlight w:val="none"/>
              </w:rPr>
              <w:t>项目选址合理，</w:t>
            </w:r>
            <w:r>
              <w:rPr>
                <w:color w:val="auto"/>
                <w:highlight w:val="none"/>
              </w:rPr>
              <w:t>在认真落实设计和本报告表提出的各项污染防治措施的前提下，项目运营期废气、废水、噪声和固体废物均可得到妥善处置或达标排放，对环境的影响较小。</w:t>
            </w:r>
            <w:r>
              <w:rPr>
                <w:rFonts w:hint="eastAsia" w:ascii="宋体" w:cs="宋体"/>
                <w:color w:val="auto"/>
                <w:sz w:val="24"/>
                <w:szCs w:val="24"/>
              </w:rPr>
              <w:t>从环境保护角度分析，项目建设环境影响可行。</w:t>
            </w:r>
          </w:p>
          <w:p w14:paraId="16C70721">
            <w:pPr>
              <w:pStyle w:val="6"/>
              <w:rPr>
                <w:color w:val="auto"/>
                <w:highlight w:val="none"/>
              </w:rPr>
            </w:pPr>
          </w:p>
        </w:tc>
      </w:tr>
    </w:tbl>
    <w:p w14:paraId="4D0B426B">
      <w:pPr>
        <w:rPr>
          <w:rFonts w:ascii="宋体"/>
          <w:color w:val="auto"/>
          <w:highlight w:val="none"/>
        </w:rPr>
        <w:sectPr>
          <w:pgSz w:w="11906" w:h="16838"/>
          <w:pgMar w:top="1701" w:right="1531" w:bottom="1701" w:left="1531" w:header="851" w:footer="851" w:gutter="0"/>
          <w:pgNumType w:fmt="decimal"/>
          <w:cols w:space="720" w:num="1"/>
          <w:docGrid w:linePitch="312" w:charSpace="0"/>
        </w:sectPr>
      </w:pPr>
    </w:p>
    <w:p w14:paraId="3BC32C02">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08C2090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894"/>
        <w:gridCol w:w="1581"/>
        <w:gridCol w:w="1276"/>
        <w:gridCol w:w="1701"/>
        <w:gridCol w:w="1559"/>
        <w:gridCol w:w="1761"/>
        <w:gridCol w:w="1743"/>
        <w:gridCol w:w="1042"/>
      </w:tblGrid>
      <w:tr w14:paraId="58C85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31" w:type="dxa"/>
            <w:tcBorders>
              <w:tl2br w:val="single" w:color="auto" w:sz="4" w:space="0"/>
            </w:tcBorders>
            <w:noWrap w:val="0"/>
            <w:tcMar>
              <w:left w:w="28" w:type="dxa"/>
              <w:right w:w="28" w:type="dxa"/>
            </w:tcMar>
            <w:vAlign w:val="center"/>
          </w:tcPr>
          <w:p w14:paraId="09374B58">
            <w:pPr>
              <w:pStyle w:val="53"/>
              <w:spacing w:beforeLines="0" w:afterLines="0" w:line="240" w:lineRule="auto"/>
              <w:jc w:val="righ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项目</w:t>
            </w:r>
          </w:p>
          <w:p w14:paraId="353B8129">
            <w:pPr>
              <w:pStyle w:val="53"/>
              <w:spacing w:beforeLines="0" w:afterLines="0" w:line="240" w:lineRule="auto"/>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分类</w:t>
            </w:r>
          </w:p>
        </w:tc>
        <w:tc>
          <w:tcPr>
            <w:tcW w:w="1894" w:type="dxa"/>
            <w:noWrap w:val="0"/>
            <w:tcMar>
              <w:left w:w="28" w:type="dxa"/>
              <w:right w:w="28" w:type="dxa"/>
            </w:tcMar>
            <w:vAlign w:val="center"/>
          </w:tcPr>
          <w:p w14:paraId="50F54B81">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污染物名称</w:t>
            </w:r>
          </w:p>
        </w:tc>
        <w:tc>
          <w:tcPr>
            <w:tcW w:w="1581" w:type="dxa"/>
            <w:noWrap w:val="0"/>
            <w:tcMar>
              <w:left w:w="28" w:type="dxa"/>
              <w:right w:w="28" w:type="dxa"/>
            </w:tcMar>
            <w:vAlign w:val="center"/>
          </w:tcPr>
          <w:p w14:paraId="62338CF4">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现有工程</w:t>
            </w:r>
          </w:p>
          <w:p w14:paraId="08790FFD">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tc>
        <w:tc>
          <w:tcPr>
            <w:tcW w:w="1276" w:type="dxa"/>
            <w:noWrap w:val="0"/>
            <w:tcMar>
              <w:left w:w="28" w:type="dxa"/>
              <w:right w:w="28" w:type="dxa"/>
            </w:tcMar>
            <w:vAlign w:val="center"/>
          </w:tcPr>
          <w:p w14:paraId="2259D170">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现有工程</w:t>
            </w:r>
          </w:p>
          <w:p w14:paraId="67FCB83F">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许可排放量</w:t>
            </w:r>
          </w:p>
          <w:p w14:paraId="47837CAD">
            <w:pPr>
              <w:pStyle w:val="53"/>
              <w:spacing w:beforeLines="0" w:afterLines="0"/>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snapToGrid w:val="0"/>
                <w:color w:val="auto"/>
                <w:spacing w:val="-6"/>
                <w:kern w:val="21"/>
                <w:szCs w:val="21"/>
                <w:highlight w:val="none"/>
              </w:rPr>
              <w:t>②</w:t>
            </w:r>
            <w:r>
              <w:rPr>
                <w:rFonts w:hint="default" w:ascii="Times New Roman" w:hAnsi="Times New Roman" w:eastAsia="宋体" w:cs="Times New Roman"/>
                <w:snapToGrid w:val="0"/>
                <w:color w:val="auto"/>
                <w:spacing w:val="-6"/>
                <w:kern w:val="21"/>
                <w:szCs w:val="21"/>
                <w:highlight w:val="none"/>
              </w:rPr>
              <w:fldChar w:fldCharType="end"/>
            </w:r>
          </w:p>
        </w:tc>
        <w:tc>
          <w:tcPr>
            <w:tcW w:w="1701" w:type="dxa"/>
            <w:noWrap w:val="0"/>
            <w:tcMar>
              <w:left w:w="28" w:type="dxa"/>
              <w:right w:w="28" w:type="dxa"/>
            </w:tcMar>
            <w:vAlign w:val="center"/>
          </w:tcPr>
          <w:p w14:paraId="0D731885">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在建工程</w:t>
            </w:r>
          </w:p>
          <w:p w14:paraId="288F97C6">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14:paraId="41F9F4EF">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本项目</w:t>
            </w:r>
          </w:p>
          <w:p w14:paraId="290F041A">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p>
        </w:tc>
        <w:tc>
          <w:tcPr>
            <w:tcW w:w="1761" w:type="dxa"/>
            <w:noWrap w:val="0"/>
            <w:tcMar>
              <w:left w:w="28" w:type="dxa"/>
              <w:right w:w="28" w:type="dxa"/>
            </w:tcMar>
            <w:vAlign w:val="center"/>
          </w:tcPr>
          <w:p w14:paraId="13B96135">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以新带老削减量</w:t>
            </w:r>
          </w:p>
          <w:p w14:paraId="26306E53">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（新建项目不填）</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kern w:val="2"/>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p>
        </w:tc>
        <w:tc>
          <w:tcPr>
            <w:tcW w:w="1743" w:type="dxa"/>
            <w:noWrap w:val="0"/>
            <w:tcMar>
              <w:left w:w="28" w:type="dxa"/>
              <w:right w:w="28" w:type="dxa"/>
            </w:tcMar>
            <w:vAlign w:val="center"/>
          </w:tcPr>
          <w:p w14:paraId="42191C18">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本项目建成后</w:t>
            </w:r>
          </w:p>
          <w:p w14:paraId="6D05345A">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全厂排放量（固体废物产生量）</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kern w:val="2"/>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p>
        </w:tc>
        <w:tc>
          <w:tcPr>
            <w:tcW w:w="1042" w:type="dxa"/>
            <w:noWrap w:val="0"/>
            <w:tcMar>
              <w:left w:w="28" w:type="dxa"/>
              <w:right w:w="28" w:type="dxa"/>
            </w:tcMar>
            <w:vAlign w:val="center"/>
          </w:tcPr>
          <w:p w14:paraId="5A9A7CAC">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变化量</w:t>
            </w:r>
          </w:p>
          <w:p w14:paraId="7B94D796">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p>
        </w:tc>
      </w:tr>
      <w:tr w14:paraId="5757F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restart"/>
            <w:noWrap w:val="0"/>
            <w:vAlign w:val="center"/>
          </w:tcPr>
          <w:p w14:paraId="2DA5DF5D">
            <w:pPr>
              <w:pStyle w:val="5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1894" w:type="dxa"/>
            <w:noWrap w:val="0"/>
            <w:vAlign w:val="center"/>
          </w:tcPr>
          <w:p w14:paraId="1E2A7E1E">
            <w:pPr>
              <w:pStyle w:val="53"/>
              <w:spacing w:beforeLines="0" w:afterLines="0" w:line="240" w:lineRule="auto"/>
              <w:rPr>
                <w:rFonts w:hint="default" w:hAnsi="宋体" w:eastAsia="宋体" w:cs="宋体"/>
                <w:snapToGrid w:val="0"/>
                <w:color w:val="auto"/>
                <w:kern w:val="21"/>
                <w:szCs w:val="21"/>
                <w:highlight w:val="none"/>
                <w:vertAlign w:val="subscript"/>
                <w:lang w:val="en-US" w:eastAsia="zh-CN"/>
              </w:rPr>
            </w:pPr>
            <w:r>
              <w:rPr>
                <w:rFonts w:hint="eastAsia" w:hAnsi="宋体" w:cs="宋体"/>
                <w:snapToGrid w:val="0"/>
                <w:color w:val="auto"/>
                <w:kern w:val="21"/>
                <w:szCs w:val="21"/>
                <w:highlight w:val="none"/>
                <w:lang w:val="en-US" w:eastAsia="zh-CN"/>
              </w:rPr>
              <w:t>SO</w:t>
            </w:r>
            <w:r>
              <w:rPr>
                <w:rFonts w:hint="eastAsia" w:hAnsi="宋体" w:cs="宋体"/>
                <w:snapToGrid w:val="0"/>
                <w:color w:val="auto"/>
                <w:kern w:val="21"/>
                <w:szCs w:val="21"/>
                <w:highlight w:val="none"/>
                <w:vertAlign w:val="subscript"/>
                <w:lang w:val="en-US" w:eastAsia="zh-CN"/>
              </w:rPr>
              <w:t>2</w:t>
            </w:r>
          </w:p>
        </w:tc>
        <w:tc>
          <w:tcPr>
            <w:tcW w:w="1581" w:type="dxa"/>
            <w:noWrap w:val="0"/>
            <w:vAlign w:val="center"/>
          </w:tcPr>
          <w:p w14:paraId="6A0B8B54">
            <w:pPr>
              <w:pStyle w:val="53"/>
              <w:spacing w:beforeLines="0" w:afterLines="0" w:line="240" w:lineRule="auto"/>
              <w:ind w:left="0" w:leftChars="0" w:firstLine="0" w:firstLineChars="0"/>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276" w:type="dxa"/>
            <w:noWrap w:val="0"/>
            <w:vAlign w:val="center"/>
          </w:tcPr>
          <w:p w14:paraId="10F82A70">
            <w:pPr>
              <w:pStyle w:val="53"/>
              <w:spacing w:beforeLines="0" w:afterLines="0" w:line="240" w:lineRule="auto"/>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1" w:type="dxa"/>
            <w:noWrap w:val="0"/>
            <w:vAlign w:val="center"/>
          </w:tcPr>
          <w:p w14:paraId="79596935">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713E17FA">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0.03t/a</w:t>
            </w:r>
          </w:p>
        </w:tc>
        <w:tc>
          <w:tcPr>
            <w:tcW w:w="1761" w:type="dxa"/>
            <w:noWrap w:val="0"/>
            <w:vAlign w:val="center"/>
          </w:tcPr>
          <w:p w14:paraId="5C121A4F">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137827B0">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0.03t/a</w:t>
            </w:r>
          </w:p>
        </w:tc>
        <w:tc>
          <w:tcPr>
            <w:tcW w:w="1042" w:type="dxa"/>
            <w:shd w:val="clear" w:color="auto" w:fill="auto"/>
            <w:noWrap w:val="0"/>
            <w:vAlign w:val="center"/>
          </w:tcPr>
          <w:p w14:paraId="6A3BAEF9">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+0.03t/a</w:t>
            </w:r>
          </w:p>
        </w:tc>
      </w:tr>
      <w:tr w14:paraId="4107E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6ACE4622">
            <w:pPr>
              <w:pStyle w:val="53"/>
              <w:spacing w:beforeLines="0" w:afterLines="0" w:line="240" w:lineRule="auto"/>
              <w:rPr>
                <w:rFonts w:hint="eastAsia" w:hAnsi="宋体" w:cs="宋体"/>
                <w:snapToGrid w:val="0"/>
                <w:color w:val="auto"/>
                <w:kern w:val="21"/>
                <w:szCs w:val="21"/>
                <w:highlight w:val="none"/>
              </w:rPr>
            </w:pPr>
          </w:p>
        </w:tc>
        <w:tc>
          <w:tcPr>
            <w:tcW w:w="1894" w:type="dxa"/>
            <w:shd w:val="clear" w:color="auto" w:fill="auto"/>
            <w:noWrap w:val="0"/>
            <w:vAlign w:val="center"/>
          </w:tcPr>
          <w:p w14:paraId="489FE4CE">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TSP</w:t>
            </w:r>
          </w:p>
        </w:tc>
        <w:tc>
          <w:tcPr>
            <w:tcW w:w="1581" w:type="dxa"/>
            <w:shd w:val="clear" w:color="auto" w:fill="auto"/>
            <w:noWrap w:val="0"/>
            <w:vAlign w:val="center"/>
          </w:tcPr>
          <w:p w14:paraId="002066C5">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shd w:val="clear" w:color="auto" w:fill="auto"/>
            <w:noWrap w:val="0"/>
            <w:vAlign w:val="center"/>
          </w:tcPr>
          <w:p w14:paraId="651E4FE1">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shd w:val="clear" w:color="auto" w:fill="auto"/>
            <w:noWrap w:val="0"/>
            <w:vAlign w:val="center"/>
          </w:tcPr>
          <w:p w14:paraId="1B87496C">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shd w:val="clear" w:color="auto" w:fill="auto"/>
            <w:noWrap w:val="0"/>
            <w:vAlign w:val="center"/>
          </w:tcPr>
          <w:p w14:paraId="180BE1D9">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0.403t/a</w:t>
            </w:r>
          </w:p>
        </w:tc>
        <w:tc>
          <w:tcPr>
            <w:tcW w:w="1761" w:type="dxa"/>
            <w:shd w:val="clear" w:color="auto" w:fill="auto"/>
            <w:noWrap w:val="0"/>
            <w:vAlign w:val="center"/>
          </w:tcPr>
          <w:p w14:paraId="475D7457">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40727F22">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0.403t/a</w:t>
            </w:r>
          </w:p>
        </w:tc>
        <w:tc>
          <w:tcPr>
            <w:tcW w:w="1042" w:type="dxa"/>
            <w:shd w:val="clear" w:color="auto" w:fill="auto"/>
            <w:noWrap w:val="0"/>
            <w:vAlign w:val="center"/>
          </w:tcPr>
          <w:p w14:paraId="7B50DC90">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+0.403t/a</w:t>
            </w:r>
          </w:p>
        </w:tc>
      </w:tr>
      <w:tr w14:paraId="6125E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69A083F8">
            <w:pPr>
              <w:pStyle w:val="53"/>
              <w:spacing w:beforeLines="0" w:afterLines="0" w:line="240" w:lineRule="auto"/>
              <w:rPr>
                <w:rFonts w:hint="eastAsia" w:hAnsi="宋体" w:cs="宋体"/>
                <w:snapToGrid w:val="0"/>
                <w:color w:val="auto"/>
                <w:kern w:val="21"/>
                <w:szCs w:val="21"/>
                <w:highlight w:val="none"/>
              </w:rPr>
            </w:pPr>
          </w:p>
        </w:tc>
        <w:tc>
          <w:tcPr>
            <w:tcW w:w="1894" w:type="dxa"/>
            <w:noWrap w:val="0"/>
            <w:vAlign w:val="center"/>
          </w:tcPr>
          <w:p w14:paraId="2DA4C08C">
            <w:pPr>
              <w:pStyle w:val="53"/>
              <w:spacing w:beforeLines="0" w:afterLines="0" w:line="240" w:lineRule="auto"/>
              <w:rPr>
                <w:rFonts w:hint="default" w:hAnsi="宋体" w:eastAsia="宋体" w:cs="宋体"/>
                <w:snapToGrid w:val="0"/>
                <w:color w:val="auto"/>
                <w:kern w:val="21"/>
                <w:szCs w:val="21"/>
                <w:highlight w:val="none"/>
                <w:vertAlign w:val="subscript"/>
                <w:lang w:val="en-US" w:eastAsia="zh-CN"/>
              </w:rPr>
            </w:pPr>
            <w:r>
              <w:rPr>
                <w:rFonts w:hint="eastAsia" w:hAnsi="宋体" w:cs="宋体"/>
                <w:snapToGrid w:val="0"/>
                <w:color w:val="auto"/>
                <w:kern w:val="21"/>
                <w:szCs w:val="21"/>
                <w:highlight w:val="none"/>
                <w:lang w:val="en-US" w:eastAsia="zh-CN"/>
              </w:rPr>
              <w:t>NO</w:t>
            </w:r>
            <w:r>
              <w:rPr>
                <w:rFonts w:hint="eastAsia" w:hAnsi="宋体" w:cs="宋体"/>
                <w:snapToGrid w:val="0"/>
                <w:color w:val="auto"/>
                <w:kern w:val="21"/>
                <w:szCs w:val="21"/>
                <w:highlight w:val="none"/>
                <w:vertAlign w:val="subscript"/>
                <w:lang w:val="en-US" w:eastAsia="zh-CN"/>
              </w:rPr>
              <w:t>X</w:t>
            </w:r>
          </w:p>
        </w:tc>
        <w:tc>
          <w:tcPr>
            <w:tcW w:w="1581" w:type="dxa"/>
            <w:noWrap w:val="0"/>
            <w:vAlign w:val="center"/>
          </w:tcPr>
          <w:p w14:paraId="46954762">
            <w:pPr>
              <w:pStyle w:val="53"/>
              <w:spacing w:beforeLines="0" w:afterLines="0" w:line="240" w:lineRule="auto"/>
              <w:ind w:left="0" w:leftChars="0" w:firstLine="0" w:firstLineChars="0"/>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276" w:type="dxa"/>
            <w:noWrap w:val="0"/>
            <w:vAlign w:val="center"/>
          </w:tcPr>
          <w:p w14:paraId="39AD419E">
            <w:pPr>
              <w:pStyle w:val="53"/>
              <w:spacing w:beforeLines="0" w:afterLines="0" w:line="240" w:lineRule="auto"/>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1" w:type="dxa"/>
            <w:noWrap w:val="0"/>
            <w:vAlign w:val="center"/>
          </w:tcPr>
          <w:p w14:paraId="3372A212">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46373E02">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0.14t/a</w:t>
            </w:r>
          </w:p>
        </w:tc>
        <w:tc>
          <w:tcPr>
            <w:tcW w:w="1761" w:type="dxa"/>
            <w:noWrap w:val="0"/>
            <w:vAlign w:val="center"/>
          </w:tcPr>
          <w:p w14:paraId="7B425C7A">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17384523">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0.14t/a</w:t>
            </w:r>
          </w:p>
        </w:tc>
        <w:tc>
          <w:tcPr>
            <w:tcW w:w="1042" w:type="dxa"/>
            <w:shd w:val="clear" w:color="auto" w:fill="auto"/>
            <w:noWrap w:val="0"/>
            <w:vAlign w:val="center"/>
          </w:tcPr>
          <w:p w14:paraId="0C512AB0">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+0.14t/a</w:t>
            </w:r>
          </w:p>
        </w:tc>
      </w:tr>
      <w:tr w14:paraId="4B44E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restart"/>
            <w:noWrap w:val="0"/>
            <w:vAlign w:val="center"/>
          </w:tcPr>
          <w:p w14:paraId="73852BC5">
            <w:pPr>
              <w:pStyle w:val="5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1894" w:type="dxa"/>
            <w:noWrap w:val="0"/>
            <w:vAlign w:val="center"/>
          </w:tcPr>
          <w:p w14:paraId="42DC94F9">
            <w:pPr>
              <w:pStyle w:val="53"/>
              <w:spacing w:beforeLines="0" w:afterLines="0" w:line="240" w:lineRule="auto"/>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COD</w:t>
            </w:r>
          </w:p>
        </w:tc>
        <w:tc>
          <w:tcPr>
            <w:tcW w:w="1581" w:type="dxa"/>
            <w:noWrap w:val="0"/>
            <w:vAlign w:val="center"/>
          </w:tcPr>
          <w:p w14:paraId="6696D296">
            <w:pPr>
              <w:pStyle w:val="53"/>
              <w:spacing w:beforeLines="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377BC07D">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473ADC8C">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5B3E1A6E">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0.259</w:t>
            </w:r>
            <w:r>
              <w:rPr>
                <w:rFonts w:hint="eastAsia" w:hAnsi="宋体" w:cs="宋体"/>
                <w:snapToGrid w:val="0"/>
                <w:color w:val="auto"/>
                <w:kern w:val="21"/>
                <w:szCs w:val="21"/>
                <w:highlight w:val="none"/>
                <w:lang w:val="en-US" w:eastAsia="zh-CN"/>
              </w:rPr>
              <w:t>t/a</w:t>
            </w:r>
          </w:p>
        </w:tc>
        <w:tc>
          <w:tcPr>
            <w:tcW w:w="1761" w:type="dxa"/>
            <w:noWrap w:val="0"/>
            <w:vAlign w:val="center"/>
          </w:tcPr>
          <w:p w14:paraId="35B9C74E">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174D984A">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0.259</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34BF6543">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+0.259</w:t>
            </w:r>
            <w:r>
              <w:rPr>
                <w:rFonts w:hint="eastAsia" w:hAnsi="宋体" w:cs="宋体"/>
                <w:snapToGrid w:val="0"/>
                <w:color w:val="auto"/>
                <w:kern w:val="21"/>
                <w:szCs w:val="21"/>
                <w:highlight w:val="none"/>
                <w:lang w:val="en-US" w:eastAsia="zh-CN"/>
              </w:rPr>
              <w:t>t/a</w:t>
            </w:r>
          </w:p>
        </w:tc>
      </w:tr>
      <w:tr w14:paraId="26F9C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271AA672">
            <w:pPr>
              <w:pStyle w:val="53"/>
              <w:spacing w:beforeLines="0" w:afterLines="0" w:line="240" w:lineRule="auto"/>
              <w:rPr>
                <w:rFonts w:hint="eastAsia" w:hAnsi="宋体" w:cs="宋体"/>
                <w:snapToGrid w:val="0"/>
                <w:color w:val="auto"/>
                <w:kern w:val="21"/>
                <w:szCs w:val="21"/>
                <w:highlight w:val="none"/>
              </w:rPr>
            </w:pPr>
          </w:p>
        </w:tc>
        <w:tc>
          <w:tcPr>
            <w:tcW w:w="1894" w:type="dxa"/>
            <w:noWrap w:val="0"/>
            <w:vAlign w:val="center"/>
          </w:tcPr>
          <w:p w14:paraId="1A57F56B">
            <w:pPr>
              <w:pStyle w:val="53"/>
              <w:spacing w:beforeLines="0" w:afterLines="0" w:line="240" w:lineRule="auto"/>
              <w:rPr>
                <w:rFonts w:hint="default" w:hAnsi="宋体" w:eastAsia="宋体" w:cs="宋体"/>
                <w:snapToGrid w:val="0"/>
                <w:color w:val="auto"/>
                <w:kern w:val="21"/>
                <w:szCs w:val="21"/>
                <w:highlight w:val="none"/>
                <w:vertAlign w:val="subscript"/>
                <w:lang w:val="en-US" w:eastAsia="zh-CN"/>
              </w:rPr>
            </w:pPr>
            <w:r>
              <w:rPr>
                <w:rFonts w:hint="eastAsia" w:hAnsi="宋体" w:cs="宋体"/>
                <w:snapToGrid w:val="0"/>
                <w:color w:val="auto"/>
                <w:kern w:val="21"/>
                <w:szCs w:val="21"/>
                <w:highlight w:val="none"/>
                <w:lang w:val="en-US" w:eastAsia="zh-CN"/>
              </w:rPr>
              <w:t>BOD</w:t>
            </w:r>
            <w:r>
              <w:rPr>
                <w:rFonts w:hint="eastAsia" w:hAnsi="宋体" w:cs="宋体"/>
                <w:snapToGrid w:val="0"/>
                <w:color w:val="auto"/>
                <w:kern w:val="21"/>
                <w:szCs w:val="21"/>
                <w:highlight w:val="none"/>
                <w:vertAlign w:val="subscript"/>
                <w:lang w:val="en-US" w:eastAsia="zh-CN"/>
              </w:rPr>
              <w:t>5</w:t>
            </w:r>
          </w:p>
        </w:tc>
        <w:tc>
          <w:tcPr>
            <w:tcW w:w="1581" w:type="dxa"/>
            <w:noWrap w:val="0"/>
            <w:vAlign w:val="center"/>
          </w:tcPr>
          <w:p w14:paraId="18DFC925">
            <w:pPr>
              <w:pStyle w:val="53"/>
              <w:spacing w:beforeLines="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02AA0DDA">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1886D647">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440B198D">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0.156</w:t>
            </w:r>
            <w:r>
              <w:rPr>
                <w:rFonts w:hint="eastAsia" w:hAnsi="宋体" w:cs="宋体"/>
                <w:snapToGrid w:val="0"/>
                <w:color w:val="auto"/>
                <w:kern w:val="21"/>
                <w:szCs w:val="21"/>
                <w:highlight w:val="none"/>
                <w:lang w:val="en-US" w:eastAsia="zh-CN"/>
              </w:rPr>
              <w:t>t/a</w:t>
            </w:r>
          </w:p>
        </w:tc>
        <w:tc>
          <w:tcPr>
            <w:tcW w:w="1761" w:type="dxa"/>
            <w:noWrap w:val="0"/>
            <w:vAlign w:val="center"/>
          </w:tcPr>
          <w:p w14:paraId="76371C25">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6E04B693">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0.156</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467284D2">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+0.156</w:t>
            </w:r>
            <w:r>
              <w:rPr>
                <w:rFonts w:hint="eastAsia" w:hAnsi="宋体" w:cs="宋体"/>
                <w:snapToGrid w:val="0"/>
                <w:color w:val="auto"/>
                <w:kern w:val="21"/>
                <w:szCs w:val="21"/>
                <w:highlight w:val="none"/>
                <w:lang w:val="en-US" w:eastAsia="zh-CN"/>
              </w:rPr>
              <w:t>t/a</w:t>
            </w:r>
          </w:p>
        </w:tc>
      </w:tr>
      <w:tr w14:paraId="10379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7DBD50C1">
            <w:pPr>
              <w:pStyle w:val="53"/>
              <w:spacing w:beforeLines="0" w:afterLines="0" w:line="240" w:lineRule="auto"/>
              <w:rPr>
                <w:rFonts w:hint="eastAsia" w:hAnsi="宋体" w:cs="宋体"/>
                <w:snapToGrid w:val="0"/>
                <w:color w:val="auto"/>
                <w:kern w:val="21"/>
                <w:szCs w:val="21"/>
                <w:highlight w:val="none"/>
              </w:rPr>
            </w:pPr>
          </w:p>
        </w:tc>
        <w:tc>
          <w:tcPr>
            <w:tcW w:w="1894" w:type="dxa"/>
            <w:noWrap w:val="0"/>
            <w:vAlign w:val="center"/>
          </w:tcPr>
          <w:p w14:paraId="7400A6B3">
            <w:pPr>
              <w:pStyle w:val="53"/>
              <w:spacing w:beforeLines="0" w:afterLines="0" w:line="240" w:lineRule="auto"/>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SS</w:t>
            </w:r>
          </w:p>
        </w:tc>
        <w:tc>
          <w:tcPr>
            <w:tcW w:w="1581" w:type="dxa"/>
            <w:noWrap w:val="0"/>
            <w:vAlign w:val="center"/>
          </w:tcPr>
          <w:p w14:paraId="335AD3BE">
            <w:pPr>
              <w:pStyle w:val="53"/>
              <w:spacing w:beforeLines="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7E66F8C5">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2E174544">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40EA6C4F">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0.069</w:t>
            </w:r>
            <w:r>
              <w:rPr>
                <w:rFonts w:hint="eastAsia" w:hAnsi="宋体" w:cs="宋体"/>
                <w:snapToGrid w:val="0"/>
                <w:color w:val="auto"/>
                <w:kern w:val="21"/>
                <w:szCs w:val="21"/>
                <w:highlight w:val="none"/>
                <w:lang w:val="en-US" w:eastAsia="zh-CN"/>
              </w:rPr>
              <w:t>t/a</w:t>
            </w:r>
          </w:p>
        </w:tc>
        <w:tc>
          <w:tcPr>
            <w:tcW w:w="1761" w:type="dxa"/>
            <w:noWrap w:val="0"/>
            <w:vAlign w:val="center"/>
          </w:tcPr>
          <w:p w14:paraId="4F2FB9C8">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41166F7A">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0.069</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452B4CCF">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+0.069</w:t>
            </w:r>
            <w:r>
              <w:rPr>
                <w:rFonts w:hint="eastAsia" w:hAnsi="宋体" w:cs="宋体"/>
                <w:snapToGrid w:val="0"/>
                <w:color w:val="auto"/>
                <w:kern w:val="21"/>
                <w:szCs w:val="21"/>
                <w:highlight w:val="none"/>
                <w:lang w:val="en-US" w:eastAsia="zh-CN"/>
              </w:rPr>
              <w:t>t/a</w:t>
            </w:r>
          </w:p>
        </w:tc>
      </w:tr>
      <w:tr w14:paraId="7807F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07E642F0">
            <w:pPr>
              <w:pStyle w:val="53"/>
              <w:spacing w:beforeLines="0" w:afterLines="0" w:line="240" w:lineRule="auto"/>
              <w:rPr>
                <w:rFonts w:hint="eastAsia" w:hAnsi="宋体" w:cs="宋体"/>
                <w:snapToGrid w:val="0"/>
                <w:color w:val="auto"/>
                <w:kern w:val="21"/>
                <w:szCs w:val="21"/>
                <w:highlight w:val="none"/>
              </w:rPr>
            </w:pPr>
          </w:p>
        </w:tc>
        <w:tc>
          <w:tcPr>
            <w:tcW w:w="1894" w:type="dxa"/>
            <w:noWrap w:val="0"/>
            <w:vAlign w:val="center"/>
          </w:tcPr>
          <w:p w14:paraId="49875FE9">
            <w:pPr>
              <w:pStyle w:val="53"/>
              <w:spacing w:beforeLines="0" w:afterLines="0" w:line="240" w:lineRule="auto"/>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氨氮</w:t>
            </w:r>
          </w:p>
        </w:tc>
        <w:tc>
          <w:tcPr>
            <w:tcW w:w="1581" w:type="dxa"/>
            <w:noWrap w:val="0"/>
            <w:vAlign w:val="center"/>
          </w:tcPr>
          <w:p w14:paraId="77F6BE2B">
            <w:pPr>
              <w:pStyle w:val="53"/>
              <w:spacing w:beforeLines="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66E2698C">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0D40A23B">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53053556">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0.030</w:t>
            </w:r>
            <w:r>
              <w:rPr>
                <w:rFonts w:hint="eastAsia" w:hAnsi="宋体" w:cs="宋体"/>
                <w:snapToGrid w:val="0"/>
                <w:color w:val="auto"/>
                <w:kern w:val="21"/>
                <w:szCs w:val="21"/>
                <w:highlight w:val="none"/>
                <w:lang w:val="en-US" w:eastAsia="zh-CN"/>
              </w:rPr>
              <w:t>t/a</w:t>
            </w:r>
          </w:p>
        </w:tc>
        <w:tc>
          <w:tcPr>
            <w:tcW w:w="1761" w:type="dxa"/>
            <w:noWrap w:val="0"/>
            <w:vAlign w:val="center"/>
          </w:tcPr>
          <w:p w14:paraId="2615F854">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2E9CB2FF">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0.030</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1C1B5E05">
            <w:pPr>
              <w:pStyle w:val="53"/>
              <w:bidi w:val="0"/>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+0.030</w:t>
            </w:r>
            <w:r>
              <w:rPr>
                <w:rFonts w:hint="eastAsia" w:hAnsi="宋体" w:cs="宋体"/>
                <w:snapToGrid w:val="0"/>
                <w:color w:val="auto"/>
                <w:kern w:val="21"/>
                <w:szCs w:val="21"/>
                <w:highlight w:val="none"/>
                <w:lang w:val="en-US" w:eastAsia="zh-CN"/>
              </w:rPr>
              <w:t>t/a</w:t>
            </w:r>
          </w:p>
        </w:tc>
      </w:tr>
      <w:tr w14:paraId="7318E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restart"/>
            <w:noWrap w:val="0"/>
            <w:vAlign w:val="center"/>
          </w:tcPr>
          <w:p w14:paraId="5919EC53">
            <w:pPr>
              <w:pStyle w:val="53"/>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14:paraId="1DE2E46E">
            <w:pPr>
              <w:pStyle w:val="5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1894" w:type="dxa"/>
            <w:noWrap w:val="0"/>
            <w:vAlign w:val="center"/>
          </w:tcPr>
          <w:p w14:paraId="6DABFCB3">
            <w:pPr>
              <w:pStyle w:val="53"/>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lang w:val="en-US" w:eastAsia="zh-CN"/>
              </w:rPr>
              <w:t>生活垃圾</w:t>
            </w:r>
          </w:p>
        </w:tc>
        <w:tc>
          <w:tcPr>
            <w:tcW w:w="1581" w:type="dxa"/>
            <w:noWrap w:val="0"/>
            <w:vAlign w:val="center"/>
          </w:tcPr>
          <w:p w14:paraId="2D3D5F8A">
            <w:pPr>
              <w:pStyle w:val="53"/>
              <w:spacing w:beforeLines="0" w:afterLines="0"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5B5AE4EA">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603AB523">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7359C6C7">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12</w:t>
            </w:r>
            <w:r>
              <w:rPr>
                <w:rFonts w:hint="eastAsia" w:hAnsi="宋体" w:cs="宋体"/>
                <w:snapToGrid w:val="0"/>
                <w:color w:val="auto"/>
                <w:kern w:val="21"/>
                <w:szCs w:val="21"/>
                <w:highlight w:val="none"/>
                <w:lang w:val="en-US" w:eastAsia="zh-CN"/>
              </w:rPr>
              <w:t>t/a</w:t>
            </w:r>
          </w:p>
        </w:tc>
        <w:tc>
          <w:tcPr>
            <w:tcW w:w="1761" w:type="dxa"/>
            <w:noWrap w:val="0"/>
            <w:vAlign w:val="center"/>
          </w:tcPr>
          <w:p w14:paraId="0710D2C3">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37633500">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12</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3F2C4B3F">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+12</w:t>
            </w:r>
            <w:r>
              <w:rPr>
                <w:rFonts w:hint="eastAsia" w:hAnsi="宋体" w:cs="宋体"/>
                <w:snapToGrid w:val="0"/>
                <w:color w:val="auto"/>
                <w:kern w:val="21"/>
                <w:szCs w:val="21"/>
                <w:highlight w:val="none"/>
                <w:lang w:val="en-US" w:eastAsia="zh-CN"/>
              </w:rPr>
              <w:t>t/a</w:t>
            </w:r>
          </w:p>
        </w:tc>
      </w:tr>
      <w:tr w14:paraId="4492F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10C04FB8">
            <w:pPr>
              <w:pStyle w:val="53"/>
              <w:spacing w:beforeLines="0" w:afterLines="0" w:line="240" w:lineRule="auto"/>
              <w:rPr>
                <w:rFonts w:hint="eastAsia" w:hAnsi="宋体" w:cs="宋体"/>
                <w:snapToGrid w:val="0"/>
                <w:color w:val="auto"/>
                <w:kern w:val="21"/>
                <w:szCs w:val="21"/>
                <w:highlight w:val="none"/>
              </w:rPr>
            </w:pPr>
          </w:p>
        </w:tc>
        <w:tc>
          <w:tcPr>
            <w:tcW w:w="1894" w:type="dxa"/>
            <w:noWrap w:val="0"/>
            <w:vAlign w:val="center"/>
          </w:tcPr>
          <w:p w14:paraId="659A110E">
            <w:pPr>
              <w:pStyle w:val="53"/>
              <w:bidi w:val="0"/>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切割下脚料、锻造废料及不合格品</w:t>
            </w:r>
          </w:p>
        </w:tc>
        <w:tc>
          <w:tcPr>
            <w:tcW w:w="1581" w:type="dxa"/>
            <w:noWrap w:val="0"/>
            <w:vAlign w:val="center"/>
          </w:tcPr>
          <w:p w14:paraId="28C05EDD">
            <w:pPr>
              <w:pStyle w:val="53"/>
              <w:spacing w:beforeLines="0" w:afterLines="0"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28D77F33">
            <w:pPr>
              <w:pStyle w:val="53"/>
              <w:spacing w:beforeLines="0" w:afterLines="0" w:line="240" w:lineRule="auto"/>
              <w:ind w:left="0" w:leftChars="0" w:firstLine="0" w:firstLineChars="0"/>
              <w:rPr>
                <w:rFonts w:hint="default"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1" w:type="dxa"/>
            <w:noWrap w:val="0"/>
            <w:vAlign w:val="center"/>
          </w:tcPr>
          <w:p w14:paraId="4AF862D9">
            <w:pPr>
              <w:pStyle w:val="53"/>
              <w:spacing w:beforeLines="0" w:afterLines="0" w:line="240" w:lineRule="auto"/>
              <w:ind w:left="0" w:leftChars="0" w:firstLine="0" w:firstLineChars="0"/>
              <w:rPr>
                <w:rFonts w:hint="default" w:hAnsi="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677E7696">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25</w:t>
            </w:r>
            <w:r>
              <w:rPr>
                <w:rFonts w:hint="eastAsia" w:hAnsi="宋体" w:cs="宋体"/>
                <w:snapToGrid w:val="0"/>
                <w:color w:val="auto"/>
                <w:kern w:val="21"/>
                <w:szCs w:val="21"/>
                <w:highlight w:val="none"/>
                <w:lang w:val="en-US" w:eastAsia="zh-CN"/>
              </w:rPr>
              <w:t>t/a</w:t>
            </w:r>
          </w:p>
        </w:tc>
        <w:tc>
          <w:tcPr>
            <w:tcW w:w="1761" w:type="dxa"/>
            <w:noWrap w:val="0"/>
            <w:vAlign w:val="center"/>
          </w:tcPr>
          <w:p w14:paraId="276631C6">
            <w:pPr>
              <w:pStyle w:val="53"/>
              <w:spacing w:beforeLines="0" w:afterLines="0" w:line="240" w:lineRule="auto"/>
              <w:ind w:left="0" w:leftChars="0" w:firstLine="0" w:firstLineChars="0"/>
              <w:rPr>
                <w:rFonts w:hint="default" w:hAnsi="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68669927">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25</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5F39864A">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+25</w:t>
            </w:r>
            <w:r>
              <w:rPr>
                <w:rFonts w:hint="eastAsia" w:hAnsi="宋体" w:cs="宋体"/>
                <w:snapToGrid w:val="0"/>
                <w:color w:val="auto"/>
                <w:kern w:val="21"/>
                <w:szCs w:val="21"/>
                <w:highlight w:val="none"/>
                <w:lang w:val="en-US" w:eastAsia="zh-CN"/>
              </w:rPr>
              <w:t>t/a</w:t>
            </w:r>
          </w:p>
        </w:tc>
      </w:tr>
      <w:tr w14:paraId="212A9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615B2A42">
            <w:pPr>
              <w:pStyle w:val="53"/>
              <w:spacing w:beforeLines="0" w:afterLines="0" w:line="240" w:lineRule="auto"/>
              <w:rPr>
                <w:rFonts w:hAnsi="宋体" w:cs="宋体"/>
                <w:snapToGrid w:val="0"/>
                <w:color w:val="auto"/>
                <w:kern w:val="21"/>
                <w:szCs w:val="21"/>
                <w:highlight w:val="none"/>
              </w:rPr>
            </w:pPr>
          </w:p>
        </w:tc>
        <w:tc>
          <w:tcPr>
            <w:tcW w:w="1894" w:type="dxa"/>
            <w:noWrap w:val="0"/>
            <w:vAlign w:val="center"/>
          </w:tcPr>
          <w:p w14:paraId="48530BB7">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除尘灰</w:t>
            </w:r>
          </w:p>
        </w:tc>
        <w:tc>
          <w:tcPr>
            <w:tcW w:w="1581" w:type="dxa"/>
            <w:noWrap w:val="0"/>
            <w:vAlign w:val="center"/>
          </w:tcPr>
          <w:p w14:paraId="7949114D">
            <w:pPr>
              <w:pStyle w:val="53"/>
              <w:spacing w:beforeLines="0" w:afterLines="0" w:line="240" w:lineRule="auto"/>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61F71552">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20412C37">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40A131F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6.449</w:t>
            </w:r>
            <w:r>
              <w:rPr>
                <w:rFonts w:hint="eastAsia" w:hAnsi="宋体" w:cs="宋体"/>
                <w:snapToGrid w:val="0"/>
                <w:color w:val="auto"/>
                <w:kern w:val="21"/>
                <w:szCs w:val="21"/>
                <w:highlight w:val="none"/>
                <w:lang w:val="en-US" w:eastAsia="zh-CN"/>
              </w:rPr>
              <w:t>t/a</w:t>
            </w:r>
          </w:p>
        </w:tc>
        <w:tc>
          <w:tcPr>
            <w:tcW w:w="1761" w:type="dxa"/>
            <w:noWrap w:val="0"/>
            <w:vAlign w:val="center"/>
          </w:tcPr>
          <w:p w14:paraId="2CBC5EDB">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57717D83">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6.449</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20D526ED">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+6.449</w:t>
            </w:r>
            <w:r>
              <w:rPr>
                <w:rFonts w:hint="eastAsia" w:hAnsi="宋体" w:cs="宋体"/>
                <w:snapToGrid w:val="0"/>
                <w:color w:val="auto"/>
                <w:kern w:val="21"/>
                <w:szCs w:val="21"/>
                <w:highlight w:val="none"/>
                <w:lang w:val="en-US" w:eastAsia="zh-CN"/>
              </w:rPr>
              <w:t>t/a</w:t>
            </w:r>
          </w:p>
        </w:tc>
      </w:tr>
      <w:tr w14:paraId="4269D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restart"/>
            <w:noWrap w:val="0"/>
            <w:vAlign w:val="center"/>
          </w:tcPr>
          <w:p w14:paraId="468804A6">
            <w:pPr>
              <w:pStyle w:val="5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1894" w:type="dxa"/>
            <w:noWrap w:val="0"/>
            <w:vAlign w:val="center"/>
          </w:tcPr>
          <w:p w14:paraId="5884B7E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hAnsi="宋体" w:eastAsia="宋体" w:cs="宋体"/>
                <w:snapToGrid w:val="0"/>
                <w:color w:val="auto"/>
                <w:kern w:val="21"/>
                <w:szCs w:val="21"/>
                <w:highlight w:val="none"/>
                <w:lang w:val="en-US" w:eastAsia="zh-CN"/>
              </w:rPr>
            </w:pPr>
            <w:r>
              <w:rPr>
                <w:rFonts w:hint="eastAsia"/>
                <w:color w:val="auto"/>
                <w:highlight w:val="none"/>
                <w:lang w:val="en-US" w:eastAsia="zh-CN"/>
              </w:rPr>
              <w:t>废润滑油</w:t>
            </w:r>
          </w:p>
        </w:tc>
        <w:tc>
          <w:tcPr>
            <w:tcW w:w="1581" w:type="dxa"/>
            <w:noWrap w:val="0"/>
            <w:vAlign w:val="center"/>
          </w:tcPr>
          <w:p w14:paraId="3562E821">
            <w:pPr>
              <w:pStyle w:val="53"/>
              <w:spacing w:beforeLines="0" w:afterLines="0"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7094B007">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2D5B6024">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5ABD6326">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w:t>
            </w:r>
            <w:r>
              <w:rPr>
                <w:rFonts w:hint="eastAsia" w:hAnsi="宋体" w:cs="宋体"/>
                <w:snapToGrid w:val="0"/>
                <w:color w:val="auto"/>
                <w:kern w:val="21"/>
                <w:szCs w:val="21"/>
                <w:highlight w:val="none"/>
                <w:lang w:val="en-US" w:eastAsia="zh-CN"/>
              </w:rPr>
              <w:t>t/a</w:t>
            </w:r>
          </w:p>
        </w:tc>
        <w:tc>
          <w:tcPr>
            <w:tcW w:w="1761" w:type="dxa"/>
            <w:noWrap w:val="0"/>
            <w:vAlign w:val="center"/>
          </w:tcPr>
          <w:p w14:paraId="0440B42F">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3E879585">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1A63BB9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+0.2</w:t>
            </w:r>
            <w:r>
              <w:rPr>
                <w:rFonts w:hint="eastAsia" w:hAnsi="宋体" w:cs="宋体"/>
                <w:snapToGrid w:val="0"/>
                <w:color w:val="auto"/>
                <w:kern w:val="21"/>
                <w:szCs w:val="21"/>
                <w:highlight w:val="none"/>
                <w:lang w:val="en-US" w:eastAsia="zh-CN"/>
              </w:rPr>
              <w:t>t/a</w:t>
            </w:r>
          </w:p>
        </w:tc>
      </w:tr>
      <w:tr w14:paraId="6F0E5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371254FD">
            <w:pPr>
              <w:pStyle w:val="53"/>
              <w:spacing w:beforeLines="0" w:afterLines="0" w:line="240" w:lineRule="auto"/>
              <w:rPr>
                <w:rFonts w:hAnsi="宋体" w:cs="宋体"/>
                <w:snapToGrid w:val="0"/>
                <w:color w:val="auto"/>
                <w:kern w:val="21"/>
                <w:szCs w:val="21"/>
                <w:highlight w:val="none"/>
              </w:rPr>
            </w:pPr>
          </w:p>
        </w:tc>
        <w:tc>
          <w:tcPr>
            <w:tcW w:w="1894" w:type="dxa"/>
            <w:noWrap w:val="0"/>
            <w:vAlign w:val="center"/>
          </w:tcPr>
          <w:p w14:paraId="2E31AACB">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hAnsi="宋体" w:eastAsia="宋体" w:cs="宋体"/>
                <w:snapToGrid w:val="0"/>
                <w:color w:val="auto"/>
                <w:kern w:val="21"/>
                <w:szCs w:val="21"/>
                <w:highlight w:val="none"/>
                <w:lang w:val="en-US" w:eastAsia="zh-CN"/>
              </w:rPr>
            </w:pPr>
            <w:r>
              <w:rPr>
                <w:rFonts w:hint="eastAsia"/>
                <w:color w:val="auto"/>
                <w:highlight w:val="none"/>
                <w:lang w:val="en-US" w:eastAsia="zh-CN"/>
              </w:rPr>
              <w:t>废液压油</w:t>
            </w:r>
          </w:p>
        </w:tc>
        <w:tc>
          <w:tcPr>
            <w:tcW w:w="1581" w:type="dxa"/>
            <w:noWrap w:val="0"/>
            <w:vAlign w:val="center"/>
          </w:tcPr>
          <w:p w14:paraId="723BBCAF">
            <w:pPr>
              <w:pStyle w:val="53"/>
              <w:spacing w:beforeLines="0" w:afterLines="0"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1533561A">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noWrap w:val="0"/>
            <w:vAlign w:val="center"/>
          </w:tcPr>
          <w:p w14:paraId="50560639">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5B564BEC">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0.3</w:t>
            </w:r>
            <w:r>
              <w:rPr>
                <w:rFonts w:hint="eastAsia" w:hAnsi="宋体" w:cs="宋体"/>
                <w:snapToGrid w:val="0"/>
                <w:color w:val="auto"/>
                <w:kern w:val="21"/>
                <w:szCs w:val="21"/>
                <w:highlight w:val="none"/>
                <w:lang w:val="en-US" w:eastAsia="zh-CN"/>
              </w:rPr>
              <w:t>t/a</w:t>
            </w:r>
          </w:p>
        </w:tc>
        <w:tc>
          <w:tcPr>
            <w:tcW w:w="1761" w:type="dxa"/>
            <w:noWrap w:val="0"/>
            <w:vAlign w:val="center"/>
          </w:tcPr>
          <w:p w14:paraId="141AB135">
            <w:pPr>
              <w:pStyle w:val="53"/>
              <w:spacing w:beforeLines="0" w:afterLines="0" w:line="240" w:lineRule="auto"/>
              <w:ind w:left="0" w:leftChars="0" w:firstLine="0" w:firstLineChars="0"/>
              <w:rPr>
                <w:rFonts w:hint="default"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61ED3378">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0.3</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0D5897C7">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+0.3</w:t>
            </w:r>
            <w:r>
              <w:rPr>
                <w:rFonts w:hint="eastAsia" w:hAnsi="宋体" w:cs="宋体"/>
                <w:snapToGrid w:val="0"/>
                <w:color w:val="auto"/>
                <w:kern w:val="21"/>
                <w:szCs w:val="21"/>
                <w:highlight w:val="none"/>
                <w:lang w:val="en-US" w:eastAsia="zh-CN"/>
              </w:rPr>
              <w:t>t/a</w:t>
            </w:r>
          </w:p>
        </w:tc>
      </w:tr>
      <w:tr w14:paraId="5BD04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36001FD6">
            <w:pPr>
              <w:pStyle w:val="53"/>
              <w:spacing w:beforeLines="0" w:afterLines="0" w:line="240" w:lineRule="auto"/>
              <w:rPr>
                <w:rFonts w:hAnsi="宋体" w:cs="宋体"/>
                <w:snapToGrid w:val="0"/>
                <w:color w:val="auto"/>
                <w:kern w:val="21"/>
                <w:szCs w:val="21"/>
                <w:highlight w:val="none"/>
              </w:rPr>
            </w:pPr>
          </w:p>
        </w:tc>
        <w:tc>
          <w:tcPr>
            <w:tcW w:w="1894" w:type="dxa"/>
            <w:noWrap w:val="0"/>
            <w:vAlign w:val="center"/>
          </w:tcPr>
          <w:p w14:paraId="4BE01BE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废包装桶</w:t>
            </w:r>
          </w:p>
        </w:tc>
        <w:tc>
          <w:tcPr>
            <w:tcW w:w="1581" w:type="dxa"/>
            <w:noWrap w:val="0"/>
            <w:vAlign w:val="center"/>
          </w:tcPr>
          <w:p w14:paraId="732761A2">
            <w:pPr>
              <w:pStyle w:val="53"/>
              <w:spacing w:beforeLines="0" w:afterLines="0" w:line="240" w:lineRule="auto"/>
              <w:ind w:left="0" w:leftChars="0"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noWrap w:val="0"/>
            <w:vAlign w:val="center"/>
          </w:tcPr>
          <w:p w14:paraId="702FA053">
            <w:pPr>
              <w:pStyle w:val="53"/>
              <w:spacing w:beforeLines="0" w:afterLines="0" w:line="240" w:lineRule="auto"/>
              <w:ind w:left="0" w:leftChars="0" w:firstLine="0" w:firstLineChars="0"/>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1" w:type="dxa"/>
            <w:noWrap w:val="0"/>
            <w:vAlign w:val="center"/>
          </w:tcPr>
          <w:p w14:paraId="5E2D3BA2">
            <w:pPr>
              <w:pStyle w:val="53"/>
              <w:spacing w:beforeLines="0" w:afterLines="0" w:line="240" w:lineRule="auto"/>
              <w:ind w:left="0" w:leftChars="0" w:firstLine="0" w:firstLineChars="0"/>
              <w:rPr>
                <w:rFonts w:hint="eastAsia" w:hAnsi="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1D41E128">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w:t>
            </w:r>
            <w:r>
              <w:rPr>
                <w:rFonts w:hint="eastAsia" w:hAnsi="宋体" w:cs="宋体"/>
                <w:snapToGrid w:val="0"/>
                <w:color w:val="auto"/>
                <w:kern w:val="21"/>
                <w:szCs w:val="21"/>
                <w:highlight w:val="none"/>
                <w:lang w:val="en-US" w:eastAsia="zh-CN"/>
              </w:rPr>
              <w:t>t/a</w:t>
            </w:r>
          </w:p>
        </w:tc>
        <w:tc>
          <w:tcPr>
            <w:tcW w:w="1761" w:type="dxa"/>
            <w:noWrap w:val="0"/>
            <w:vAlign w:val="center"/>
          </w:tcPr>
          <w:p w14:paraId="5A3D95C9">
            <w:pPr>
              <w:pStyle w:val="53"/>
              <w:spacing w:beforeLines="0" w:afterLines="0" w:line="240" w:lineRule="auto"/>
              <w:ind w:left="0" w:leftChars="0" w:firstLine="0" w:firstLineChars="0"/>
              <w:rPr>
                <w:rFonts w:hint="default" w:hAnsi="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3B3C6F8B">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45B99A55">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w:t>
            </w:r>
            <w:r>
              <w:rPr>
                <w:rFonts w:hint="eastAsia" w:hAnsi="宋体" w:cs="宋体"/>
                <w:snapToGrid w:val="0"/>
                <w:color w:val="auto"/>
                <w:kern w:val="21"/>
                <w:szCs w:val="21"/>
                <w:highlight w:val="none"/>
                <w:lang w:val="en-US" w:eastAsia="zh-CN"/>
              </w:rPr>
              <w:t>t/a</w:t>
            </w:r>
          </w:p>
        </w:tc>
      </w:tr>
      <w:tr w14:paraId="6A0EF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7F147144">
            <w:pPr>
              <w:pStyle w:val="53"/>
              <w:spacing w:beforeLines="0" w:afterLines="0" w:line="240" w:lineRule="auto"/>
              <w:rPr>
                <w:rFonts w:hAnsi="宋体" w:cs="宋体"/>
                <w:snapToGrid w:val="0"/>
                <w:color w:val="auto"/>
                <w:kern w:val="21"/>
                <w:szCs w:val="21"/>
                <w:highlight w:val="none"/>
              </w:rPr>
            </w:pPr>
          </w:p>
        </w:tc>
        <w:tc>
          <w:tcPr>
            <w:tcW w:w="1894" w:type="dxa"/>
            <w:noWrap w:val="0"/>
            <w:vAlign w:val="center"/>
          </w:tcPr>
          <w:p w14:paraId="1A6A57D2">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废磁粉液</w:t>
            </w:r>
          </w:p>
        </w:tc>
        <w:tc>
          <w:tcPr>
            <w:tcW w:w="1581" w:type="dxa"/>
            <w:shd w:val="clear" w:color="auto" w:fill="auto"/>
            <w:noWrap w:val="0"/>
            <w:vAlign w:val="center"/>
          </w:tcPr>
          <w:p w14:paraId="09B5118E">
            <w:pPr>
              <w:pStyle w:val="53"/>
              <w:spacing w:beforeLines="0" w:afterLines="0" w:line="240" w:lineRule="auto"/>
              <w:ind w:left="0" w:leftChars="0"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hAnsi="宋体" w:cs="宋体"/>
                <w:snapToGrid w:val="0"/>
                <w:color w:val="auto"/>
                <w:kern w:val="21"/>
                <w:szCs w:val="21"/>
                <w:highlight w:val="none"/>
                <w:lang w:val="en-US" w:eastAsia="zh-CN"/>
              </w:rPr>
              <w:t>/</w:t>
            </w:r>
          </w:p>
        </w:tc>
        <w:tc>
          <w:tcPr>
            <w:tcW w:w="1276" w:type="dxa"/>
            <w:shd w:val="clear" w:color="auto" w:fill="auto"/>
            <w:noWrap w:val="0"/>
            <w:vAlign w:val="center"/>
          </w:tcPr>
          <w:p w14:paraId="07FC8D6D">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701" w:type="dxa"/>
            <w:shd w:val="clear" w:color="auto" w:fill="auto"/>
            <w:noWrap w:val="0"/>
            <w:vAlign w:val="center"/>
          </w:tcPr>
          <w:p w14:paraId="3952088A">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07CCB876">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1.5</w:t>
            </w:r>
            <w:r>
              <w:rPr>
                <w:rFonts w:hint="eastAsia" w:hAnsi="宋体" w:cs="宋体"/>
                <w:snapToGrid w:val="0"/>
                <w:color w:val="auto"/>
                <w:kern w:val="21"/>
                <w:szCs w:val="21"/>
                <w:highlight w:val="none"/>
                <w:lang w:val="en-US" w:eastAsia="zh-CN"/>
              </w:rPr>
              <w:t>t/a</w:t>
            </w:r>
          </w:p>
        </w:tc>
        <w:tc>
          <w:tcPr>
            <w:tcW w:w="1761" w:type="dxa"/>
            <w:shd w:val="clear" w:color="auto" w:fill="auto"/>
            <w:noWrap w:val="0"/>
            <w:vAlign w:val="center"/>
          </w:tcPr>
          <w:p w14:paraId="3D8F836A">
            <w:pPr>
              <w:pStyle w:val="53"/>
              <w:spacing w:beforeLines="0" w:afterLines="0" w:line="240" w:lineRule="auto"/>
              <w:ind w:left="0" w:leftChars="0" w:firstLine="0" w:firstLineChars="0"/>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300EC70C">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1.5</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488B486E">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+1.5</w:t>
            </w:r>
            <w:r>
              <w:rPr>
                <w:rFonts w:hint="eastAsia" w:hAnsi="宋体" w:cs="宋体"/>
                <w:snapToGrid w:val="0"/>
                <w:color w:val="auto"/>
                <w:kern w:val="21"/>
                <w:szCs w:val="21"/>
                <w:highlight w:val="none"/>
                <w:lang w:val="en-US" w:eastAsia="zh-CN"/>
              </w:rPr>
              <w:t>t/a</w:t>
            </w:r>
          </w:p>
        </w:tc>
      </w:tr>
      <w:tr w14:paraId="7DA9A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1" w:type="dxa"/>
            <w:vMerge w:val="continue"/>
            <w:noWrap w:val="0"/>
            <w:vAlign w:val="center"/>
          </w:tcPr>
          <w:p w14:paraId="1386F8AC">
            <w:pPr>
              <w:pStyle w:val="53"/>
              <w:spacing w:beforeLines="0" w:afterLines="0" w:line="240" w:lineRule="auto"/>
              <w:rPr>
                <w:rFonts w:hAnsi="宋体" w:cs="宋体"/>
                <w:snapToGrid w:val="0"/>
                <w:color w:val="auto"/>
                <w:kern w:val="21"/>
                <w:szCs w:val="21"/>
                <w:highlight w:val="none"/>
              </w:rPr>
            </w:pPr>
          </w:p>
        </w:tc>
        <w:tc>
          <w:tcPr>
            <w:tcW w:w="1894" w:type="dxa"/>
            <w:noWrap w:val="0"/>
            <w:vAlign w:val="center"/>
          </w:tcPr>
          <w:p w14:paraId="6E14A34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废含油纱布及手套</w:t>
            </w:r>
          </w:p>
        </w:tc>
        <w:tc>
          <w:tcPr>
            <w:tcW w:w="1581" w:type="dxa"/>
            <w:noWrap w:val="0"/>
            <w:vAlign w:val="center"/>
          </w:tcPr>
          <w:p w14:paraId="009E2846">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w:t>
            </w:r>
          </w:p>
        </w:tc>
        <w:tc>
          <w:tcPr>
            <w:tcW w:w="1276" w:type="dxa"/>
            <w:noWrap w:val="0"/>
            <w:vAlign w:val="center"/>
          </w:tcPr>
          <w:p w14:paraId="719B0CA2">
            <w:pPr>
              <w:pStyle w:val="53"/>
              <w:spacing w:beforeLines="0" w:afterLines="0" w:line="240" w:lineRule="auto"/>
              <w:ind w:left="0" w:leftChars="0" w:firstLine="0" w:firstLineChars="0"/>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1" w:type="dxa"/>
            <w:noWrap w:val="0"/>
            <w:vAlign w:val="center"/>
          </w:tcPr>
          <w:p w14:paraId="7E3BF993">
            <w:pPr>
              <w:pStyle w:val="53"/>
              <w:spacing w:beforeLines="0" w:afterLines="0" w:line="240" w:lineRule="auto"/>
              <w:ind w:left="0" w:leftChars="0" w:firstLine="0" w:firstLineChars="0"/>
              <w:rPr>
                <w:rFonts w:hint="eastAsia" w:hAnsi="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559" w:type="dxa"/>
            <w:noWrap w:val="0"/>
            <w:vAlign w:val="center"/>
          </w:tcPr>
          <w:p w14:paraId="3F753A94">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0.05</w:t>
            </w:r>
            <w:r>
              <w:rPr>
                <w:rFonts w:hint="eastAsia" w:hAnsi="宋体" w:cs="宋体"/>
                <w:snapToGrid w:val="0"/>
                <w:color w:val="auto"/>
                <w:kern w:val="21"/>
                <w:szCs w:val="21"/>
                <w:highlight w:val="none"/>
                <w:lang w:val="en-US" w:eastAsia="zh-CN"/>
              </w:rPr>
              <w:t>t/a</w:t>
            </w:r>
          </w:p>
        </w:tc>
        <w:tc>
          <w:tcPr>
            <w:tcW w:w="1761" w:type="dxa"/>
            <w:noWrap w:val="0"/>
            <w:vAlign w:val="center"/>
          </w:tcPr>
          <w:p w14:paraId="0DEC2EC4">
            <w:pPr>
              <w:pStyle w:val="53"/>
              <w:spacing w:beforeLines="0" w:afterLines="0" w:line="240" w:lineRule="auto"/>
              <w:ind w:left="0" w:leftChars="0" w:firstLine="0" w:firstLineChars="0"/>
              <w:rPr>
                <w:rFonts w:hint="default" w:hAnsi="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bidi="ar-SA"/>
              </w:rPr>
              <w:t>/</w:t>
            </w:r>
          </w:p>
        </w:tc>
        <w:tc>
          <w:tcPr>
            <w:tcW w:w="1743" w:type="dxa"/>
            <w:shd w:val="clear" w:color="auto" w:fill="auto"/>
            <w:noWrap w:val="0"/>
            <w:vAlign w:val="center"/>
          </w:tcPr>
          <w:p w14:paraId="7408B743">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0.05</w:t>
            </w:r>
            <w:r>
              <w:rPr>
                <w:rFonts w:hint="eastAsia" w:hAnsi="宋体" w:cs="宋体"/>
                <w:snapToGrid w:val="0"/>
                <w:color w:val="auto"/>
                <w:kern w:val="21"/>
                <w:szCs w:val="21"/>
                <w:highlight w:val="none"/>
                <w:lang w:val="en-US" w:eastAsia="zh-CN"/>
              </w:rPr>
              <w:t>t/a</w:t>
            </w:r>
          </w:p>
        </w:tc>
        <w:tc>
          <w:tcPr>
            <w:tcW w:w="1042" w:type="dxa"/>
            <w:shd w:val="clear" w:color="auto" w:fill="auto"/>
            <w:noWrap w:val="0"/>
            <w:vAlign w:val="center"/>
          </w:tcPr>
          <w:p w14:paraId="3825C679">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+0.05</w:t>
            </w:r>
            <w:r>
              <w:rPr>
                <w:rFonts w:hint="eastAsia" w:hAnsi="宋体" w:cs="宋体"/>
                <w:snapToGrid w:val="0"/>
                <w:color w:val="auto"/>
                <w:kern w:val="21"/>
                <w:szCs w:val="21"/>
                <w:highlight w:val="none"/>
                <w:lang w:val="en-US" w:eastAsia="zh-CN"/>
              </w:rPr>
              <w:t>t/a</w:t>
            </w:r>
          </w:p>
        </w:tc>
      </w:tr>
    </w:tbl>
    <w:p w14:paraId="10C2A8CE">
      <w:pPr>
        <w:pStyle w:val="53"/>
        <w:spacing w:before="192" w:beforeLines="80" w:after="24"/>
        <w:jc w:val="left"/>
        <w:rPr>
          <w:rFonts w:ascii="宋体" w:hAnsi="宋体" w:eastAsia="黑体"/>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footerReference r:id="rId10" w:type="default"/>
      <w:pgSz w:w="16838" w:h="11906" w:orient="landscape"/>
      <w:pgMar w:top="1531" w:right="1701" w:bottom="1531" w:left="1701" w:header="851" w:footer="851" w:gutter="0"/>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3">
      <wne:acd wne:acdName="acd1"/>
    </wne:keymap>
    <wne:keymap wne:kcmPrimary="0432">
      <wne:acd wne:acdName="acd2"/>
    </wne:keymap>
  </wne:keymaps>
  <wne:acds>
    <wne:acd wne:argValue="AQAAAAAA" wne:acdName="acd0" wne:fciIndexBasedOn="0065"/>
    <wne:acd wne:argValue="AgBoiDxo" wne:acdName="acd1" wne:fciIndexBasedOn="0065"/>
    <wne:acd wne:argValue="AgA3aA9fMQ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2"/>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821 BT">
    <w:panose1 w:val="020B0609020202020204"/>
    <w:charset w:val="00"/>
    <w:family w:val="modern"/>
    <w:pitch w:val="default"/>
    <w:sig w:usb0="00000000" w:usb1="00000000" w:usb2="00000000" w:usb3="00000000" w:csb0="0000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ZWAdobeF">
    <w:altName w:val="Segoe Print"/>
    <w:panose1 w:val="00000000000000000000"/>
    <w:charset w:val="00"/>
    <w:family w:val="auto"/>
    <w:pitch w:val="default"/>
    <w:sig w:usb0="00000000" w:usb1="00000000" w:usb2="00000000" w:usb3="00000000" w:csb0="400001FF" w:csb1="FFFF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2922">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DD6BE">
    <w:pPr>
      <w:pStyle w:val="18"/>
      <w:framePr w:wrap="around" w:vAnchor="text" w:hAnchor="margin" w:xAlign="center" w:y="1"/>
      <w:rPr>
        <w:rStyle w:val="34"/>
      </w:rPr>
    </w:pPr>
    <w:r>
      <w:fldChar w:fldCharType="begin"/>
    </w:r>
    <w:r>
      <w:rPr>
        <w:rStyle w:val="34"/>
      </w:rPr>
      <w:instrText xml:space="preserve">PAGE  </w:instrText>
    </w:r>
    <w:r>
      <w:fldChar w:fldCharType="end"/>
    </w:r>
  </w:p>
  <w:p w14:paraId="62ABEB4E">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9833F">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5D213">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CE5D213">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12DA">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4A5D5">
                          <w:pPr>
                            <w:pStyle w:val="1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064A5D5">
                    <w:pPr>
                      <w:pStyle w:val="1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38CCC">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5BDC1">
                          <w:pPr>
                            <w:pStyle w:val="1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AB5BDC1">
                    <w:pPr>
                      <w:pStyle w:val="1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3096D">
    <w:pPr>
      <w:pStyle w:val="19"/>
      <w:pBdr>
        <w:bottom w:val="none" w:color="auto" w:sz="0" w:space="1"/>
      </w:pBdr>
    </w:pPr>
  </w:p>
  <w:p w14:paraId="35323F7D">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39739"/>
    <w:multiLevelType w:val="singleLevel"/>
    <w:tmpl w:val="A2B39739"/>
    <w:lvl w:ilvl="0" w:tentative="0">
      <w:start w:val="1"/>
      <w:numFmt w:val="decimal"/>
      <w:suff w:val="nothing"/>
      <w:lvlText w:val="%1、"/>
      <w:lvlJc w:val="left"/>
      <w:pPr>
        <w:ind w:left="-240"/>
      </w:pPr>
    </w:lvl>
  </w:abstractNum>
  <w:abstractNum w:abstractNumId="1">
    <w:nsid w:val="AA9EE73F"/>
    <w:multiLevelType w:val="singleLevel"/>
    <w:tmpl w:val="AA9EE73F"/>
    <w:lvl w:ilvl="0" w:tentative="0">
      <w:start w:val="1"/>
      <w:numFmt w:val="decimal"/>
      <w:suff w:val="nothing"/>
      <w:lvlText w:val="%1、"/>
      <w:lvlJc w:val="left"/>
    </w:lvl>
  </w:abstractNum>
  <w:abstractNum w:abstractNumId="2">
    <w:nsid w:val="B30C10AE"/>
    <w:multiLevelType w:val="singleLevel"/>
    <w:tmpl w:val="B30C10AE"/>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3">
    <w:nsid w:val="BC8AE25A"/>
    <w:multiLevelType w:val="singleLevel"/>
    <w:tmpl w:val="BC8AE25A"/>
    <w:lvl w:ilvl="0" w:tentative="0">
      <w:start w:val="1"/>
      <w:numFmt w:val="decimal"/>
      <w:suff w:val="nothing"/>
      <w:lvlText w:val="%1、"/>
      <w:lvlJc w:val="left"/>
      <w:rPr>
        <w:rFonts w:hint="default"/>
        <w:b/>
        <w:bCs/>
      </w:rPr>
    </w:lvl>
  </w:abstractNum>
  <w:abstractNum w:abstractNumId="4">
    <w:nsid w:val="C0D1EAC0"/>
    <w:multiLevelType w:val="singleLevel"/>
    <w:tmpl w:val="C0D1EAC0"/>
    <w:lvl w:ilvl="0" w:tentative="0">
      <w:start w:val="1"/>
      <w:numFmt w:val="decimal"/>
      <w:suff w:val="nothing"/>
      <w:lvlText w:val="（%1）"/>
      <w:lvlJc w:val="left"/>
    </w:lvl>
  </w:abstractNum>
  <w:abstractNum w:abstractNumId="5">
    <w:nsid w:val="C48F7BDD"/>
    <w:multiLevelType w:val="singleLevel"/>
    <w:tmpl w:val="C48F7BDD"/>
    <w:lvl w:ilvl="0" w:tentative="0">
      <w:start w:val="1"/>
      <w:numFmt w:val="decimal"/>
      <w:suff w:val="nothing"/>
      <w:lvlText w:val="（%1）"/>
      <w:lvlJc w:val="left"/>
    </w:lvl>
  </w:abstractNum>
  <w:abstractNum w:abstractNumId="6">
    <w:nsid w:val="CCD48B62"/>
    <w:multiLevelType w:val="singleLevel"/>
    <w:tmpl w:val="CCD48B62"/>
    <w:lvl w:ilvl="0" w:tentative="0">
      <w:start w:val="1"/>
      <w:numFmt w:val="decimal"/>
      <w:suff w:val="nothing"/>
      <w:lvlText w:val="%1、"/>
      <w:lvlJc w:val="left"/>
    </w:lvl>
  </w:abstractNum>
  <w:abstractNum w:abstractNumId="7">
    <w:nsid w:val="E701670B"/>
    <w:multiLevelType w:val="singleLevel"/>
    <w:tmpl w:val="E701670B"/>
    <w:lvl w:ilvl="0" w:tentative="0">
      <w:start w:val="1"/>
      <w:numFmt w:val="decimal"/>
      <w:suff w:val="nothing"/>
      <w:lvlText w:val="（%1）"/>
      <w:lvlJc w:val="left"/>
    </w:lvl>
  </w:abstractNum>
  <w:abstractNum w:abstractNumId="8">
    <w:nsid w:val="FCB784D9"/>
    <w:multiLevelType w:val="singleLevel"/>
    <w:tmpl w:val="FCB784D9"/>
    <w:lvl w:ilvl="0" w:tentative="0">
      <w:start w:val="1"/>
      <w:numFmt w:val="decimal"/>
      <w:suff w:val="nothing"/>
      <w:lvlText w:val="（%1）"/>
      <w:lvlJc w:val="left"/>
    </w:lvl>
  </w:abstractNum>
  <w:abstractNum w:abstractNumId="9">
    <w:nsid w:val="0ADBB6BC"/>
    <w:multiLevelType w:val="singleLevel"/>
    <w:tmpl w:val="0ADBB6BC"/>
    <w:lvl w:ilvl="0" w:tentative="0">
      <w:start w:val="1"/>
      <w:numFmt w:val="decimal"/>
      <w:suff w:val="nothing"/>
      <w:lvlText w:val="（%1）"/>
      <w:lvlJc w:val="left"/>
    </w:lvl>
  </w:abstractNum>
  <w:abstractNum w:abstractNumId="10">
    <w:nsid w:val="19863F4C"/>
    <w:multiLevelType w:val="singleLevel"/>
    <w:tmpl w:val="19863F4C"/>
    <w:lvl w:ilvl="0" w:tentative="0">
      <w:start w:val="2"/>
      <w:numFmt w:val="decimal"/>
      <w:suff w:val="nothing"/>
      <w:lvlText w:val="%1）"/>
      <w:lvlJc w:val="left"/>
    </w:lvl>
  </w:abstractNum>
  <w:abstractNum w:abstractNumId="11">
    <w:nsid w:val="24CFD29F"/>
    <w:multiLevelType w:val="singleLevel"/>
    <w:tmpl w:val="24CFD29F"/>
    <w:lvl w:ilvl="0" w:tentative="0">
      <w:start w:val="1"/>
      <w:numFmt w:val="decimal"/>
      <w:suff w:val="nothing"/>
      <w:lvlText w:val="%1、"/>
      <w:lvlJc w:val="left"/>
    </w:lvl>
  </w:abstractNum>
  <w:abstractNum w:abstractNumId="12">
    <w:nsid w:val="3D2BFCA0"/>
    <w:multiLevelType w:val="multilevel"/>
    <w:tmpl w:val="3D2BFCA0"/>
    <w:lvl w:ilvl="0" w:tentative="0">
      <w:start w:val="1"/>
      <w:numFmt w:val="decimal"/>
      <w:lvlText w:val="%1"/>
      <w:lvlJc w:val="left"/>
      <w:pPr>
        <w:ind w:left="432" w:hanging="432"/>
      </w:pPr>
      <w:rPr>
        <w:rFonts w:hint="default" w:ascii="宋体" w:hAnsi="宋体" w:eastAsia="宋体" w:cs="宋体"/>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pStyle w:val="4"/>
      <w:lvlText w:val="%1.%2.%3.%4"/>
      <w:lvlJc w:val="left"/>
      <w:pPr>
        <w:ind w:left="864" w:hanging="864"/>
      </w:pPr>
      <w:rPr>
        <w:rFonts w:hint="default" w:ascii="宋体" w:hAnsi="宋体" w:eastAsia="宋体" w:cs="宋体"/>
      </w:rPr>
    </w:lvl>
    <w:lvl w:ilvl="4" w:tentative="0">
      <w:start w:val="1"/>
      <w:numFmt w:val="decimal"/>
      <w:lvlText w:val="%1.%2.%3.%4.%5"/>
      <w:lvlJc w:val="left"/>
      <w:pPr>
        <w:ind w:left="1008" w:hanging="1008"/>
      </w:pPr>
      <w:rPr>
        <w:rFonts w:hint="default" w:ascii="宋体" w:hAnsi="宋体" w:eastAsia="宋体" w:cs="宋体"/>
      </w:rPr>
    </w:lvl>
    <w:lvl w:ilvl="5" w:tentative="0">
      <w:start w:val="1"/>
      <w:numFmt w:val="decimal"/>
      <w:lvlText w:val="%1.%2.%3.%4.%5.%6"/>
      <w:lvlJc w:val="left"/>
      <w:pPr>
        <w:ind w:left="1151" w:hanging="1151"/>
      </w:pPr>
      <w:rPr>
        <w:rFonts w:hint="default" w:ascii="宋体" w:hAnsi="宋体" w:eastAsia="宋体" w:cs="宋体"/>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3">
    <w:nsid w:val="4787A58E"/>
    <w:multiLevelType w:val="singleLevel"/>
    <w:tmpl w:val="4787A58E"/>
    <w:lvl w:ilvl="0" w:tentative="0">
      <w:start w:val="3"/>
      <w:numFmt w:val="decimal"/>
      <w:suff w:val="nothing"/>
      <w:lvlText w:val="（%1）"/>
      <w:lvlJc w:val="left"/>
    </w:lvl>
  </w:abstractNum>
  <w:abstractNum w:abstractNumId="14">
    <w:nsid w:val="4A526D53"/>
    <w:multiLevelType w:val="singleLevel"/>
    <w:tmpl w:val="4A526D53"/>
    <w:lvl w:ilvl="0" w:tentative="0">
      <w:start w:val="2"/>
      <w:numFmt w:val="decimal"/>
      <w:suff w:val="nothing"/>
      <w:lvlText w:val="%1、"/>
      <w:lvlJc w:val="left"/>
    </w:lvl>
  </w:abstractNum>
  <w:abstractNum w:abstractNumId="15">
    <w:nsid w:val="61197D43"/>
    <w:multiLevelType w:val="multilevel"/>
    <w:tmpl w:val="61197D43"/>
    <w:lvl w:ilvl="0" w:tentative="0">
      <w:start w:val="1"/>
      <w:numFmt w:val="decimal"/>
      <w:suff w:val="nothing"/>
      <w:lvlText w:val="表3-%1"/>
      <w:lvlJc w:val="left"/>
      <w:pPr>
        <w:tabs>
          <w:tab w:val="left" w:pos="0"/>
        </w:tabs>
      </w:pPr>
      <w:rPr>
        <w:rFonts w:hint="default" w:ascii="Times New Roman" w:hAnsi="Times New Roman" w:eastAsia="宋体" w:cs="宋体"/>
        <w:b/>
        <w:bCs/>
        <w:sz w:val="21"/>
        <w:szCs w:val="21"/>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12"/>
  </w:num>
  <w:num w:numId="2">
    <w:abstractNumId w:val="2"/>
  </w:num>
  <w:num w:numId="3">
    <w:abstractNumId w:val="11"/>
  </w:num>
  <w:num w:numId="4">
    <w:abstractNumId w:val="14"/>
  </w:num>
  <w:num w:numId="5">
    <w:abstractNumId w:val="8"/>
  </w:num>
  <w:num w:numId="6">
    <w:abstractNumId w:val="1"/>
  </w:num>
  <w:num w:numId="7">
    <w:abstractNumId w:val="13"/>
  </w:num>
  <w:num w:numId="8">
    <w:abstractNumId w:val="3"/>
  </w:num>
  <w:num w:numId="9">
    <w:abstractNumId w:val="0"/>
  </w:num>
  <w:num w:numId="10">
    <w:abstractNumId w:val="15"/>
  </w:num>
  <w:num w:numId="11">
    <w:abstractNumId w:val="6"/>
  </w:num>
  <w:num w:numId="12">
    <w:abstractNumId w:val="5"/>
  </w:num>
  <w:num w:numId="13">
    <w:abstractNumId w:val="9"/>
  </w:num>
  <w:num w:numId="14">
    <w:abstractNumId w:val="4"/>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TcxMTNjZDI1MWI3MzQ3NzQ5ZjFmZTcwMjcxMTE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26B7"/>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87D31"/>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3584C"/>
    <w:rsid w:val="01290F7E"/>
    <w:rsid w:val="012B3EA9"/>
    <w:rsid w:val="015D1E09"/>
    <w:rsid w:val="01611872"/>
    <w:rsid w:val="01B34E22"/>
    <w:rsid w:val="02020CA1"/>
    <w:rsid w:val="020C3669"/>
    <w:rsid w:val="02144BFA"/>
    <w:rsid w:val="02697903"/>
    <w:rsid w:val="027A3928"/>
    <w:rsid w:val="02827732"/>
    <w:rsid w:val="02836B0F"/>
    <w:rsid w:val="02F96569"/>
    <w:rsid w:val="038907AF"/>
    <w:rsid w:val="039E0BD0"/>
    <w:rsid w:val="03D251BA"/>
    <w:rsid w:val="03EA7B21"/>
    <w:rsid w:val="04273005"/>
    <w:rsid w:val="043A7135"/>
    <w:rsid w:val="045556A5"/>
    <w:rsid w:val="047F12E5"/>
    <w:rsid w:val="04CE3D21"/>
    <w:rsid w:val="05076EB9"/>
    <w:rsid w:val="05C006E9"/>
    <w:rsid w:val="05F83EAE"/>
    <w:rsid w:val="062D1AEB"/>
    <w:rsid w:val="063E7D85"/>
    <w:rsid w:val="06A42550"/>
    <w:rsid w:val="06B75D9A"/>
    <w:rsid w:val="06FD56F0"/>
    <w:rsid w:val="07293586"/>
    <w:rsid w:val="07295285"/>
    <w:rsid w:val="07636392"/>
    <w:rsid w:val="076E3F95"/>
    <w:rsid w:val="07770C56"/>
    <w:rsid w:val="07821A17"/>
    <w:rsid w:val="079A6824"/>
    <w:rsid w:val="07BD1F7D"/>
    <w:rsid w:val="07D4164E"/>
    <w:rsid w:val="080F2686"/>
    <w:rsid w:val="08145258"/>
    <w:rsid w:val="08162CBC"/>
    <w:rsid w:val="081C4DA3"/>
    <w:rsid w:val="08AA6F80"/>
    <w:rsid w:val="092217DD"/>
    <w:rsid w:val="093A7294"/>
    <w:rsid w:val="09436C00"/>
    <w:rsid w:val="09474203"/>
    <w:rsid w:val="09972B20"/>
    <w:rsid w:val="09BE45ED"/>
    <w:rsid w:val="09C85A5C"/>
    <w:rsid w:val="0A1A3C90"/>
    <w:rsid w:val="0A263993"/>
    <w:rsid w:val="0A2D3AC2"/>
    <w:rsid w:val="0A735D7E"/>
    <w:rsid w:val="0A7D53C7"/>
    <w:rsid w:val="0AA755DF"/>
    <w:rsid w:val="0AEA6D52"/>
    <w:rsid w:val="0B120D44"/>
    <w:rsid w:val="0B881411"/>
    <w:rsid w:val="0BD27BF6"/>
    <w:rsid w:val="0BFC7A81"/>
    <w:rsid w:val="0C355623"/>
    <w:rsid w:val="0C3B3C7D"/>
    <w:rsid w:val="0C4B4D0C"/>
    <w:rsid w:val="0C4E2658"/>
    <w:rsid w:val="0C6C0B64"/>
    <w:rsid w:val="0C8353F1"/>
    <w:rsid w:val="0CAB2EAE"/>
    <w:rsid w:val="0CDC57A9"/>
    <w:rsid w:val="0CF5280B"/>
    <w:rsid w:val="0CF866D0"/>
    <w:rsid w:val="0CFB5CAE"/>
    <w:rsid w:val="0D1878DF"/>
    <w:rsid w:val="0D260F28"/>
    <w:rsid w:val="0D621C7D"/>
    <w:rsid w:val="0DBF0BF9"/>
    <w:rsid w:val="0DC70EAD"/>
    <w:rsid w:val="0DDB4858"/>
    <w:rsid w:val="0E73034D"/>
    <w:rsid w:val="0E953F72"/>
    <w:rsid w:val="0EE72EF9"/>
    <w:rsid w:val="0EEC649F"/>
    <w:rsid w:val="0F13775A"/>
    <w:rsid w:val="0F20161D"/>
    <w:rsid w:val="0F5F45FE"/>
    <w:rsid w:val="0F653515"/>
    <w:rsid w:val="0F9A112B"/>
    <w:rsid w:val="0FFF459F"/>
    <w:rsid w:val="10275670"/>
    <w:rsid w:val="106D2F64"/>
    <w:rsid w:val="10B63710"/>
    <w:rsid w:val="10CA58D2"/>
    <w:rsid w:val="10F10820"/>
    <w:rsid w:val="111C2F7A"/>
    <w:rsid w:val="11665CA1"/>
    <w:rsid w:val="11F268DF"/>
    <w:rsid w:val="11F72B09"/>
    <w:rsid w:val="120223F7"/>
    <w:rsid w:val="1224739D"/>
    <w:rsid w:val="12463148"/>
    <w:rsid w:val="12476AEA"/>
    <w:rsid w:val="1285376F"/>
    <w:rsid w:val="12BB3B36"/>
    <w:rsid w:val="13125246"/>
    <w:rsid w:val="134807B2"/>
    <w:rsid w:val="13951726"/>
    <w:rsid w:val="13A520F1"/>
    <w:rsid w:val="13D636D5"/>
    <w:rsid w:val="14396509"/>
    <w:rsid w:val="14535FF1"/>
    <w:rsid w:val="148D505F"/>
    <w:rsid w:val="14DD2C3C"/>
    <w:rsid w:val="14FA468D"/>
    <w:rsid w:val="15051A88"/>
    <w:rsid w:val="157224A6"/>
    <w:rsid w:val="15A30E1D"/>
    <w:rsid w:val="16087E1D"/>
    <w:rsid w:val="161B13E4"/>
    <w:rsid w:val="164125A5"/>
    <w:rsid w:val="16557DFE"/>
    <w:rsid w:val="16723C4E"/>
    <w:rsid w:val="16CC7F0D"/>
    <w:rsid w:val="1762215E"/>
    <w:rsid w:val="17701D14"/>
    <w:rsid w:val="17735226"/>
    <w:rsid w:val="178044EA"/>
    <w:rsid w:val="17A6560C"/>
    <w:rsid w:val="18575DED"/>
    <w:rsid w:val="185D7DDC"/>
    <w:rsid w:val="189F624C"/>
    <w:rsid w:val="18CB0F27"/>
    <w:rsid w:val="196D1903"/>
    <w:rsid w:val="196D6EC9"/>
    <w:rsid w:val="19E24B1F"/>
    <w:rsid w:val="1A1C66C0"/>
    <w:rsid w:val="1A42393B"/>
    <w:rsid w:val="1A772897"/>
    <w:rsid w:val="1AA255DC"/>
    <w:rsid w:val="1AAD45DE"/>
    <w:rsid w:val="1AB8342A"/>
    <w:rsid w:val="1B046F80"/>
    <w:rsid w:val="1B140EBD"/>
    <w:rsid w:val="1B1A64D0"/>
    <w:rsid w:val="1B3267B5"/>
    <w:rsid w:val="1B40161D"/>
    <w:rsid w:val="1B441859"/>
    <w:rsid w:val="1B6606B1"/>
    <w:rsid w:val="1B8636AF"/>
    <w:rsid w:val="1B8E13F8"/>
    <w:rsid w:val="1BC82F34"/>
    <w:rsid w:val="1BE73A56"/>
    <w:rsid w:val="1BEF29C0"/>
    <w:rsid w:val="1C5E7925"/>
    <w:rsid w:val="1CEE5557"/>
    <w:rsid w:val="1CFD070F"/>
    <w:rsid w:val="1D075E4C"/>
    <w:rsid w:val="1D4D24F3"/>
    <w:rsid w:val="1D5F6196"/>
    <w:rsid w:val="1D6132A5"/>
    <w:rsid w:val="1D8E56D5"/>
    <w:rsid w:val="1E6D50DE"/>
    <w:rsid w:val="1E7A43DA"/>
    <w:rsid w:val="1E8C347C"/>
    <w:rsid w:val="1EAA7553"/>
    <w:rsid w:val="1ED0396F"/>
    <w:rsid w:val="1EED6981"/>
    <w:rsid w:val="1F0B35B8"/>
    <w:rsid w:val="1F9F3B87"/>
    <w:rsid w:val="1FA70EB0"/>
    <w:rsid w:val="1FDE3E4D"/>
    <w:rsid w:val="1FE7539E"/>
    <w:rsid w:val="20557672"/>
    <w:rsid w:val="20671BE0"/>
    <w:rsid w:val="20871918"/>
    <w:rsid w:val="20963CB8"/>
    <w:rsid w:val="20A81A1B"/>
    <w:rsid w:val="20B07FB6"/>
    <w:rsid w:val="20B14ECC"/>
    <w:rsid w:val="20B646FB"/>
    <w:rsid w:val="20C359E2"/>
    <w:rsid w:val="20CB6763"/>
    <w:rsid w:val="20E50885"/>
    <w:rsid w:val="211B258C"/>
    <w:rsid w:val="212508B6"/>
    <w:rsid w:val="213B74B1"/>
    <w:rsid w:val="215A2310"/>
    <w:rsid w:val="21B83016"/>
    <w:rsid w:val="21DE318A"/>
    <w:rsid w:val="21EF5B80"/>
    <w:rsid w:val="21F879CD"/>
    <w:rsid w:val="220628F4"/>
    <w:rsid w:val="225260A7"/>
    <w:rsid w:val="22576990"/>
    <w:rsid w:val="22606B11"/>
    <w:rsid w:val="22EB3917"/>
    <w:rsid w:val="22EE60A9"/>
    <w:rsid w:val="22F47480"/>
    <w:rsid w:val="23A93537"/>
    <w:rsid w:val="23DE1C48"/>
    <w:rsid w:val="240210CD"/>
    <w:rsid w:val="241C01AD"/>
    <w:rsid w:val="246833F2"/>
    <w:rsid w:val="247B3126"/>
    <w:rsid w:val="24BF09F7"/>
    <w:rsid w:val="24C0767C"/>
    <w:rsid w:val="24EC414F"/>
    <w:rsid w:val="24FF2FC1"/>
    <w:rsid w:val="25204613"/>
    <w:rsid w:val="252D077C"/>
    <w:rsid w:val="252D53FE"/>
    <w:rsid w:val="25D31428"/>
    <w:rsid w:val="25DB7E88"/>
    <w:rsid w:val="25EC2D81"/>
    <w:rsid w:val="25FE78C2"/>
    <w:rsid w:val="262367CB"/>
    <w:rsid w:val="264F4429"/>
    <w:rsid w:val="268F69D3"/>
    <w:rsid w:val="26D93B30"/>
    <w:rsid w:val="26EA0456"/>
    <w:rsid w:val="277057A2"/>
    <w:rsid w:val="27BA3F65"/>
    <w:rsid w:val="27BE13D8"/>
    <w:rsid w:val="27C43393"/>
    <w:rsid w:val="28615311"/>
    <w:rsid w:val="28C26CFB"/>
    <w:rsid w:val="28CE6F8C"/>
    <w:rsid w:val="28DE741C"/>
    <w:rsid w:val="28E026ED"/>
    <w:rsid w:val="28F13ECF"/>
    <w:rsid w:val="28FD1AC9"/>
    <w:rsid w:val="29114FDA"/>
    <w:rsid w:val="291335A0"/>
    <w:rsid w:val="29163768"/>
    <w:rsid w:val="29206EB8"/>
    <w:rsid w:val="29595666"/>
    <w:rsid w:val="297F20C5"/>
    <w:rsid w:val="29874881"/>
    <w:rsid w:val="29946A38"/>
    <w:rsid w:val="29E325E0"/>
    <w:rsid w:val="2A452503"/>
    <w:rsid w:val="2A580712"/>
    <w:rsid w:val="2AB21F73"/>
    <w:rsid w:val="2ABB4B7B"/>
    <w:rsid w:val="2BA271EA"/>
    <w:rsid w:val="2BA936A8"/>
    <w:rsid w:val="2BBA7683"/>
    <w:rsid w:val="2BEA6C61"/>
    <w:rsid w:val="2C315A5A"/>
    <w:rsid w:val="2C4B1C25"/>
    <w:rsid w:val="2C6E18B0"/>
    <w:rsid w:val="2C9B7A28"/>
    <w:rsid w:val="2CAB50E6"/>
    <w:rsid w:val="2D892209"/>
    <w:rsid w:val="2D9E56F5"/>
    <w:rsid w:val="2E3F527C"/>
    <w:rsid w:val="2E667F96"/>
    <w:rsid w:val="2E8226AB"/>
    <w:rsid w:val="2EA7226A"/>
    <w:rsid w:val="2EF45E2D"/>
    <w:rsid w:val="2F6B53FE"/>
    <w:rsid w:val="2FD065E6"/>
    <w:rsid w:val="2FD96870"/>
    <w:rsid w:val="301B4509"/>
    <w:rsid w:val="302243E3"/>
    <w:rsid w:val="30544A20"/>
    <w:rsid w:val="30580BC9"/>
    <w:rsid w:val="30920A89"/>
    <w:rsid w:val="30A26A50"/>
    <w:rsid w:val="311E2ED7"/>
    <w:rsid w:val="315619EE"/>
    <w:rsid w:val="315C449C"/>
    <w:rsid w:val="31AE21B1"/>
    <w:rsid w:val="31B82709"/>
    <w:rsid w:val="31B859B9"/>
    <w:rsid w:val="31D05482"/>
    <w:rsid w:val="31F247BE"/>
    <w:rsid w:val="32333292"/>
    <w:rsid w:val="32400B34"/>
    <w:rsid w:val="324D4B77"/>
    <w:rsid w:val="329900FB"/>
    <w:rsid w:val="329E6876"/>
    <w:rsid w:val="333015F2"/>
    <w:rsid w:val="334B6320"/>
    <w:rsid w:val="33D934D4"/>
    <w:rsid w:val="33E922B1"/>
    <w:rsid w:val="33F20028"/>
    <w:rsid w:val="33FE2F6A"/>
    <w:rsid w:val="3409704A"/>
    <w:rsid w:val="340E07E5"/>
    <w:rsid w:val="34235BF7"/>
    <w:rsid w:val="34556D5F"/>
    <w:rsid w:val="347C1EC9"/>
    <w:rsid w:val="35245EC1"/>
    <w:rsid w:val="358C5FA8"/>
    <w:rsid w:val="35AE1795"/>
    <w:rsid w:val="35C15DF1"/>
    <w:rsid w:val="35CC6941"/>
    <w:rsid w:val="36074A7F"/>
    <w:rsid w:val="360F36CE"/>
    <w:rsid w:val="368248D3"/>
    <w:rsid w:val="368F35B7"/>
    <w:rsid w:val="36923549"/>
    <w:rsid w:val="36B75FBF"/>
    <w:rsid w:val="36B96138"/>
    <w:rsid w:val="36BD0C45"/>
    <w:rsid w:val="377B1B24"/>
    <w:rsid w:val="37E00298"/>
    <w:rsid w:val="37F052CD"/>
    <w:rsid w:val="38437A77"/>
    <w:rsid w:val="38670D13"/>
    <w:rsid w:val="38B302F9"/>
    <w:rsid w:val="38EB7BBE"/>
    <w:rsid w:val="38F12CD3"/>
    <w:rsid w:val="38F94775"/>
    <w:rsid w:val="392971ED"/>
    <w:rsid w:val="39325651"/>
    <w:rsid w:val="39634471"/>
    <w:rsid w:val="3974554A"/>
    <w:rsid w:val="399A0A25"/>
    <w:rsid w:val="39AB477A"/>
    <w:rsid w:val="39CC07D8"/>
    <w:rsid w:val="39D96878"/>
    <w:rsid w:val="39F257E0"/>
    <w:rsid w:val="3A744447"/>
    <w:rsid w:val="3A872856"/>
    <w:rsid w:val="3A96334E"/>
    <w:rsid w:val="3ADB2718"/>
    <w:rsid w:val="3B3763D1"/>
    <w:rsid w:val="3B5E2AC8"/>
    <w:rsid w:val="3B600C8F"/>
    <w:rsid w:val="3B6E262D"/>
    <w:rsid w:val="3BB52F69"/>
    <w:rsid w:val="3BBD7D10"/>
    <w:rsid w:val="3C10486A"/>
    <w:rsid w:val="3C1864C1"/>
    <w:rsid w:val="3C2F6E1E"/>
    <w:rsid w:val="3C4F64BA"/>
    <w:rsid w:val="3C5C41B2"/>
    <w:rsid w:val="3C9455B4"/>
    <w:rsid w:val="3CDA245A"/>
    <w:rsid w:val="3CE21CB3"/>
    <w:rsid w:val="3CF4361D"/>
    <w:rsid w:val="3D1E06B7"/>
    <w:rsid w:val="3D3641D2"/>
    <w:rsid w:val="3D5520A8"/>
    <w:rsid w:val="3D664EAE"/>
    <w:rsid w:val="3D774072"/>
    <w:rsid w:val="3D954E00"/>
    <w:rsid w:val="3DB80943"/>
    <w:rsid w:val="3DC202C0"/>
    <w:rsid w:val="3EDA0523"/>
    <w:rsid w:val="3EDD5396"/>
    <w:rsid w:val="3EFA721B"/>
    <w:rsid w:val="3F2D1834"/>
    <w:rsid w:val="3FA4757D"/>
    <w:rsid w:val="402050BD"/>
    <w:rsid w:val="407A6407"/>
    <w:rsid w:val="409E3FCC"/>
    <w:rsid w:val="409F6FB2"/>
    <w:rsid w:val="40A0776B"/>
    <w:rsid w:val="40E54037"/>
    <w:rsid w:val="4160404F"/>
    <w:rsid w:val="41C2031E"/>
    <w:rsid w:val="4200449D"/>
    <w:rsid w:val="423A3BCC"/>
    <w:rsid w:val="424E57D2"/>
    <w:rsid w:val="42601A81"/>
    <w:rsid w:val="4280540E"/>
    <w:rsid w:val="42B26C49"/>
    <w:rsid w:val="433A6FE6"/>
    <w:rsid w:val="433B23BF"/>
    <w:rsid w:val="43480868"/>
    <w:rsid w:val="4350713C"/>
    <w:rsid w:val="436653E0"/>
    <w:rsid w:val="43BF2BD7"/>
    <w:rsid w:val="43C4431A"/>
    <w:rsid w:val="43C5171C"/>
    <w:rsid w:val="4450730D"/>
    <w:rsid w:val="44B951CC"/>
    <w:rsid w:val="44CB7CED"/>
    <w:rsid w:val="44CD14E0"/>
    <w:rsid w:val="44F20B0B"/>
    <w:rsid w:val="452E5F4C"/>
    <w:rsid w:val="45612018"/>
    <w:rsid w:val="45795008"/>
    <w:rsid w:val="458946E9"/>
    <w:rsid w:val="45940009"/>
    <w:rsid w:val="45A060A7"/>
    <w:rsid w:val="45A47C0E"/>
    <w:rsid w:val="46577FD6"/>
    <w:rsid w:val="46D955A7"/>
    <w:rsid w:val="46E91D19"/>
    <w:rsid w:val="46F53671"/>
    <w:rsid w:val="47133957"/>
    <w:rsid w:val="4757259E"/>
    <w:rsid w:val="47777325"/>
    <w:rsid w:val="47A07E0C"/>
    <w:rsid w:val="48620554"/>
    <w:rsid w:val="4870272E"/>
    <w:rsid w:val="48BE2FC1"/>
    <w:rsid w:val="48CD3D2D"/>
    <w:rsid w:val="495A67BB"/>
    <w:rsid w:val="49894F71"/>
    <w:rsid w:val="49DC7715"/>
    <w:rsid w:val="4A023139"/>
    <w:rsid w:val="4A5A4516"/>
    <w:rsid w:val="4A7B576F"/>
    <w:rsid w:val="4A834233"/>
    <w:rsid w:val="4AB24F2C"/>
    <w:rsid w:val="4AEB5531"/>
    <w:rsid w:val="4AF561A9"/>
    <w:rsid w:val="4B5932AF"/>
    <w:rsid w:val="4B60288B"/>
    <w:rsid w:val="4B93202D"/>
    <w:rsid w:val="4B9745A8"/>
    <w:rsid w:val="4BC44509"/>
    <w:rsid w:val="4BDD2487"/>
    <w:rsid w:val="4BE551D7"/>
    <w:rsid w:val="4C2B4169"/>
    <w:rsid w:val="4C4A0649"/>
    <w:rsid w:val="4C7E5ECA"/>
    <w:rsid w:val="4C876AA5"/>
    <w:rsid w:val="4CDE7A0B"/>
    <w:rsid w:val="4CE63B56"/>
    <w:rsid w:val="4D0E00FB"/>
    <w:rsid w:val="4D176606"/>
    <w:rsid w:val="4D2573FE"/>
    <w:rsid w:val="4DA223BC"/>
    <w:rsid w:val="4DCE3A17"/>
    <w:rsid w:val="4DEC4FB0"/>
    <w:rsid w:val="4E075D8A"/>
    <w:rsid w:val="4E265C87"/>
    <w:rsid w:val="4E555EE6"/>
    <w:rsid w:val="4EC00FAD"/>
    <w:rsid w:val="4EE26CD4"/>
    <w:rsid w:val="4EF44DE5"/>
    <w:rsid w:val="4EF646C7"/>
    <w:rsid w:val="4F392F21"/>
    <w:rsid w:val="4F6509C7"/>
    <w:rsid w:val="4F9843DC"/>
    <w:rsid w:val="4FC62A8C"/>
    <w:rsid w:val="4FE20F0D"/>
    <w:rsid w:val="4FE51552"/>
    <w:rsid w:val="4FE70635"/>
    <w:rsid w:val="4FF260E2"/>
    <w:rsid w:val="4FF9121F"/>
    <w:rsid w:val="50504C4B"/>
    <w:rsid w:val="509C6E7C"/>
    <w:rsid w:val="512964E0"/>
    <w:rsid w:val="5162104E"/>
    <w:rsid w:val="51795B2E"/>
    <w:rsid w:val="51965DB7"/>
    <w:rsid w:val="522B5E58"/>
    <w:rsid w:val="52A35904"/>
    <w:rsid w:val="52BE7DAF"/>
    <w:rsid w:val="52C43795"/>
    <w:rsid w:val="52C61521"/>
    <w:rsid w:val="52D84DB4"/>
    <w:rsid w:val="53167C94"/>
    <w:rsid w:val="531F3305"/>
    <w:rsid w:val="533B5CBD"/>
    <w:rsid w:val="537266D0"/>
    <w:rsid w:val="53840CC3"/>
    <w:rsid w:val="53A039CC"/>
    <w:rsid w:val="53A1505A"/>
    <w:rsid w:val="53C92CE4"/>
    <w:rsid w:val="54063E08"/>
    <w:rsid w:val="543437E8"/>
    <w:rsid w:val="548D462B"/>
    <w:rsid w:val="54BA09DE"/>
    <w:rsid w:val="54F73313"/>
    <w:rsid w:val="54F80955"/>
    <w:rsid w:val="55025F27"/>
    <w:rsid w:val="555170A7"/>
    <w:rsid w:val="557355CF"/>
    <w:rsid w:val="5587536D"/>
    <w:rsid w:val="559B174B"/>
    <w:rsid w:val="55A41526"/>
    <w:rsid w:val="55CE0CF4"/>
    <w:rsid w:val="55CE16B4"/>
    <w:rsid w:val="56246FC4"/>
    <w:rsid w:val="56494799"/>
    <w:rsid w:val="569C07CA"/>
    <w:rsid w:val="56B22A9C"/>
    <w:rsid w:val="56E46B61"/>
    <w:rsid w:val="56F1653F"/>
    <w:rsid w:val="56F87B69"/>
    <w:rsid w:val="56FE6576"/>
    <w:rsid w:val="57055A33"/>
    <w:rsid w:val="57B72A76"/>
    <w:rsid w:val="57C3426C"/>
    <w:rsid w:val="57CE1F93"/>
    <w:rsid w:val="582E077D"/>
    <w:rsid w:val="584F56E3"/>
    <w:rsid w:val="588743D1"/>
    <w:rsid w:val="5887701A"/>
    <w:rsid w:val="58943211"/>
    <w:rsid w:val="594554FE"/>
    <w:rsid w:val="59B24A75"/>
    <w:rsid w:val="59B843A4"/>
    <w:rsid w:val="59C0439F"/>
    <w:rsid w:val="59C858C7"/>
    <w:rsid w:val="5A3D61AC"/>
    <w:rsid w:val="5ABE2233"/>
    <w:rsid w:val="5AD91713"/>
    <w:rsid w:val="5B6559BA"/>
    <w:rsid w:val="5BB47AC3"/>
    <w:rsid w:val="5BB81F56"/>
    <w:rsid w:val="5BDF5D95"/>
    <w:rsid w:val="5BF32C48"/>
    <w:rsid w:val="5BFE7528"/>
    <w:rsid w:val="5C1554FB"/>
    <w:rsid w:val="5C185B16"/>
    <w:rsid w:val="5C1F7587"/>
    <w:rsid w:val="5C71213D"/>
    <w:rsid w:val="5CFB2F57"/>
    <w:rsid w:val="5D112405"/>
    <w:rsid w:val="5D730C08"/>
    <w:rsid w:val="5E2467F1"/>
    <w:rsid w:val="5E6C2760"/>
    <w:rsid w:val="5E84233B"/>
    <w:rsid w:val="5ECE111F"/>
    <w:rsid w:val="5F0B404D"/>
    <w:rsid w:val="5F1A2B43"/>
    <w:rsid w:val="5F4614D0"/>
    <w:rsid w:val="5F4C6694"/>
    <w:rsid w:val="5F5056CC"/>
    <w:rsid w:val="5F5C5FB8"/>
    <w:rsid w:val="5F7833AB"/>
    <w:rsid w:val="5FB837BB"/>
    <w:rsid w:val="5FE50855"/>
    <w:rsid w:val="603D6F06"/>
    <w:rsid w:val="607E5E40"/>
    <w:rsid w:val="60CC405A"/>
    <w:rsid w:val="613C0B5F"/>
    <w:rsid w:val="616A29F0"/>
    <w:rsid w:val="6192141C"/>
    <w:rsid w:val="61E215D8"/>
    <w:rsid w:val="61FC6087"/>
    <w:rsid w:val="621B3775"/>
    <w:rsid w:val="62364782"/>
    <w:rsid w:val="625E2CC7"/>
    <w:rsid w:val="627D5573"/>
    <w:rsid w:val="629C158C"/>
    <w:rsid w:val="62CB1BF6"/>
    <w:rsid w:val="62E85ADF"/>
    <w:rsid w:val="630C0995"/>
    <w:rsid w:val="6394356A"/>
    <w:rsid w:val="63A64DC2"/>
    <w:rsid w:val="63C61B2C"/>
    <w:rsid w:val="63D40BE9"/>
    <w:rsid w:val="64102431"/>
    <w:rsid w:val="64326656"/>
    <w:rsid w:val="64505617"/>
    <w:rsid w:val="645327B5"/>
    <w:rsid w:val="64A5243A"/>
    <w:rsid w:val="64AF5F9E"/>
    <w:rsid w:val="64F531DE"/>
    <w:rsid w:val="64F75639"/>
    <w:rsid w:val="65214DF2"/>
    <w:rsid w:val="652A2C00"/>
    <w:rsid w:val="65373578"/>
    <w:rsid w:val="65437C9E"/>
    <w:rsid w:val="656172A4"/>
    <w:rsid w:val="65A4480C"/>
    <w:rsid w:val="667B24B0"/>
    <w:rsid w:val="66CA77F2"/>
    <w:rsid w:val="66E63727"/>
    <w:rsid w:val="671F124A"/>
    <w:rsid w:val="677A33C6"/>
    <w:rsid w:val="679F7137"/>
    <w:rsid w:val="67A1719C"/>
    <w:rsid w:val="67A20B10"/>
    <w:rsid w:val="67DB3202"/>
    <w:rsid w:val="67EF370F"/>
    <w:rsid w:val="68044890"/>
    <w:rsid w:val="681F6961"/>
    <w:rsid w:val="6825333F"/>
    <w:rsid w:val="682B3AD0"/>
    <w:rsid w:val="684C450D"/>
    <w:rsid w:val="68565444"/>
    <w:rsid w:val="68610A2F"/>
    <w:rsid w:val="687E511D"/>
    <w:rsid w:val="687F7FA5"/>
    <w:rsid w:val="68805514"/>
    <w:rsid w:val="6896646B"/>
    <w:rsid w:val="68EE3B02"/>
    <w:rsid w:val="690F2322"/>
    <w:rsid w:val="692757B4"/>
    <w:rsid w:val="692E36B1"/>
    <w:rsid w:val="69316E2F"/>
    <w:rsid w:val="694E2071"/>
    <w:rsid w:val="6965127B"/>
    <w:rsid w:val="69766163"/>
    <w:rsid w:val="697A3B33"/>
    <w:rsid w:val="69CC0026"/>
    <w:rsid w:val="69D44760"/>
    <w:rsid w:val="69DB0C82"/>
    <w:rsid w:val="69F61166"/>
    <w:rsid w:val="6A443270"/>
    <w:rsid w:val="6A520EC7"/>
    <w:rsid w:val="6A8D3632"/>
    <w:rsid w:val="6AB06526"/>
    <w:rsid w:val="6AD669E8"/>
    <w:rsid w:val="6AF87E20"/>
    <w:rsid w:val="6B322639"/>
    <w:rsid w:val="6C636C38"/>
    <w:rsid w:val="6C97454C"/>
    <w:rsid w:val="6C994477"/>
    <w:rsid w:val="6CEF4860"/>
    <w:rsid w:val="6D0371E7"/>
    <w:rsid w:val="6D23218E"/>
    <w:rsid w:val="6D4936E2"/>
    <w:rsid w:val="6DAD4F9F"/>
    <w:rsid w:val="6DB006C8"/>
    <w:rsid w:val="6DB34098"/>
    <w:rsid w:val="6DB545B6"/>
    <w:rsid w:val="6DC6746B"/>
    <w:rsid w:val="6DE02FB4"/>
    <w:rsid w:val="6DEE4FE9"/>
    <w:rsid w:val="6E2E7E8E"/>
    <w:rsid w:val="6E514CED"/>
    <w:rsid w:val="6E5257D2"/>
    <w:rsid w:val="6E5E27AB"/>
    <w:rsid w:val="6EB563D5"/>
    <w:rsid w:val="6EBB467F"/>
    <w:rsid w:val="6ED92677"/>
    <w:rsid w:val="6F225983"/>
    <w:rsid w:val="6F706503"/>
    <w:rsid w:val="6FBE0EA0"/>
    <w:rsid w:val="6FFC5590"/>
    <w:rsid w:val="6FFF220E"/>
    <w:rsid w:val="70385218"/>
    <w:rsid w:val="70632FD5"/>
    <w:rsid w:val="706531C1"/>
    <w:rsid w:val="706D1DD0"/>
    <w:rsid w:val="70856B87"/>
    <w:rsid w:val="70A00DEB"/>
    <w:rsid w:val="70C851BD"/>
    <w:rsid w:val="70D527EE"/>
    <w:rsid w:val="70DC0075"/>
    <w:rsid w:val="715B5300"/>
    <w:rsid w:val="71844E20"/>
    <w:rsid w:val="71C50D8A"/>
    <w:rsid w:val="71D27F8A"/>
    <w:rsid w:val="71FB4990"/>
    <w:rsid w:val="72424F14"/>
    <w:rsid w:val="72531906"/>
    <w:rsid w:val="72553024"/>
    <w:rsid w:val="72AD6831"/>
    <w:rsid w:val="72DB435C"/>
    <w:rsid w:val="73122968"/>
    <w:rsid w:val="731F5D5E"/>
    <w:rsid w:val="732A79B9"/>
    <w:rsid w:val="73504DB0"/>
    <w:rsid w:val="738933C9"/>
    <w:rsid w:val="73C51AD5"/>
    <w:rsid w:val="741C1198"/>
    <w:rsid w:val="741E793C"/>
    <w:rsid w:val="7429104E"/>
    <w:rsid w:val="742B6EBC"/>
    <w:rsid w:val="742D0653"/>
    <w:rsid w:val="7432236F"/>
    <w:rsid w:val="745E3944"/>
    <w:rsid w:val="74F47E51"/>
    <w:rsid w:val="752F25B7"/>
    <w:rsid w:val="753853BA"/>
    <w:rsid w:val="75C10697"/>
    <w:rsid w:val="7635099D"/>
    <w:rsid w:val="7665648B"/>
    <w:rsid w:val="769E289A"/>
    <w:rsid w:val="7751188E"/>
    <w:rsid w:val="775263C3"/>
    <w:rsid w:val="77762421"/>
    <w:rsid w:val="77905845"/>
    <w:rsid w:val="77B56B1F"/>
    <w:rsid w:val="77C42887"/>
    <w:rsid w:val="780F09F4"/>
    <w:rsid w:val="78627EE7"/>
    <w:rsid w:val="78A90480"/>
    <w:rsid w:val="78CC766A"/>
    <w:rsid w:val="792069BF"/>
    <w:rsid w:val="79A8143C"/>
    <w:rsid w:val="79A81CC2"/>
    <w:rsid w:val="7A245757"/>
    <w:rsid w:val="7A364017"/>
    <w:rsid w:val="7A7E28D3"/>
    <w:rsid w:val="7A8265E1"/>
    <w:rsid w:val="7A9C4417"/>
    <w:rsid w:val="7A9F2EB3"/>
    <w:rsid w:val="7AA952DF"/>
    <w:rsid w:val="7AAE5DB4"/>
    <w:rsid w:val="7AD26C6F"/>
    <w:rsid w:val="7AE62CAB"/>
    <w:rsid w:val="7B1602DB"/>
    <w:rsid w:val="7B5621B6"/>
    <w:rsid w:val="7B686D42"/>
    <w:rsid w:val="7B841746"/>
    <w:rsid w:val="7BAF21AF"/>
    <w:rsid w:val="7BD329C4"/>
    <w:rsid w:val="7C6C5AC7"/>
    <w:rsid w:val="7C6D5BC2"/>
    <w:rsid w:val="7CC6544B"/>
    <w:rsid w:val="7CDB5685"/>
    <w:rsid w:val="7D0239FF"/>
    <w:rsid w:val="7D14662D"/>
    <w:rsid w:val="7D32272F"/>
    <w:rsid w:val="7D5E40CD"/>
    <w:rsid w:val="7DCD56F2"/>
    <w:rsid w:val="7DDF204E"/>
    <w:rsid w:val="7E09247A"/>
    <w:rsid w:val="7E2867A7"/>
    <w:rsid w:val="7E3A462D"/>
    <w:rsid w:val="7E722019"/>
    <w:rsid w:val="7E7539C5"/>
    <w:rsid w:val="7F001CE7"/>
    <w:rsid w:val="7F683F62"/>
    <w:rsid w:val="7FDB599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spacing w:line="360" w:lineRule="auto"/>
      <w:ind w:firstLine="200" w:firstLineChars="200"/>
      <w:jc w:val="left"/>
      <w:outlineLvl w:val="1"/>
    </w:pPr>
    <w:rPr>
      <w:rFonts w:ascii="Arial" w:hAnsi="Arial"/>
      <w:b/>
      <w:bCs/>
      <w:kern w:val="0"/>
      <w:sz w:val="28"/>
      <w:szCs w:val="32"/>
    </w:rPr>
  </w:style>
  <w:style w:type="paragraph" w:styleId="4">
    <w:name w:val="heading 4"/>
    <w:basedOn w:val="1"/>
    <w:next w:val="1"/>
    <w:qFormat/>
    <w:uiPriority w:val="0"/>
    <w:pPr>
      <w:numPr>
        <w:ilvl w:val="3"/>
        <w:numId w:val="1"/>
      </w:numPr>
      <w:adjustRightInd w:val="0"/>
      <w:spacing w:line="360" w:lineRule="auto"/>
      <w:ind w:left="0" w:firstLine="0"/>
      <w:contextualSpacing/>
      <w:jc w:val="left"/>
      <w:outlineLvl w:val="3"/>
    </w:pPr>
    <w:rPr>
      <w:b/>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rPr>
      <w:sz w:val="24"/>
    </w:rPr>
  </w:style>
  <w:style w:type="paragraph" w:customStyle="1" w:styleId="6">
    <w:name w:val="Default"/>
    <w:basedOn w:val="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
    <w:name w:val="纯文本1"/>
    <w:basedOn w:val="1"/>
    <w:qFormat/>
    <w:uiPriority w:val="0"/>
    <w:pPr>
      <w:adjustRightInd w:val="0"/>
    </w:pPr>
    <w:rPr>
      <w:rFonts w:ascii="宋体" w:hAnsi="Courier New"/>
      <w:szCs w:val="20"/>
    </w:rPr>
  </w:style>
  <w:style w:type="paragraph" w:styleId="8">
    <w:name w:val="annotation text"/>
    <w:basedOn w:val="1"/>
    <w:link w:val="40"/>
    <w:semiHidden/>
    <w:qFormat/>
    <w:uiPriority w:val="0"/>
    <w:pPr>
      <w:jc w:val="left"/>
    </w:pPr>
    <w:rPr>
      <w:kern w:val="0"/>
      <w:sz w:val="24"/>
      <w:szCs w:val="20"/>
    </w:rPr>
  </w:style>
  <w:style w:type="paragraph" w:styleId="9">
    <w:name w:val="Body Text"/>
    <w:basedOn w:val="1"/>
    <w:link w:val="41"/>
    <w:qFormat/>
    <w:uiPriority w:val="0"/>
    <w:pPr>
      <w:widowControl/>
      <w:snapToGrid w:val="0"/>
      <w:spacing w:before="60" w:after="160" w:line="259" w:lineRule="auto"/>
      <w:ind w:right="113"/>
    </w:pPr>
    <w:rPr>
      <w:kern w:val="0"/>
      <w:sz w:val="18"/>
      <w:szCs w:val="20"/>
    </w:rPr>
  </w:style>
  <w:style w:type="paragraph" w:styleId="10">
    <w:name w:val="Body Text Indent"/>
    <w:basedOn w:val="1"/>
    <w:link w:val="42"/>
    <w:qFormat/>
    <w:uiPriority w:val="0"/>
    <w:pPr>
      <w:spacing w:after="120"/>
      <w:ind w:left="420" w:leftChars="200"/>
    </w:pPr>
    <w:rPr>
      <w:kern w:val="0"/>
      <w:sz w:val="24"/>
      <w:szCs w:val="20"/>
    </w:rPr>
  </w:style>
  <w:style w:type="paragraph" w:styleId="11">
    <w:name w:val="Block Text"/>
    <w:basedOn w:val="1"/>
    <w:qFormat/>
    <w:uiPriority w:val="0"/>
    <w:pPr>
      <w:spacing w:line="360" w:lineRule="auto"/>
      <w:ind w:left="230" w:right="220" w:firstLine="562"/>
      <w:jc w:val="left"/>
    </w:pPr>
    <w:rPr>
      <w:rFonts w:ascii="宋体"/>
      <w:color w:val="000000"/>
      <w:kern w:val="0"/>
      <w:sz w:val="24"/>
    </w:rPr>
  </w:style>
  <w:style w:type="paragraph" w:styleId="12">
    <w:name w:val="Plain Text"/>
    <w:basedOn w:val="1"/>
    <w:qFormat/>
    <w:uiPriority w:val="0"/>
    <w:rPr>
      <w:rFonts w:ascii="宋体" w:hAnsi="Monospac821 BT"/>
      <w:szCs w:val="21"/>
    </w:rPr>
  </w:style>
  <w:style w:type="paragraph" w:styleId="13">
    <w:name w:val="List Bullet 5"/>
    <w:basedOn w:val="1"/>
    <w:qFormat/>
    <w:uiPriority w:val="0"/>
    <w:pPr>
      <w:numPr>
        <w:ilvl w:val="0"/>
        <w:numId w:val="2"/>
      </w:numPr>
    </w:pPr>
  </w:style>
  <w:style w:type="paragraph" w:styleId="14">
    <w:name w:val="Date"/>
    <w:basedOn w:val="1"/>
    <w:next w:val="1"/>
    <w:link w:val="43"/>
    <w:qFormat/>
    <w:uiPriority w:val="0"/>
    <w:pPr>
      <w:ind w:left="100" w:leftChars="2500"/>
    </w:pPr>
    <w:rPr>
      <w:kern w:val="0"/>
      <w:sz w:val="24"/>
      <w:szCs w:val="20"/>
    </w:rPr>
  </w:style>
  <w:style w:type="paragraph" w:styleId="15">
    <w:name w:val="Body Text Indent 2"/>
    <w:basedOn w:val="1"/>
    <w:next w:val="16"/>
    <w:qFormat/>
    <w:uiPriority w:val="0"/>
    <w:pPr>
      <w:spacing w:after="120" w:line="480" w:lineRule="auto"/>
      <w:ind w:left="420" w:leftChars="200"/>
    </w:pPr>
    <w:rPr>
      <w:szCs w:val="24"/>
    </w:rPr>
  </w:style>
  <w:style w:type="paragraph" w:customStyle="1" w:styleId="16">
    <w:name w:val=" Char"/>
    <w:basedOn w:val="1"/>
    <w:qFormat/>
    <w:uiPriority w:val="0"/>
    <w:pPr>
      <w:spacing w:line="360" w:lineRule="auto"/>
      <w:ind w:firstLine="200" w:firstLineChars="200"/>
    </w:pPr>
    <w:rPr>
      <w:rFonts w:ascii="宋体" w:hAnsi="宋体" w:cs="宋体"/>
      <w:sz w:val="24"/>
    </w:rPr>
  </w:style>
  <w:style w:type="paragraph" w:styleId="17">
    <w:name w:val="Balloon Text"/>
    <w:basedOn w:val="1"/>
    <w:link w:val="44"/>
    <w:semiHidden/>
    <w:qFormat/>
    <w:uiPriority w:val="0"/>
    <w:rPr>
      <w:kern w:val="0"/>
      <w:sz w:val="18"/>
      <w:szCs w:val="20"/>
    </w:rPr>
  </w:style>
  <w:style w:type="paragraph" w:styleId="18">
    <w:name w:val="footer"/>
    <w:basedOn w:val="1"/>
    <w:link w:val="45"/>
    <w:qFormat/>
    <w:uiPriority w:val="99"/>
    <w:pPr>
      <w:tabs>
        <w:tab w:val="center" w:pos="4153"/>
        <w:tab w:val="right" w:pos="8306"/>
      </w:tabs>
      <w:snapToGrid w:val="0"/>
      <w:jc w:val="left"/>
    </w:pPr>
    <w:rPr>
      <w:kern w:val="0"/>
      <w:sz w:val="18"/>
      <w:szCs w:val="20"/>
    </w:rPr>
  </w:style>
  <w:style w:type="paragraph" w:styleId="19">
    <w:name w:val="header"/>
    <w:basedOn w:val="1"/>
    <w:next w:val="20"/>
    <w:link w:val="46"/>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0">
    <w:name w:val="样式5"/>
    <w:basedOn w:val="21"/>
    <w:qFormat/>
    <w:uiPriority w:val="0"/>
    <w:rPr>
      <w:rFonts w:ascii="黑体" w:hAnsi="Times New Roman"/>
    </w:rPr>
  </w:style>
  <w:style w:type="paragraph" w:customStyle="1" w:styleId="21">
    <w:name w:val="样式3"/>
    <w:basedOn w:val="9"/>
    <w:qFormat/>
    <w:uiPriority w:val="0"/>
    <w:pPr>
      <w:ind w:left="0" w:firstLine="0" w:firstLineChars="0"/>
      <w:jc w:val="center"/>
    </w:pPr>
  </w:style>
  <w:style w:type="paragraph" w:styleId="22">
    <w:name w:val="List"/>
    <w:basedOn w:val="1"/>
    <w:next w:val="1"/>
    <w:qFormat/>
    <w:uiPriority w:val="0"/>
    <w:pPr>
      <w:ind w:left="200" w:hanging="200" w:hangingChars="200"/>
      <w:contextualSpacing/>
    </w:pPr>
  </w:style>
  <w:style w:type="paragraph" w:styleId="23">
    <w:name w:val="Body Text Indent 3"/>
    <w:basedOn w:val="1"/>
    <w:next w:val="1"/>
    <w:qFormat/>
    <w:uiPriority w:val="0"/>
    <w:pPr>
      <w:spacing w:line="580" w:lineRule="exact"/>
      <w:ind w:firstLine="573"/>
    </w:pPr>
    <w:rPr>
      <w:sz w:val="28"/>
    </w:rPr>
  </w:style>
  <w:style w:type="paragraph" w:styleId="24">
    <w:name w:val="toc 2"/>
    <w:basedOn w:val="1"/>
    <w:next w:val="1"/>
    <w:semiHidden/>
    <w:qFormat/>
    <w:uiPriority w:val="0"/>
    <w:pPr>
      <w:widowControl/>
      <w:tabs>
        <w:tab w:val="right" w:leader="dot" w:pos="8296"/>
      </w:tabs>
      <w:spacing w:after="100" w:line="276" w:lineRule="auto"/>
      <w:jc w:val="left"/>
    </w:pPr>
    <w:rPr>
      <w:kern w:val="0"/>
      <w:sz w:val="22"/>
    </w:rPr>
  </w:style>
  <w:style w:type="paragraph" w:styleId="25">
    <w:name w:val="Body Text 2"/>
    <w:basedOn w:val="1"/>
    <w:qFormat/>
    <w:uiPriority w:val="0"/>
    <w:pPr>
      <w:jc w:val="center"/>
    </w:pPr>
    <w:rPr>
      <w:rFonts w:ascii="宋体"/>
      <w:spacing w:val="-16"/>
      <w:sz w:val="28"/>
      <w:szCs w:val="20"/>
    </w:rPr>
  </w:style>
  <w:style w:type="paragraph" w:styleId="26">
    <w:name w:val="Normal (Web)"/>
    <w:basedOn w:val="1"/>
    <w:link w:val="47"/>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8"/>
    <w:next w:val="8"/>
    <w:link w:val="48"/>
    <w:semiHidden/>
    <w:qFormat/>
    <w:uiPriority w:val="0"/>
    <w:rPr>
      <w:b/>
      <w:sz w:val="24"/>
      <w:szCs w:val="20"/>
    </w:rPr>
  </w:style>
  <w:style w:type="paragraph" w:styleId="28">
    <w:name w:val="Body Text First Indent"/>
    <w:basedOn w:val="9"/>
    <w:qFormat/>
    <w:uiPriority w:val="0"/>
    <w:pPr>
      <w:adjustRightInd/>
      <w:spacing w:after="120" w:line="240" w:lineRule="auto"/>
      <w:ind w:firstLine="420" w:firstLineChars="100"/>
      <w:textAlignment w:val="auto"/>
    </w:pPr>
    <w:rPr>
      <w:rFonts w:ascii="Times New Roman"/>
      <w:snapToGrid/>
      <w:spacing w:val="0"/>
      <w:kern w:val="2"/>
      <w:sz w:val="21"/>
    </w:rPr>
  </w:style>
  <w:style w:type="paragraph" w:styleId="29">
    <w:name w:val="Body Text First Indent 2"/>
    <w:basedOn w:val="10"/>
    <w:next w:val="28"/>
    <w:qFormat/>
    <w:uiPriority w:val="0"/>
    <w:pPr>
      <w:snapToGrid/>
      <w:spacing w:before="0" w:after="120"/>
      <w:ind w:left="420" w:leftChars="200" w:firstLine="420" w:firstLineChars="2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page number"/>
    <w:basedOn w:val="32"/>
    <w:qFormat/>
    <w:uiPriority w:val="0"/>
  </w:style>
  <w:style w:type="character" w:styleId="35">
    <w:name w:val="annotation reference"/>
    <w:semiHidden/>
    <w:qFormat/>
    <w:uiPriority w:val="0"/>
    <w:rPr>
      <w:sz w:val="21"/>
    </w:rPr>
  </w:style>
  <w:style w:type="paragraph" w:customStyle="1" w:styleId="36">
    <w:name w:val="表格标题"/>
    <w:basedOn w:val="1"/>
    <w:link w:val="49"/>
    <w:qFormat/>
    <w:uiPriority w:val="0"/>
    <w:pPr>
      <w:autoSpaceDE w:val="0"/>
      <w:autoSpaceDN w:val="0"/>
      <w:adjustRightInd w:val="0"/>
      <w:snapToGrid w:val="0"/>
      <w:spacing w:line="240" w:lineRule="auto"/>
      <w:ind w:firstLine="0" w:firstLineChars="0"/>
      <w:jc w:val="center"/>
    </w:pPr>
    <w:rPr>
      <w:rFonts w:cs="Times New Roman"/>
      <w:b/>
      <w:kern w:val="0"/>
      <w:sz w:val="21"/>
      <w:szCs w:val="21"/>
    </w:rPr>
  </w:style>
  <w:style w:type="paragraph" w:customStyle="1" w:styleId="37">
    <w:name w:val="表格内容"/>
    <w:basedOn w:val="38"/>
    <w:next w:val="1"/>
    <w:qFormat/>
    <w:uiPriority w:val="0"/>
    <w:pPr>
      <w:spacing w:after="0"/>
    </w:pPr>
    <w:rPr>
      <w:rFonts w:hint="eastAsia" w:ascii="Times New Roman" w:hAnsi="Times New Roman" w:eastAsia="宋体"/>
      <w:b w:val="0"/>
    </w:rPr>
  </w:style>
  <w:style w:type="paragraph" w:customStyle="1" w:styleId="38">
    <w:name w:val="图标标题"/>
    <w:basedOn w:val="1"/>
    <w:autoRedefine/>
    <w:qFormat/>
    <w:uiPriority w:val="0"/>
    <w:pPr>
      <w:spacing w:line="240" w:lineRule="auto"/>
      <w:ind w:firstLine="0" w:firstLineChars="0"/>
      <w:jc w:val="center"/>
    </w:pPr>
    <w:rPr>
      <w:rFonts w:cs="Times New Roman"/>
      <w:b/>
      <w:kern w:val="0"/>
      <w:sz w:val="21"/>
      <w:szCs w:val="20"/>
    </w:rPr>
  </w:style>
  <w:style w:type="paragraph" w:customStyle="1" w:styleId="39">
    <w:name w:val="表格文字"/>
    <w:basedOn w:val="5"/>
    <w:next w:val="1"/>
    <w:qFormat/>
    <w:uiPriority w:val="0"/>
    <w:pPr>
      <w:jc w:val="center"/>
    </w:pPr>
    <w:rPr>
      <w:kern w:val="44"/>
    </w:rPr>
  </w:style>
  <w:style w:type="character" w:customStyle="1" w:styleId="40">
    <w:name w:val="批注文字 Char"/>
    <w:link w:val="8"/>
    <w:qFormat/>
    <w:uiPriority w:val="0"/>
    <w:rPr>
      <w:rFonts w:ascii="Times New Roman" w:hAnsi="Times New Roman" w:eastAsia="宋体"/>
      <w:sz w:val="24"/>
    </w:rPr>
  </w:style>
  <w:style w:type="character" w:customStyle="1" w:styleId="41">
    <w:name w:val="正文文本 Char"/>
    <w:link w:val="9"/>
    <w:qFormat/>
    <w:uiPriority w:val="0"/>
    <w:rPr>
      <w:sz w:val="18"/>
    </w:rPr>
  </w:style>
  <w:style w:type="character" w:customStyle="1" w:styleId="42">
    <w:name w:val="正文文本缩进 Char"/>
    <w:link w:val="10"/>
    <w:semiHidden/>
    <w:qFormat/>
    <w:uiPriority w:val="0"/>
    <w:rPr>
      <w:rFonts w:ascii="Times New Roman" w:hAnsi="Times New Roman" w:eastAsia="宋体"/>
      <w:sz w:val="24"/>
    </w:rPr>
  </w:style>
  <w:style w:type="character" w:customStyle="1" w:styleId="43">
    <w:name w:val="日期 Char"/>
    <w:link w:val="14"/>
    <w:qFormat/>
    <w:uiPriority w:val="0"/>
    <w:rPr>
      <w:rFonts w:ascii="Times New Roman" w:hAnsi="Times New Roman" w:eastAsia="宋体"/>
      <w:sz w:val="24"/>
    </w:rPr>
  </w:style>
  <w:style w:type="character" w:customStyle="1" w:styleId="44">
    <w:name w:val="批注框文本 Char"/>
    <w:link w:val="17"/>
    <w:semiHidden/>
    <w:qFormat/>
    <w:uiPriority w:val="0"/>
    <w:rPr>
      <w:rFonts w:ascii="Times New Roman" w:hAnsi="Times New Roman" w:eastAsia="宋体"/>
      <w:sz w:val="18"/>
    </w:rPr>
  </w:style>
  <w:style w:type="character" w:customStyle="1" w:styleId="45">
    <w:name w:val="页脚 Char"/>
    <w:link w:val="18"/>
    <w:qFormat/>
    <w:uiPriority w:val="99"/>
    <w:rPr>
      <w:sz w:val="18"/>
    </w:rPr>
  </w:style>
  <w:style w:type="character" w:customStyle="1" w:styleId="46">
    <w:name w:val="页眉 Char"/>
    <w:link w:val="19"/>
    <w:qFormat/>
    <w:uiPriority w:val="0"/>
    <w:rPr>
      <w:sz w:val="18"/>
    </w:rPr>
  </w:style>
  <w:style w:type="character" w:customStyle="1" w:styleId="47">
    <w:name w:val="普通(网站) Char"/>
    <w:link w:val="26"/>
    <w:qFormat/>
    <w:uiPriority w:val="0"/>
    <w:rPr>
      <w:rFonts w:ascii="宋体" w:hAnsi="宋体" w:eastAsia="宋体"/>
      <w:sz w:val="24"/>
    </w:rPr>
  </w:style>
  <w:style w:type="character" w:customStyle="1" w:styleId="48">
    <w:name w:val="批注主题 Char"/>
    <w:link w:val="27"/>
    <w:semiHidden/>
    <w:qFormat/>
    <w:uiPriority w:val="0"/>
    <w:rPr>
      <w:rFonts w:ascii="Times New Roman" w:hAnsi="Times New Roman" w:eastAsia="宋体"/>
      <w:b/>
      <w:kern w:val="2"/>
      <w:sz w:val="24"/>
    </w:rPr>
  </w:style>
  <w:style w:type="character" w:customStyle="1" w:styleId="49">
    <w:name w:val="表格标题 Char"/>
    <w:link w:val="36"/>
    <w:qFormat/>
    <w:uiPriority w:val="0"/>
    <w:rPr>
      <w:rFonts w:ascii="Times New Roman" w:hAnsi="Times New Roman" w:eastAsia="宋体" w:cs="Times New Roman"/>
      <w:b/>
      <w:kern w:val="0"/>
      <w:sz w:val="21"/>
      <w:szCs w:val="21"/>
    </w:rPr>
  </w:style>
  <w:style w:type="character" w:customStyle="1" w:styleId="50">
    <w:name w:val="页脚 字符"/>
    <w:basedOn w:val="32"/>
    <w:qFormat/>
    <w:uiPriority w:val="99"/>
  </w:style>
  <w:style w:type="character" w:customStyle="1" w:styleId="51">
    <w:name w:val="正文文本 字符1"/>
    <w:semiHidden/>
    <w:qFormat/>
    <w:uiPriority w:val="0"/>
    <w:rPr>
      <w:rFonts w:ascii="Times New Roman" w:hAnsi="Times New Roman" w:eastAsia="宋体"/>
      <w:sz w:val="24"/>
    </w:rPr>
  </w:style>
  <w:style w:type="character" w:customStyle="1" w:styleId="52">
    <w:name w:val="表格 Char"/>
    <w:link w:val="53"/>
    <w:qFormat/>
    <w:uiPriority w:val="0"/>
    <w:rPr>
      <w:rFonts w:ascii="Times New Roman" w:hAnsi="Times New Roman" w:eastAsia="宋体"/>
      <w:sz w:val="21"/>
    </w:rPr>
  </w:style>
  <w:style w:type="paragraph" w:customStyle="1" w:styleId="53">
    <w:name w:val="表格"/>
    <w:basedOn w:val="22"/>
    <w:next w:val="1"/>
    <w:link w:val="52"/>
    <w:qFormat/>
    <w:uiPriority w:val="0"/>
    <w:pPr>
      <w:adjustRightInd w:val="0"/>
      <w:snapToGrid w:val="0"/>
      <w:spacing w:line="240" w:lineRule="auto"/>
      <w:ind w:left="0" w:firstLine="0" w:firstLineChars="0"/>
      <w:jc w:val="center"/>
    </w:pPr>
    <w:rPr>
      <w:kern w:val="0"/>
      <w:sz w:val="21"/>
      <w:szCs w:val="20"/>
    </w:rPr>
  </w:style>
  <w:style w:type="character" w:customStyle="1" w:styleId="54">
    <w:name w:val="日期 字符"/>
    <w:semiHidden/>
    <w:qFormat/>
    <w:uiPriority w:val="0"/>
    <w:rPr>
      <w:rFonts w:ascii="Times New Roman" w:hAnsi="Times New Roman" w:eastAsia="宋体"/>
      <w:sz w:val="24"/>
    </w:rPr>
  </w:style>
  <w:style w:type="character" w:customStyle="1" w:styleId="55">
    <w:name w:val="批注文字 字符1"/>
    <w:semiHidden/>
    <w:qFormat/>
    <w:uiPriority w:val="0"/>
    <w:rPr>
      <w:rFonts w:ascii="Times New Roman" w:hAnsi="Times New Roman" w:eastAsia="宋体"/>
      <w:sz w:val="24"/>
    </w:rPr>
  </w:style>
  <w:style w:type="paragraph" w:customStyle="1" w:styleId="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样式1"/>
    <w:basedOn w:val="36"/>
    <w:next w:val="53"/>
    <w:link w:val="59"/>
    <w:qFormat/>
    <w:uiPriority w:val="0"/>
    <w:rPr>
      <w:rFonts w:hint="eastAsia" w:cs="Times New Roman"/>
      <w:bCs/>
      <w:color w:val="auto"/>
    </w:rPr>
  </w:style>
  <w:style w:type="character" w:customStyle="1" w:styleId="59">
    <w:name w:val="样式1 Char"/>
    <w:link w:val="58"/>
    <w:qFormat/>
    <w:uiPriority w:val="0"/>
    <w:rPr>
      <w:rFonts w:hint="eastAsia" w:ascii="Times New Roman" w:hAnsi="Times New Roman" w:eastAsia="宋体" w:cs="Times New Roman"/>
      <w:bCs/>
      <w:color w:val="auto"/>
    </w:rPr>
  </w:style>
  <w:style w:type="paragraph" w:customStyle="1" w:styleId="60">
    <w:name w:val="正文文本 (2)2"/>
    <w:basedOn w:val="1"/>
    <w:qFormat/>
    <w:uiPriority w:val="0"/>
    <w:pPr>
      <w:shd w:val="clear" w:color="auto" w:fill="FFFFFF"/>
      <w:spacing w:line="446" w:lineRule="exact"/>
      <w:ind w:hanging="500"/>
      <w:jc w:val="distribute"/>
    </w:pPr>
    <w:rPr>
      <w:rFonts w:ascii="MingLiU" w:hAnsi="MingLiU" w:eastAsia="MingLiU" w:cs="MingLiU"/>
      <w:sz w:val="20"/>
      <w:szCs w:val="20"/>
    </w:rPr>
  </w:style>
  <w:style w:type="paragraph" w:customStyle="1" w:styleId="61">
    <w:name w:val="Table Paragraph"/>
    <w:basedOn w:val="1"/>
    <w:qFormat/>
    <w:uiPriority w:val="0"/>
    <w:pPr>
      <w:jc w:val="center"/>
    </w:pPr>
    <w:rPr>
      <w:rFonts w:ascii="宋体" w:hAnsi="宋体" w:cs="宋体"/>
      <w:kern w:val="0"/>
      <w:sz w:val="22"/>
      <w:szCs w:val="22"/>
      <w:lang w:eastAsia="en-US"/>
    </w:rPr>
  </w:style>
  <w:style w:type="paragraph" w:customStyle="1" w:styleId="62">
    <w:name w:val="无间隔1"/>
    <w:qFormat/>
    <w:uiPriority w:val="1"/>
    <w:pPr>
      <w:widowControl w:val="0"/>
      <w:jc w:val="center"/>
    </w:pPr>
    <w:rPr>
      <w:rFonts w:ascii="Times New Roman" w:hAnsi="Times New Roman" w:eastAsia="Times New Roman" w:cs="Times New Roman"/>
      <w:kern w:val="2"/>
      <w:sz w:val="24"/>
      <w:szCs w:val="24"/>
      <w:lang w:val="en-US" w:eastAsia="zh-CN" w:bidi="ar-SA"/>
    </w:rPr>
  </w:style>
  <w:style w:type="paragraph" w:customStyle="1" w:styleId="63">
    <w:name w:val="样式 样式 样式 样式 首行缩进:  1 字符 + 首行缩进:  2 字符1 + 首行缩进:  2 字符 + Arial"/>
    <w:basedOn w:val="1"/>
    <w:qFormat/>
    <w:uiPriority w:val="0"/>
    <w:pPr>
      <w:spacing w:line="360" w:lineRule="auto"/>
      <w:ind w:firstLine="480" w:firstLineChars="200"/>
    </w:pPr>
    <w:rPr>
      <w:rFonts w:ascii="Arial" w:hAnsi="Arial" w:cs="宋体"/>
      <w:sz w:val="24"/>
      <w:szCs w:val="20"/>
    </w:rPr>
  </w:style>
  <w:style w:type="paragraph" w:customStyle="1" w:styleId="64">
    <w:name w:val="6-表头"/>
    <w:basedOn w:val="1"/>
    <w:qFormat/>
    <w:uiPriority w:val="0"/>
    <w:pPr>
      <w:autoSpaceDE w:val="0"/>
      <w:autoSpaceDN w:val="0"/>
      <w:adjustRightInd w:val="0"/>
      <w:spacing w:line="360" w:lineRule="auto"/>
      <w:jc w:val="center"/>
    </w:pPr>
    <w:rPr>
      <w:rFonts w:ascii="Times New Roman" w:hAnsi="Times New Roman" w:eastAsia="宋体"/>
      <w:b/>
      <w:bCs/>
      <w:sz w:val="24"/>
      <w:szCs w:val="21"/>
    </w:rPr>
  </w:style>
  <w:style w:type="paragraph" w:customStyle="1" w:styleId="65">
    <w:name w:val="5表文"/>
    <w:basedOn w:val="1"/>
    <w:qFormat/>
    <w:uiPriority w:val="0"/>
    <w:pPr>
      <w:spacing w:line="240" w:lineRule="auto"/>
      <w:ind w:firstLine="0" w:firstLineChars="0"/>
      <w:jc w:val="center"/>
    </w:pPr>
    <w:rPr>
      <w:sz w:val="21"/>
      <w:szCs w:val="20"/>
    </w:rPr>
  </w:style>
  <w:style w:type="paragraph" w:customStyle="1" w:styleId="66">
    <w:name w:val="样式 正文缩进正文缩进2正文缩进 Char Char正文缩进 Char Char Char Char正文缩进 Char ..."/>
    <w:basedOn w:val="5"/>
    <w:qFormat/>
    <w:uiPriority w:val="0"/>
    <w:pPr>
      <w:spacing w:line="360" w:lineRule="auto"/>
      <w:ind w:firstLine="200"/>
    </w:pPr>
    <w:rPr>
      <w:rFonts w:cs="宋体"/>
      <w:sz w:val="24"/>
    </w:rPr>
  </w:style>
  <w:style w:type="paragraph" w:customStyle="1" w:styleId="67">
    <w:name w:val="表头"/>
    <w:basedOn w:val="36"/>
    <w:qFormat/>
    <w:uiPriority w:val="0"/>
    <w:pPr>
      <w:spacing w:after="50" w:afterLines="50"/>
    </w:pPr>
    <w:rPr>
      <w:rFonts w:ascii="Times New Roman" w:hAnsi="Times New Roman" w:eastAsia="宋体"/>
    </w:rPr>
  </w:style>
  <w:style w:type="paragraph" w:customStyle="1" w:styleId="68">
    <w:name w:val="样式 正文11 + 首行缩进:  2 字符"/>
    <w:basedOn w:val="1"/>
    <w:qFormat/>
    <w:uiPriority w:val="0"/>
    <w:pPr>
      <w:spacing w:line="500" w:lineRule="exact"/>
      <w:ind w:firstLine="560" w:firstLineChars="200"/>
    </w:pPr>
    <w:rPr>
      <w:rFonts w:ascii="ZWAdobeF" w:hAnsi="ZWAdobeF" w:cs="ZWAdobeF"/>
      <w:color w:val="FF0000"/>
      <w:sz w:val="28"/>
      <w:szCs w:val="28"/>
    </w:rPr>
  </w:style>
  <w:style w:type="character" w:customStyle="1" w:styleId="69">
    <w:name w:val="font21"/>
    <w:basedOn w:val="32"/>
    <w:qFormat/>
    <w:uiPriority w:val="0"/>
    <w:rPr>
      <w:rFonts w:hint="default" w:ascii="Times New Roman" w:hAnsi="Times New Roman" w:cs="Times New Roman"/>
      <w:color w:val="000000"/>
      <w:sz w:val="21"/>
      <w:szCs w:val="21"/>
      <w:u w:val="none"/>
    </w:rPr>
  </w:style>
  <w:style w:type="character" w:customStyle="1" w:styleId="70">
    <w:name w:val="font11"/>
    <w:basedOn w:val="32"/>
    <w:qFormat/>
    <w:uiPriority w:val="0"/>
    <w:rPr>
      <w:rFonts w:hint="eastAsia" w:ascii="宋体" w:hAnsi="宋体" w:eastAsia="宋体" w:cs="宋体"/>
      <w:color w:val="000000"/>
      <w:sz w:val="21"/>
      <w:szCs w:val="21"/>
      <w:u w:val="none"/>
    </w:rPr>
  </w:style>
  <w:style w:type="paragraph" w:customStyle="1" w:styleId="71">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72">
    <w:name w:val="正文 表格  居中"/>
    <w:basedOn w:val="1"/>
    <w:next w:val="1"/>
    <w:qFormat/>
    <w:uiPriority w:val="0"/>
    <w:pPr>
      <w:jc w:val="center"/>
    </w:pPr>
  </w:style>
  <w:style w:type="paragraph" w:customStyle="1" w:styleId="73">
    <w:name w:val="报告书正文"/>
    <w:basedOn w:val="1"/>
    <w:qFormat/>
    <w:uiPriority w:val="0"/>
    <w:pPr>
      <w:spacing w:line="360" w:lineRule="auto"/>
    </w:pPr>
    <w:rPr>
      <w:sz w:val="24"/>
    </w:rPr>
  </w:style>
  <w:style w:type="paragraph" w:customStyle="1" w:styleId="74">
    <w:name w:val="4正文"/>
    <w:basedOn w:val="1"/>
    <w:qFormat/>
    <w:uiPriority w:val="0"/>
    <w:pPr>
      <w:ind w:firstLine="480"/>
    </w:pPr>
    <w:rPr>
      <w:szCs w:val="20"/>
    </w:rPr>
  </w:style>
  <w:style w:type="paragraph" w:customStyle="1" w:styleId="75">
    <w:name w:val="正文首行缩进 21"/>
    <w:basedOn w:val="1"/>
    <w:next w:val="1"/>
    <w:qFormat/>
    <w:uiPriority w:val="0"/>
    <w:pPr>
      <w:ind w:firstLine="420" w:firstLineChars="200"/>
    </w:pPr>
  </w:style>
  <w:style w:type="paragraph" w:customStyle="1" w:styleId="76">
    <w:name w:val="0图表名"/>
    <w:basedOn w:val="1"/>
    <w:qFormat/>
    <w:uiPriority w:val="0"/>
    <w:pPr>
      <w:jc w:val="center"/>
    </w:pPr>
    <w:rPr>
      <w:rFonts w:eastAsia="黑体"/>
      <w:kern w:val="24"/>
      <w:szCs w:val="21"/>
    </w:rPr>
  </w:style>
  <w:style w:type="paragraph" w:customStyle="1" w:styleId="77">
    <w:name w:val="参加人员"/>
    <w:basedOn w:val="1"/>
    <w:qFormat/>
    <w:uiPriority w:val="0"/>
    <w:pPr>
      <w:spacing w:line="500" w:lineRule="atLeast"/>
    </w:pPr>
    <w:rPr>
      <w:sz w:val="24"/>
    </w:rPr>
  </w:style>
  <w:style w:type="paragraph" w:customStyle="1" w:styleId="78">
    <w:name w:val="_Style 127"/>
    <w:basedOn w:val="10"/>
    <w:next w:val="1"/>
    <w:unhideWhenUsed/>
    <w:qFormat/>
    <w:uiPriority w:val="0"/>
    <w:pPr>
      <w:ind w:firstLine="420" w:firstLineChars="200"/>
    </w:pPr>
    <w:rPr>
      <w:rFonts w:ascii="ZWAdobeF" w:hAnsi="ZWAdobeF" w:eastAsia="ZWAdobeF" w:cs="Times New Roman"/>
      <w:kern w:val="2"/>
      <w:sz w:val="21"/>
      <w:szCs w:val="24"/>
    </w:rPr>
  </w:style>
  <w:style w:type="paragraph" w:customStyle="1" w:styleId="79">
    <w:name w:val="Table Text"/>
    <w:basedOn w:val="1"/>
    <w:semiHidden/>
    <w:qFormat/>
    <w:uiPriority w:val="0"/>
    <w:rPr>
      <w:rFonts w:ascii="宋体" w:hAnsi="宋体" w:eastAsia="宋体" w:cs="宋体"/>
      <w:sz w:val="32"/>
      <w:szCs w:val="32"/>
      <w:lang w:val="en-US" w:eastAsia="en-US" w:bidi="ar-SA"/>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v表格标题"/>
    <w:basedOn w:val="1"/>
    <w:qFormat/>
    <w:uiPriority w:val="0"/>
    <w:pPr>
      <w:spacing w:line="360" w:lineRule="auto"/>
      <w:jc w:val="center"/>
    </w:pPr>
    <w:rPr>
      <w:b/>
      <w:kern w:val="0"/>
    </w:rPr>
  </w:style>
  <w:style w:type="paragraph" w:customStyle="1" w:styleId="82">
    <w:name w:val="q表格"/>
    <w:basedOn w:val="1"/>
    <w:qFormat/>
    <w:uiPriority w:val="0"/>
    <w:pPr>
      <w:adjustRightInd w:val="0"/>
      <w:snapToGrid w:val="0"/>
      <w:jc w:val="center"/>
    </w:pPr>
    <w:rPr>
      <w:spacing w:val="5"/>
      <w:szCs w:val="21"/>
    </w:rPr>
  </w:style>
  <w:style w:type="paragraph" w:customStyle="1" w:styleId="83">
    <w:name w:val="样式59"/>
    <w:basedOn w:val="1"/>
    <w:autoRedefine/>
    <w:qFormat/>
    <w:uiPriority w:val="0"/>
    <w:pPr>
      <w:spacing w:line="360" w:lineRule="auto"/>
      <w:ind w:firstLine="480" w:firstLineChars="200"/>
      <w:jc w:val="left"/>
    </w:pPr>
    <w:rPr>
      <w:rFonts w:hint="eastAsia" w:cs="宋体"/>
      <w:color w:val="000000" w:themeColor="text1"/>
      <w:sz w:val="24"/>
      <w14:textFill>
        <w14:solidFill>
          <w14:schemeClr w14:val="tx1"/>
        </w14:solidFill>
      </w14:textFill>
    </w:rPr>
  </w:style>
  <w:style w:type="paragraph" w:customStyle="1" w:styleId="84">
    <w:name w:val="Other|1"/>
    <w:basedOn w:val="1"/>
    <w:autoRedefine/>
    <w:qFormat/>
    <w:uiPriority w:val="0"/>
    <w:pPr>
      <w:spacing w:line="415" w:lineRule="auto"/>
      <w:ind w:firstLine="400"/>
    </w:pPr>
    <w:rPr>
      <w:rFonts w:ascii="宋体" w:hAnsi="宋体" w:cs="宋体"/>
      <w:sz w:val="30"/>
      <w:szCs w:val="30"/>
      <w:lang w:val="zh-TW" w:eastAsia="zh-TW" w:bidi="zh-TW"/>
    </w:rPr>
  </w:style>
  <w:style w:type="paragraph" w:customStyle="1" w:styleId="85">
    <w:name w:val="000000"/>
    <w:basedOn w:val="86"/>
    <w:autoRedefine/>
    <w:qFormat/>
    <w:uiPriority w:val="0"/>
    <w:pPr>
      <w:spacing w:line="240" w:lineRule="auto"/>
      <w:ind w:firstLine="0" w:firstLineChars="0"/>
      <w:jc w:val="center"/>
    </w:pPr>
    <w:rPr>
      <w:rFonts w:ascii="Times New Roman" w:hAnsi="Times New Roman"/>
      <w:b/>
      <w:sz w:val="21"/>
    </w:rPr>
  </w:style>
  <w:style w:type="paragraph" w:customStyle="1" w:styleId="86">
    <w:name w:val="1正文"/>
    <w:autoRedefine/>
    <w:qFormat/>
    <w:uiPriority w:val="0"/>
    <w:pPr>
      <w:spacing w:line="360" w:lineRule="auto"/>
      <w:ind w:firstLine="200" w:firstLineChars="200"/>
      <w:jc w:val="both"/>
    </w:pPr>
    <w:rPr>
      <w:rFonts w:ascii="Calibri" w:hAnsi="Calibri" w:eastAsia="宋体" w:cs="Times New Roman"/>
      <w:sz w:val="24"/>
      <w:lang w:val="en-GB" w:eastAsia="zh-CN" w:bidi="ar-SA"/>
    </w:rPr>
  </w:style>
  <w:style w:type="character" w:customStyle="1" w:styleId="87">
    <w:name w:val="font31"/>
    <w:basedOn w:val="32"/>
    <w:qFormat/>
    <w:uiPriority w:val="0"/>
    <w:rPr>
      <w:rFonts w:hint="eastAsia" w:ascii="宋体" w:hAnsi="宋体" w:eastAsia="宋体" w:cs="宋体"/>
      <w:color w:val="000000"/>
      <w:sz w:val="20"/>
      <w:szCs w:val="20"/>
      <w:u w:val="none"/>
    </w:rPr>
  </w:style>
  <w:style w:type="character" w:customStyle="1" w:styleId="88">
    <w:name w:val="font51"/>
    <w:basedOn w:val="32"/>
    <w:qFormat/>
    <w:uiPriority w:val="0"/>
    <w:rPr>
      <w:rFonts w:hint="default" w:ascii="Times New Roman" w:hAnsi="Times New Roman" w:cs="Times New Roman"/>
      <w:color w:val="000000"/>
      <w:sz w:val="24"/>
      <w:szCs w:val="24"/>
      <w:u w:val="none"/>
    </w:rPr>
  </w:style>
  <w:style w:type="character" w:customStyle="1" w:styleId="89">
    <w:name w:val="font01"/>
    <w:basedOn w:val="32"/>
    <w:qFormat/>
    <w:uiPriority w:val="0"/>
    <w:rPr>
      <w:rFonts w:hint="eastAsia" w:ascii="宋体" w:hAnsi="宋体" w:eastAsia="宋体" w:cs="宋体"/>
      <w:color w:val="000000"/>
      <w:sz w:val="24"/>
      <w:szCs w:val="24"/>
      <w:u w:val="none"/>
    </w:rPr>
  </w:style>
  <w:style w:type="paragraph" w:customStyle="1" w:styleId="90">
    <w:name w:val="正文标准样式"/>
    <w:basedOn w:val="1"/>
    <w:autoRedefine/>
    <w:qFormat/>
    <w:uiPriority w:val="0"/>
    <w:pPr>
      <w:adjustRightInd w:val="0"/>
      <w:spacing w:line="300" w:lineRule="auto"/>
      <w:ind w:firstLine="482"/>
      <w:jc w:val="left"/>
    </w:pPr>
    <w:rPr>
      <w:rFonts w:ascii="Times New Roman" w:hAnsi="Times New Roman"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wmf"/><Relationship Id="rId24" Type="http://schemas.openxmlformats.org/officeDocument/2006/relationships/oleObject" Target="embeddings/oleObject3.bin"/><Relationship Id="rId23" Type="http://schemas.openxmlformats.org/officeDocument/2006/relationships/image" Target="media/image10.wmf"/><Relationship Id="rId22" Type="http://schemas.openxmlformats.org/officeDocument/2006/relationships/oleObject" Target="embeddings/oleObject2.bin"/><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5562</Words>
  <Characters>5972</Characters>
  <Lines>13</Lines>
  <Paragraphs>3</Paragraphs>
  <TotalTime>223</TotalTime>
  <ScaleCrop>false</ScaleCrop>
  <LinksUpToDate>false</LinksUpToDate>
  <CharactersWithSpaces>6049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J</cp:lastModifiedBy>
  <cp:lastPrinted>2025-09-01T06:22:00Z</cp:lastPrinted>
  <dcterms:modified xsi:type="dcterms:W3CDTF">2026-04-21T08:35:05Z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E78FB55DB5FB4E63A22BF2361DB38925_13</vt:lpwstr>
  </property>
  <property fmtid="{D5CDD505-2E9C-101B-9397-08002B2CF9AE}" pid="4" name="KSOTemplateDocerSaveRecord">
    <vt:lpwstr>eyJoZGlkIjoiN2JmMTZiNzRkN2FlY2EyOWU5M2E5ZTc1YjA0NTA1MzgiLCJ1c2VySWQiOiI2NzI5Nzg1MzEifQ==</vt:lpwstr>
  </property>
</Properties>
</file>