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3D9D518">
      <w:pPr>
        <w:wordWrap w:val="0"/>
        <w:adjustRightInd w:val="0"/>
        <w:snapToGrid w:val="0"/>
        <w:jc w:val="center"/>
        <w:rPr>
          <w:rFonts w:eastAsia="方正小标宋_GBK"/>
          <w:bCs/>
          <w:sz w:val="72"/>
          <w:szCs w:val="72"/>
        </w:rPr>
      </w:pPr>
      <w:bookmarkStart w:id="0" w:name="_Toc24709"/>
      <w:bookmarkStart w:id="1" w:name="_Toc21835"/>
      <w:bookmarkStart w:id="2" w:name="_Toc19655"/>
      <w:bookmarkStart w:id="3" w:name="_Toc4863"/>
      <w:bookmarkStart w:id="53" w:name="_GoBack"/>
      <w:bookmarkEnd w:id="53"/>
    </w:p>
    <w:p w14:paraId="56D0B07E">
      <w:pPr>
        <w:wordWrap w:val="0"/>
        <w:adjustRightInd w:val="0"/>
        <w:snapToGrid w:val="0"/>
        <w:jc w:val="center"/>
        <w:outlineLvl w:val="0"/>
        <w:rPr>
          <w:rFonts w:eastAsia="方正小标宋_GBK"/>
          <w:bCs/>
          <w:sz w:val="72"/>
          <w:szCs w:val="72"/>
        </w:rPr>
      </w:pPr>
      <w:bookmarkStart w:id="4" w:name="_Toc24743"/>
      <w:bookmarkStart w:id="5" w:name="_Toc16069"/>
      <w:r>
        <w:rPr>
          <w:rFonts w:eastAsia="方正小标宋_GBK"/>
          <w:bCs/>
          <w:sz w:val="72"/>
          <w:szCs w:val="72"/>
        </w:rPr>
        <w:t>建设项目环境影响报告表</w:t>
      </w:r>
      <w:bookmarkEnd w:id="0"/>
      <w:bookmarkEnd w:id="1"/>
      <w:bookmarkEnd w:id="4"/>
      <w:bookmarkEnd w:id="5"/>
    </w:p>
    <w:p w14:paraId="1F0FA326">
      <w:pPr>
        <w:wordWrap w:val="0"/>
        <w:adjustRightInd w:val="0"/>
        <w:snapToGrid w:val="0"/>
        <w:spacing w:line="288" w:lineRule="auto"/>
        <w:ind w:left="2209" w:hanging="2209" w:hangingChars="500"/>
        <w:jc w:val="center"/>
        <w:rPr>
          <w:rFonts w:eastAsia="仿宋" w:cs="仿宋"/>
          <w:b/>
          <w:bCs/>
          <w:sz w:val="44"/>
          <w:szCs w:val="44"/>
          <w:u w:val="single"/>
        </w:rPr>
      </w:pPr>
      <w:r>
        <w:rPr>
          <w:rFonts w:hint="eastAsia" w:eastAsia="仿宋" w:cs="仿宋"/>
          <w:b/>
          <w:bCs/>
          <w:sz w:val="44"/>
          <w:szCs w:val="44"/>
        </w:rPr>
        <w:t>（污染影响类）</w:t>
      </w:r>
    </w:p>
    <w:p w14:paraId="35F2A652">
      <w:pPr>
        <w:wordWrap w:val="0"/>
        <w:adjustRightInd w:val="0"/>
        <w:snapToGrid w:val="0"/>
        <w:spacing w:line="288" w:lineRule="auto"/>
        <w:ind w:left="2911" w:hanging="2916" w:hangingChars="900"/>
        <w:rPr>
          <w:rFonts w:eastAsia="仿宋" w:cs="仿宋"/>
          <w:w w:val="90"/>
          <w:sz w:val="36"/>
          <w:szCs w:val="36"/>
        </w:rPr>
      </w:pPr>
    </w:p>
    <w:p w14:paraId="38E37680">
      <w:pPr>
        <w:wordWrap w:val="0"/>
        <w:adjustRightInd w:val="0"/>
        <w:snapToGrid w:val="0"/>
        <w:spacing w:line="288" w:lineRule="auto"/>
        <w:ind w:left="2911" w:hanging="2916" w:hangingChars="900"/>
        <w:rPr>
          <w:rFonts w:eastAsia="仿宋" w:cs="仿宋"/>
          <w:w w:val="90"/>
          <w:sz w:val="36"/>
          <w:szCs w:val="36"/>
        </w:rPr>
      </w:pPr>
    </w:p>
    <w:p w14:paraId="0945D6C2">
      <w:pPr>
        <w:wordWrap w:val="0"/>
        <w:adjustRightInd w:val="0"/>
        <w:snapToGrid w:val="0"/>
        <w:spacing w:line="288" w:lineRule="auto"/>
        <w:ind w:left="2911" w:hanging="2916" w:hangingChars="900"/>
        <w:rPr>
          <w:rFonts w:eastAsia="仿宋" w:cs="仿宋"/>
          <w:w w:val="90"/>
          <w:sz w:val="36"/>
          <w:szCs w:val="36"/>
        </w:rPr>
      </w:pPr>
    </w:p>
    <w:p w14:paraId="574C842D">
      <w:pPr>
        <w:wordWrap w:val="0"/>
        <w:adjustRightInd w:val="0"/>
        <w:snapToGrid w:val="0"/>
        <w:spacing w:line="288" w:lineRule="auto"/>
        <w:ind w:left="2911" w:hanging="2916" w:hangingChars="900"/>
        <w:rPr>
          <w:rFonts w:eastAsia="仿宋" w:cs="仿宋"/>
          <w:w w:val="90"/>
          <w:sz w:val="36"/>
          <w:szCs w:val="36"/>
        </w:rPr>
      </w:pPr>
    </w:p>
    <w:p w14:paraId="2D7798ED">
      <w:pPr>
        <w:wordWrap w:val="0"/>
        <w:adjustRightInd w:val="0"/>
        <w:snapToGrid w:val="0"/>
        <w:spacing w:line="288" w:lineRule="auto"/>
        <w:ind w:left="2911" w:hanging="2916" w:hangingChars="900"/>
        <w:rPr>
          <w:rFonts w:eastAsia="仿宋" w:cs="仿宋"/>
          <w:w w:val="90"/>
          <w:sz w:val="36"/>
          <w:szCs w:val="36"/>
        </w:rPr>
      </w:pPr>
    </w:p>
    <w:p w14:paraId="6032891F">
      <w:pPr>
        <w:wordWrap w:val="0"/>
        <w:adjustRightInd w:val="0"/>
        <w:snapToGrid w:val="0"/>
        <w:spacing w:line="288" w:lineRule="auto"/>
        <w:ind w:left="2911" w:hanging="2916" w:hangingChars="900"/>
        <w:rPr>
          <w:rFonts w:eastAsia="仿宋" w:cs="仿宋"/>
          <w:w w:val="90"/>
          <w:sz w:val="36"/>
          <w:szCs w:val="36"/>
        </w:rPr>
      </w:pPr>
    </w:p>
    <w:p w14:paraId="0DC35FFA">
      <w:pPr>
        <w:wordWrap w:val="0"/>
        <w:adjustRightInd w:val="0"/>
        <w:snapToGrid w:val="0"/>
        <w:spacing w:line="288" w:lineRule="auto"/>
        <w:ind w:left="2911" w:hanging="2916" w:hangingChars="900"/>
        <w:rPr>
          <w:rFonts w:eastAsia="仿宋" w:cs="仿宋"/>
          <w:w w:val="90"/>
          <w:sz w:val="36"/>
          <w:szCs w:val="36"/>
        </w:rPr>
      </w:pPr>
    </w:p>
    <w:p w14:paraId="1B45BB03">
      <w:pPr>
        <w:wordWrap w:val="0"/>
        <w:adjustRightInd w:val="0"/>
        <w:snapToGrid w:val="0"/>
        <w:spacing w:line="288" w:lineRule="auto"/>
        <w:ind w:left="2911" w:hanging="2916" w:hangingChars="900"/>
        <w:rPr>
          <w:rFonts w:eastAsia="仿宋" w:cs="仿宋"/>
          <w:w w:val="90"/>
          <w:sz w:val="36"/>
          <w:szCs w:val="36"/>
        </w:rPr>
      </w:pPr>
    </w:p>
    <w:p w14:paraId="5D24169D">
      <w:pPr>
        <w:wordWrap w:val="0"/>
        <w:adjustRightInd w:val="0"/>
        <w:snapToGrid w:val="0"/>
        <w:spacing w:line="288" w:lineRule="auto"/>
        <w:ind w:left="2911" w:hanging="2916" w:hangingChars="900"/>
        <w:rPr>
          <w:rFonts w:eastAsia="仿宋" w:cs="仿宋"/>
          <w:w w:val="90"/>
          <w:sz w:val="36"/>
          <w:szCs w:val="36"/>
        </w:rPr>
      </w:pPr>
    </w:p>
    <w:p w14:paraId="4C846B89">
      <w:pPr>
        <w:wordWrap w:val="0"/>
        <w:adjustRightInd w:val="0"/>
        <w:snapToGrid w:val="0"/>
        <w:spacing w:line="288" w:lineRule="auto"/>
        <w:ind w:left="2911" w:hanging="2916" w:hangingChars="900"/>
        <w:rPr>
          <w:rFonts w:eastAsia="仿宋" w:cs="仿宋"/>
          <w:w w:val="90"/>
          <w:sz w:val="36"/>
          <w:szCs w:val="36"/>
        </w:rPr>
      </w:pPr>
    </w:p>
    <w:p w14:paraId="0F1E5332">
      <w:pPr>
        <w:wordWrap w:val="0"/>
        <w:adjustRightInd w:val="0"/>
        <w:snapToGrid w:val="0"/>
        <w:spacing w:line="288" w:lineRule="auto"/>
        <w:ind w:left="2911" w:hanging="2916" w:hangingChars="900"/>
        <w:rPr>
          <w:rFonts w:eastAsia="仿宋" w:cs="仿宋"/>
          <w:w w:val="90"/>
          <w:sz w:val="36"/>
          <w:szCs w:val="36"/>
        </w:rPr>
      </w:pPr>
    </w:p>
    <w:p w14:paraId="196A5246">
      <w:pPr>
        <w:wordWrap w:val="0"/>
        <w:adjustRightInd w:val="0"/>
        <w:snapToGrid w:val="0"/>
        <w:spacing w:line="288" w:lineRule="auto"/>
        <w:ind w:left="2911" w:hanging="2916" w:hangingChars="900"/>
        <w:rPr>
          <w:rFonts w:eastAsia="仿宋" w:cs="仿宋"/>
          <w:w w:val="90"/>
          <w:sz w:val="36"/>
          <w:szCs w:val="36"/>
        </w:rPr>
      </w:pPr>
    </w:p>
    <w:p w14:paraId="1EE3083F">
      <w:pPr>
        <w:wordWrap w:val="0"/>
        <w:adjustRightInd w:val="0"/>
        <w:snapToGrid w:val="0"/>
        <w:spacing w:line="288" w:lineRule="auto"/>
        <w:ind w:left="2911" w:hanging="2916" w:hangingChars="900"/>
        <w:rPr>
          <w:rFonts w:eastAsia="仿宋" w:cs="仿宋"/>
          <w:w w:val="90"/>
          <w:sz w:val="36"/>
          <w:szCs w:val="36"/>
        </w:rPr>
      </w:pPr>
    </w:p>
    <w:p w14:paraId="5E5C9EF2">
      <w:pPr>
        <w:pStyle w:val="2"/>
        <w:rPr>
          <w:rFonts w:eastAsia="仿宋" w:cs="仿宋"/>
          <w:w w:val="90"/>
          <w:sz w:val="36"/>
          <w:szCs w:val="36"/>
        </w:rPr>
      </w:pPr>
    </w:p>
    <w:p w14:paraId="7B3DBADD">
      <w:pPr>
        <w:pStyle w:val="2"/>
        <w:rPr>
          <w:rFonts w:eastAsia="仿宋" w:cs="仿宋"/>
          <w:w w:val="90"/>
          <w:sz w:val="36"/>
          <w:szCs w:val="36"/>
        </w:rPr>
      </w:pPr>
    </w:p>
    <w:p w14:paraId="06C010F0">
      <w:pPr>
        <w:wordWrap w:val="0"/>
        <w:adjustRightInd w:val="0"/>
        <w:snapToGrid w:val="0"/>
        <w:spacing w:line="288" w:lineRule="auto"/>
        <w:ind w:left="2911" w:hanging="2916" w:hangingChars="900"/>
        <w:rPr>
          <w:rFonts w:eastAsia="仿宋" w:cs="仿宋"/>
          <w:w w:val="90"/>
          <w:sz w:val="36"/>
          <w:szCs w:val="36"/>
        </w:rPr>
      </w:pPr>
    </w:p>
    <w:p w14:paraId="11567592">
      <w:pPr>
        <w:wordWrap w:val="0"/>
        <w:adjustRightInd w:val="0"/>
        <w:snapToGrid w:val="0"/>
        <w:spacing w:line="288" w:lineRule="auto"/>
        <w:ind w:left="2911" w:hanging="2916" w:hangingChars="900"/>
        <w:rPr>
          <w:rFonts w:eastAsia="仿宋" w:cs="仿宋"/>
          <w:w w:val="90"/>
          <w:sz w:val="36"/>
          <w:szCs w:val="36"/>
        </w:rPr>
      </w:pPr>
    </w:p>
    <w:tbl>
      <w:tblPr>
        <w:tblStyle w:val="36"/>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62"/>
        <w:gridCol w:w="7098"/>
      </w:tblGrid>
      <w:tr w14:paraId="5B7773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962" w:type="dxa"/>
            <w:vAlign w:val="top"/>
          </w:tcPr>
          <w:p w14:paraId="59CA550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eastAsia" w:ascii="Times New Roman" w:hAnsi="Times New Roman" w:eastAsia="仿宋" w:cs="仿宋"/>
                <w:b/>
                <w:bCs/>
                <w:caps w:val="0"/>
                <w:color w:val="auto"/>
                <w:sz w:val="44"/>
                <w:szCs w:val="44"/>
                <w:highlight w:val="none"/>
                <w:u w:val="none"/>
                <w:vertAlign w:val="baseline"/>
                <w:lang w:eastAsia="zh-CN"/>
              </w:rPr>
            </w:pPr>
            <w:r>
              <w:rPr>
                <w:rFonts w:hint="eastAsia" w:ascii="Times New Roman" w:hAnsi="Times New Roman" w:eastAsia="仿宋" w:cs="仿宋"/>
                <w:b w:val="0"/>
                <w:bCs w:val="0"/>
                <w:caps w:val="0"/>
                <w:color w:val="auto"/>
                <w:sz w:val="36"/>
                <w:szCs w:val="36"/>
                <w:highlight w:val="none"/>
                <w:u w:val="none"/>
                <w:lang w:eastAsia="zh-CN"/>
              </w:rPr>
              <w:t>项目名称：</w:t>
            </w:r>
          </w:p>
        </w:tc>
        <w:tc>
          <w:tcPr>
            <w:tcW w:w="7098" w:type="dxa"/>
            <w:vAlign w:val="top"/>
          </w:tcPr>
          <w:p w14:paraId="7B4F7C75">
            <w:pPr>
              <w:keepNext w:val="0"/>
              <w:keepLines w:val="0"/>
              <w:pageBreakBefore w:val="0"/>
              <w:widowControl w:val="0"/>
              <w:kinsoku/>
              <w:wordWrap w:val="0"/>
              <w:overflowPunct/>
              <w:topLinePunct w:val="0"/>
              <w:autoSpaceDE/>
              <w:autoSpaceDN/>
              <w:bidi w:val="0"/>
              <w:adjustRightInd w:val="0"/>
              <w:snapToGrid w:val="0"/>
              <w:spacing w:line="240" w:lineRule="auto"/>
              <w:ind w:left="0" w:leftChars="0" w:firstLine="0" w:firstLineChars="0"/>
              <w:jc w:val="left"/>
              <w:textAlignment w:val="auto"/>
              <w:rPr>
                <w:rFonts w:hint="eastAsia" w:ascii="仿宋" w:hAnsi="仿宋" w:eastAsia="仿宋" w:cs="方正仿宋_GB2312"/>
                <w:b/>
                <w:bCs/>
                <w:caps w:val="0"/>
                <w:color w:val="auto"/>
                <w:sz w:val="44"/>
                <w:szCs w:val="44"/>
                <w:highlight w:val="none"/>
                <w:u w:val="single" w:color="000000"/>
                <w:vertAlign w:val="baseline"/>
                <w:lang w:eastAsia="zh-CN"/>
              </w:rPr>
            </w:pPr>
            <w:r>
              <w:rPr>
                <w:rFonts w:hint="eastAsia" w:ascii="仿宋" w:hAnsi="仿宋" w:eastAsia="仿宋" w:cs="方正仿宋_GB2312"/>
                <w:b w:val="0"/>
                <w:bCs w:val="0"/>
                <w:caps w:val="0"/>
                <w:color w:val="auto"/>
                <w:sz w:val="36"/>
                <w:szCs w:val="36"/>
                <w:highlight w:val="none"/>
                <w:u w:val="single" w:color="000000"/>
                <w:lang w:eastAsia="zh-CN"/>
              </w:rPr>
              <w:t>超强超细钨丝新材料产品延伸加工项目</w:t>
            </w:r>
          </w:p>
        </w:tc>
      </w:tr>
      <w:tr w14:paraId="7C2FA3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962" w:type="dxa"/>
            <w:vAlign w:val="top"/>
          </w:tcPr>
          <w:p w14:paraId="5B1083D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eastAsia" w:ascii="Times New Roman" w:hAnsi="Times New Roman" w:eastAsia="仿宋" w:cs="仿宋"/>
                <w:b/>
                <w:bCs/>
                <w:caps w:val="0"/>
                <w:color w:val="auto"/>
                <w:sz w:val="44"/>
                <w:szCs w:val="44"/>
                <w:highlight w:val="none"/>
                <w:u w:val="none"/>
                <w:vertAlign w:val="baseline"/>
                <w:lang w:eastAsia="zh-CN"/>
              </w:rPr>
            </w:pPr>
            <w:r>
              <w:rPr>
                <w:rFonts w:hint="eastAsia" w:ascii="Times New Roman" w:hAnsi="Times New Roman" w:eastAsia="仿宋" w:cs="仿宋"/>
                <w:b w:val="0"/>
                <w:bCs w:val="0"/>
                <w:caps w:val="0"/>
                <w:color w:val="auto"/>
                <w:sz w:val="36"/>
                <w:szCs w:val="36"/>
                <w:highlight w:val="none"/>
              </w:rPr>
              <w:t>建设单位</w:t>
            </w:r>
            <w:r>
              <w:rPr>
                <w:rFonts w:hint="eastAsia" w:ascii="Times New Roman" w:hAnsi="Times New Roman" w:eastAsia="仿宋" w:cs="仿宋"/>
                <w:b w:val="0"/>
                <w:bCs w:val="0"/>
                <w:caps w:val="0"/>
                <w:color w:val="auto"/>
                <w:sz w:val="36"/>
                <w:szCs w:val="36"/>
                <w:highlight w:val="none"/>
                <w:lang w:eastAsia="zh-CN"/>
              </w:rPr>
              <w:t>：</w:t>
            </w:r>
          </w:p>
        </w:tc>
        <w:tc>
          <w:tcPr>
            <w:tcW w:w="7098" w:type="dxa"/>
            <w:vAlign w:val="top"/>
          </w:tcPr>
          <w:p w14:paraId="0ECBAA25">
            <w:pPr>
              <w:keepNext w:val="0"/>
              <w:keepLines w:val="0"/>
              <w:pageBreakBefore w:val="0"/>
              <w:widowControl w:val="0"/>
              <w:kinsoku/>
              <w:wordWrap w:val="0"/>
              <w:overflowPunct/>
              <w:topLinePunct w:val="0"/>
              <w:autoSpaceDE/>
              <w:autoSpaceDN/>
              <w:bidi w:val="0"/>
              <w:adjustRightInd w:val="0"/>
              <w:snapToGrid w:val="0"/>
              <w:spacing w:line="240" w:lineRule="auto"/>
              <w:ind w:left="0" w:leftChars="0" w:firstLine="0" w:firstLineChars="0"/>
              <w:jc w:val="left"/>
              <w:textAlignment w:val="auto"/>
              <w:rPr>
                <w:rFonts w:hint="eastAsia" w:ascii="仿宋" w:hAnsi="仿宋" w:eastAsia="仿宋" w:cs="方正仿宋_GB2312"/>
                <w:b/>
                <w:bCs/>
                <w:caps w:val="0"/>
                <w:color w:val="auto"/>
                <w:sz w:val="44"/>
                <w:szCs w:val="44"/>
                <w:highlight w:val="none"/>
                <w:u w:val="single" w:color="000000"/>
                <w:vertAlign w:val="baseline"/>
                <w:lang w:eastAsia="zh-CN"/>
              </w:rPr>
            </w:pPr>
            <w:r>
              <w:rPr>
                <w:rFonts w:hint="eastAsia" w:ascii="仿宋" w:hAnsi="仿宋" w:eastAsia="仿宋" w:cs="方正仿宋_GB2312"/>
                <w:b w:val="0"/>
                <w:bCs w:val="0"/>
                <w:caps w:val="0"/>
                <w:color w:val="auto"/>
                <w:sz w:val="36"/>
                <w:szCs w:val="36"/>
                <w:highlight w:val="none"/>
                <w:u w:val="single" w:color="000000"/>
                <w:lang w:eastAsia="zh-CN"/>
              </w:rPr>
              <w:t>陕西美畅钨材料科技有限公司</w:t>
            </w:r>
          </w:p>
        </w:tc>
      </w:tr>
      <w:tr w14:paraId="4FC21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962" w:type="dxa"/>
            <w:vAlign w:val="top"/>
          </w:tcPr>
          <w:p w14:paraId="41095C9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eastAsia" w:ascii="Times New Roman" w:hAnsi="Times New Roman" w:eastAsia="仿宋" w:cs="仿宋"/>
                <w:b w:val="0"/>
                <w:bCs w:val="0"/>
                <w:caps w:val="0"/>
                <w:color w:val="auto"/>
                <w:sz w:val="36"/>
                <w:szCs w:val="36"/>
                <w:highlight w:val="none"/>
              </w:rPr>
            </w:pPr>
            <w:r>
              <w:rPr>
                <w:rFonts w:hint="eastAsia" w:ascii="Times New Roman" w:hAnsi="Times New Roman" w:eastAsia="仿宋" w:cs="仿宋"/>
                <w:b w:val="0"/>
                <w:bCs w:val="0"/>
                <w:caps w:val="0"/>
                <w:color w:val="auto"/>
                <w:sz w:val="36"/>
                <w:szCs w:val="36"/>
                <w:highlight w:val="none"/>
              </w:rPr>
              <w:t>编制日期</w:t>
            </w:r>
            <w:r>
              <w:rPr>
                <w:rFonts w:hint="eastAsia" w:ascii="Times New Roman" w:hAnsi="Times New Roman" w:eastAsia="仿宋" w:cs="仿宋"/>
                <w:b w:val="0"/>
                <w:bCs w:val="0"/>
                <w:caps w:val="0"/>
                <w:color w:val="auto"/>
                <w:sz w:val="36"/>
                <w:szCs w:val="36"/>
                <w:highlight w:val="none"/>
                <w:lang w:eastAsia="zh-CN"/>
              </w:rPr>
              <w:t>：</w:t>
            </w:r>
          </w:p>
        </w:tc>
        <w:tc>
          <w:tcPr>
            <w:tcW w:w="7098" w:type="dxa"/>
            <w:vAlign w:val="top"/>
          </w:tcPr>
          <w:p w14:paraId="0F08FEBC">
            <w:pPr>
              <w:keepNext w:val="0"/>
              <w:keepLines w:val="0"/>
              <w:pageBreakBefore w:val="0"/>
              <w:widowControl w:val="0"/>
              <w:kinsoku/>
              <w:wordWrap w:val="0"/>
              <w:overflowPunct/>
              <w:topLinePunct w:val="0"/>
              <w:autoSpaceDE/>
              <w:autoSpaceDN/>
              <w:bidi w:val="0"/>
              <w:adjustRightInd w:val="0"/>
              <w:snapToGrid w:val="0"/>
              <w:spacing w:line="240" w:lineRule="auto"/>
              <w:ind w:left="0" w:leftChars="0" w:firstLine="0" w:firstLineChars="0"/>
              <w:jc w:val="left"/>
              <w:textAlignment w:val="auto"/>
              <w:rPr>
                <w:rFonts w:hint="eastAsia" w:ascii="仿宋" w:hAnsi="仿宋" w:eastAsia="仿宋" w:cs="方正仿宋_GB2312"/>
                <w:b/>
                <w:bCs/>
                <w:caps w:val="0"/>
                <w:color w:val="auto"/>
                <w:sz w:val="44"/>
                <w:szCs w:val="44"/>
                <w:highlight w:val="none"/>
                <w:u w:val="single" w:color="000000"/>
                <w:vertAlign w:val="baseline"/>
                <w:lang w:val="en-US" w:eastAsia="zh-CN"/>
              </w:rPr>
            </w:pPr>
            <w:r>
              <w:rPr>
                <w:rFonts w:hint="eastAsia" w:ascii="仿宋" w:hAnsi="仿宋" w:eastAsia="仿宋" w:cs="方正仿宋_GB2312"/>
                <w:color w:val="auto"/>
                <w:sz w:val="36"/>
                <w:szCs w:val="36"/>
                <w:u w:val="single"/>
              </w:rPr>
              <w:t>二〇二</w:t>
            </w:r>
            <w:r>
              <w:rPr>
                <w:rFonts w:hint="eastAsia" w:ascii="仿宋" w:hAnsi="仿宋" w:eastAsia="仿宋" w:cs="方正仿宋_GB2312"/>
                <w:color w:val="auto"/>
                <w:sz w:val="36"/>
                <w:szCs w:val="36"/>
                <w:u w:val="single"/>
                <w:lang w:val="en-US" w:eastAsia="zh-CN"/>
              </w:rPr>
              <w:t>五</w:t>
            </w:r>
            <w:r>
              <w:rPr>
                <w:rFonts w:hint="eastAsia" w:ascii="仿宋" w:hAnsi="仿宋" w:eastAsia="仿宋" w:cs="方正仿宋_GB2312"/>
                <w:color w:val="auto"/>
                <w:sz w:val="36"/>
                <w:szCs w:val="36"/>
                <w:u w:val="single"/>
              </w:rPr>
              <w:t>年</w:t>
            </w:r>
            <w:r>
              <w:rPr>
                <w:rFonts w:hint="eastAsia" w:ascii="仿宋" w:hAnsi="仿宋" w:eastAsia="仿宋" w:cs="方正仿宋_GB2312"/>
                <w:color w:val="auto"/>
                <w:sz w:val="36"/>
                <w:szCs w:val="36"/>
                <w:u w:val="single"/>
                <w:lang w:val="en-US" w:eastAsia="zh-CN"/>
              </w:rPr>
              <w:t>十一</w:t>
            </w:r>
            <w:r>
              <w:rPr>
                <w:rFonts w:hint="eastAsia" w:ascii="仿宋" w:hAnsi="仿宋" w:eastAsia="仿宋" w:cs="方正仿宋_GB2312"/>
                <w:color w:val="auto"/>
                <w:sz w:val="36"/>
                <w:szCs w:val="36"/>
                <w:u w:val="single"/>
              </w:rPr>
              <w:t>月</w:t>
            </w:r>
          </w:p>
        </w:tc>
      </w:tr>
    </w:tbl>
    <w:p w14:paraId="6ACFA465">
      <w:pPr>
        <w:wordWrap w:val="0"/>
        <w:adjustRightInd w:val="0"/>
        <w:snapToGrid w:val="0"/>
        <w:spacing w:line="288" w:lineRule="auto"/>
        <w:rPr>
          <w:rFonts w:eastAsia="仿宋" w:cs="仿宋"/>
          <w:sz w:val="36"/>
          <w:szCs w:val="36"/>
          <w:u w:val="single"/>
        </w:rPr>
        <w:sectPr>
          <w:headerReference r:id="rId3" w:type="default"/>
          <w:footerReference r:id="rId4" w:type="default"/>
          <w:footerReference r:id="rId5" w:type="even"/>
          <w:pgSz w:w="11906" w:h="16838"/>
          <w:pgMar w:top="1701" w:right="1531" w:bottom="1701" w:left="1531" w:header="851" w:footer="1077" w:gutter="0"/>
          <w:pgNumType w:start="3"/>
          <w:cols w:space="720" w:num="1"/>
          <w:docGrid w:linePitch="312" w:charSpace="0"/>
        </w:sectPr>
      </w:pPr>
    </w:p>
    <w:p w14:paraId="4381BBD8">
      <w:pPr>
        <w:pStyle w:val="57"/>
        <w:bidi w:val="0"/>
        <w:rPr>
          <w:rFonts w:hint="eastAsia"/>
          <w:lang w:eastAsia="zh-CN"/>
        </w:rPr>
        <w:sectPr>
          <w:pgSz w:w="11906" w:h="16838"/>
          <w:pgMar w:top="720" w:right="720" w:bottom="720" w:left="720" w:header="851" w:footer="1077" w:gutter="0"/>
          <w:pgNumType w:start="3"/>
          <w:cols w:space="720" w:num="1"/>
          <w:docGrid w:linePitch="312" w:charSpace="0"/>
        </w:sectPr>
      </w:pPr>
      <w:r>
        <w:rPr>
          <w:rFonts w:hint="eastAsia"/>
          <w:lang w:val="en-GB" w:eastAsia="zh-CN"/>
        </w:rPr>
        <w:drawing>
          <wp:inline distT="0" distB="0" distL="114300" distR="114300">
            <wp:extent cx="6419215" cy="8992235"/>
            <wp:effectExtent l="0" t="0" r="635" b="18415"/>
            <wp:docPr id="75" name="图片 75" descr="c85b8d2e272c421e6457317590068e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85b8d2e272c421e6457317590068e2b"/>
                    <pic:cNvPicPr>
                      <a:picLocks noChangeAspect="1"/>
                    </pic:cNvPicPr>
                  </pic:nvPicPr>
                  <pic:blipFill>
                    <a:blip r:embed="rId12"/>
                    <a:stretch>
                      <a:fillRect/>
                    </a:stretch>
                  </pic:blipFill>
                  <pic:spPr>
                    <a:xfrm>
                      <a:off x="0" y="0"/>
                      <a:ext cx="6419215" cy="8992235"/>
                    </a:xfrm>
                    <a:prstGeom prst="rect">
                      <a:avLst/>
                    </a:prstGeom>
                  </pic:spPr>
                </pic:pic>
              </a:graphicData>
            </a:graphic>
          </wp:inline>
        </w:drawing>
      </w:r>
    </w:p>
    <w:p w14:paraId="5F44AD24">
      <w:pPr>
        <w:pStyle w:val="57"/>
        <w:sectPr>
          <w:pgSz w:w="11906" w:h="16838"/>
          <w:pgMar w:top="720" w:right="720" w:bottom="720" w:left="720" w:header="851" w:footer="1077" w:gutter="0"/>
          <w:pgNumType w:start="3"/>
          <w:cols w:space="720" w:num="1"/>
          <w:docGrid w:linePitch="312" w:charSpace="0"/>
        </w:sectPr>
      </w:pPr>
      <w:r>
        <w:rPr>
          <w:rFonts w:hint="eastAsia"/>
          <w:lang w:val="en-GB" w:eastAsia="zh-CN"/>
        </w:rPr>
        <w:drawing>
          <wp:inline distT="0" distB="0" distL="114300" distR="114300">
            <wp:extent cx="5607685" cy="3462020"/>
            <wp:effectExtent l="0" t="0" r="12065" b="5080"/>
            <wp:docPr id="88" name="图片 88" descr="a960a445caa4c27fdc7f5a52a0de0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a960a445caa4c27fdc7f5a52a0de00c6"/>
                    <pic:cNvPicPr>
                      <a:picLocks noChangeAspect="1"/>
                    </pic:cNvPicPr>
                  </pic:nvPicPr>
                  <pic:blipFill>
                    <a:blip r:embed="rId13"/>
                    <a:stretch>
                      <a:fillRect/>
                    </a:stretch>
                  </pic:blipFill>
                  <pic:spPr>
                    <a:xfrm>
                      <a:off x="0" y="0"/>
                      <a:ext cx="5607685" cy="3462020"/>
                    </a:xfrm>
                    <a:prstGeom prst="rect">
                      <a:avLst/>
                    </a:prstGeom>
                  </pic:spPr>
                </pic:pic>
              </a:graphicData>
            </a:graphic>
          </wp:inline>
        </w:drawing>
      </w:r>
      <w:r>
        <w:rPr>
          <w:rFonts w:hint="eastAsia"/>
          <w:lang w:val="en-GB" w:eastAsia="zh-CN"/>
        </w:rPr>
        <w:drawing>
          <wp:inline distT="0" distB="0" distL="114300" distR="114300">
            <wp:extent cx="5624195" cy="3981450"/>
            <wp:effectExtent l="0" t="0" r="14605" b="0"/>
            <wp:docPr id="89" name="图片 89" descr="c13117eadbbdcdef111efc7112d8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13117eadbbdcdef111efc7112d83562"/>
                    <pic:cNvPicPr>
                      <a:picLocks noChangeAspect="1"/>
                    </pic:cNvPicPr>
                  </pic:nvPicPr>
                  <pic:blipFill>
                    <a:blip r:embed="rId14"/>
                    <a:stretch>
                      <a:fillRect/>
                    </a:stretch>
                  </pic:blipFill>
                  <pic:spPr>
                    <a:xfrm>
                      <a:off x="0" y="0"/>
                      <a:ext cx="5624195" cy="3981450"/>
                    </a:xfrm>
                    <a:prstGeom prst="rect">
                      <a:avLst/>
                    </a:prstGeom>
                  </pic:spPr>
                </pic:pic>
              </a:graphicData>
            </a:graphic>
          </wp:inline>
        </w:drawing>
      </w:r>
      <w:r>
        <w:rPr>
          <w:rFonts w:hint="eastAsia"/>
          <w:lang w:val="en-GB" w:eastAsia="zh-CN"/>
        </w:rPr>
        <w:drawing>
          <wp:inline distT="0" distB="0" distL="114300" distR="114300">
            <wp:extent cx="7988935" cy="5641975"/>
            <wp:effectExtent l="0" t="0" r="15875" b="12065"/>
            <wp:docPr id="76" name="图片 76" descr="17aa2261780f072b9b0a1acf2b53c5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7aa2261780f072b9b0a1acf2b53c5f5"/>
                    <pic:cNvPicPr>
                      <a:picLocks noChangeAspect="1"/>
                    </pic:cNvPicPr>
                  </pic:nvPicPr>
                  <pic:blipFill>
                    <a:blip r:embed="rId15"/>
                    <a:stretch>
                      <a:fillRect/>
                    </a:stretch>
                  </pic:blipFill>
                  <pic:spPr>
                    <a:xfrm rot="16200000">
                      <a:off x="0" y="0"/>
                      <a:ext cx="7988935" cy="5641975"/>
                    </a:xfrm>
                    <a:prstGeom prst="rect">
                      <a:avLst/>
                    </a:prstGeom>
                  </pic:spPr>
                </pic:pic>
              </a:graphicData>
            </a:graphic>
          </wp:inline>
        </w:drawing>
      </w:r>
    </w:p>
    <w:p w14:paraId="21C0F84B">
      <w:pPr>
        <w:pStyle w:val="31"/>
        <w:pageBreakBefore/>
        <w:wordWrap w:val="0"/>
        <w:jc w:val="center"/>
        <w:outlineLvl w:val="0"/>
        <w:rPr>
          <w:rFonts w:ascii="Times New Roman" w:hAnsi="Times New Roman" w:eastAsia="黑体"/>
          <w:snapToGrid w:val="0"/>
          <w:sz w:val="30"/>
          <w:szCs w:val="30"/>
        </w:rPr>
      </w:pPr>
      <w:bookmarkStart w:id="6" w:name="_Toc28504"/>
      <w:r>
        <w:rPr>
          <w:rFonts w:hint="eastAsia" w:ascii="Times New Roman" w:hAnsi="Times New Roman" w:eastAsia="黑体"/>
          <w:snapToGrid w:val="0"/>
          <w:sz w:val="30"/>
          <w:szCs w:val="30"/>
        </w:rPr>
        <w:t>一、建设项目基本情况</w:t>
      </w:r>
      <w:bookmarkEnd w:id="2"/>
      <w:bookmarkEnd w:id="3"/>
      <w:bookmarkEnd w:id="6"/>
    </w:p>
    <w:tbl>
      <w:tblPr>
        <w:tblStyle w:val="35"/>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758"/>
        <w:gridCol w:w="2668"/>
        <w:gridCol w:w="2119"/>
        <w:gridCol w:w="3220"/>
      </w:tblGrid>
      <w:tr w14:paraId="208600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57" w:type="dxa"/>
            <w:tcMar>
              <w:top w:w="16" w:type="dxa"/>
              <w:left w:w="16" w:type="dxa"/>
              <w:right w:w="16" w:type="dxa"/>
            </w:tcMar>
            <w:vAlign w:val="center"/>
          </w:tcPr>
          <w:p w14:paraId="03020E58">
            <w:pPr>
              <w:wordWrap w:val="0"/>
              <w:adjustRightInd w:val="0"/>
              <w:snapToGrid w:val="0"/>
              <w:jc w:val="center"/>
              <w:rPr>
                <w:rFonts w:cs="宋体"/>
                <w:b/>
                <w:bCs/>
                <w:color w:val="auto"/>
                <w:sz w:val="24"/>
              </w:rPr>
            </w:pPr>
            <w:r>
              <w:rPr>
                <w:rFonts w:hint="eastAsia" w:cs="宋体"/>
                <w:b/>
                <w:bCs/>
                <w:color w:val="auto"/>
                <w:sz w:val="24"/>
              </w:rPr>
              <w:t>建设项目名称</w:t>
            </w:r>
          </w:p>
        </w:tc>
        <w:tc>
          <w:tcPr>
            <w:tcW w:w="8010" w:type="dxa"/>
            <w:gridSpan w:val="3"/>
            <w:vAlign w:val="center"/>
          </w:tcPr>
          <w:p w14:paraId="00ED092F">
            <w:pPr>
              <w:wordWrap w:val="0"/>
              <w:adjustRightInd w:val="0"/>
              <w:snapToGrid w:val="0"/>
              <w:jc w:val="center"/>
              <w:rPr>
                <w:rFonts w:cs="宋体"/>
                <w:color w:val="auto"/>
                <w:sz w:val="24"/>
              </w:rPr>
            </w:pPr>
            <w:r>
              <w:rPr>
                <w:rFonts w:hint="eastAsia" w:cs="宋体"/>
                <w:color w:val="auto"/>
                <w:sz w:val="24"/>
              </w:rPr>
              <w:t>超强超细钨丝新材料产品延伸加工项目</w:t>
            </w:r>
          </w:p>
        </w:tc>
      </w:tr>
      <w:tr w14:paraId="772C4D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757" w:type="dxa"/>
            <w:tcMar>
              <w:top w:w="16" w:type="dxa"/>
              <w:left w:w="16" w:type="dxa"/>
              <w:right w:w="16" w:type="dxa"/>
            </w:tcMar>
            <w:vAlign w:val="center"/>
          </w:tcPr>
          <w:p w14:paraId="4FDE856B">
            <w:pPr>
              <w:wordWrap w:val="0"/>
              <w:adjustRightInd w:val="0"/>
              <w:snapToGrid w:val="0"/>
              <w:jc w:val="center"/>
              <w:rPr>
                <w:rFonts w:cs="宋体"/>
                <w:b/>
                <w:bCs/>
                <w:color w:val="auto"/>
                <w:sz w:val="24"/>
              </w:rPr>
            </w:pPr>
            <w:r>
              <w:rPr>
                <w:rFonts w:hint="eastAsia" w:cs="宋体"/>
                <w:b/>
                <w:bCs/>
                <w:color w:val="auto"/>
                <w:sz w:val="24"/>
              </w:rPr>
              <w:t>项目代码</w:t>
            </w:r>
          </w:p>
        </w:tc>
        <w:tc>
          <w:tcPr>
            <w:tcW w:w="8010" w:type="dxa"/>
            <w:gridSpan w:val="3"/>
            <w:vAlign w:val="center"/>
          </w:tcPr>
          <w:p w14:paraId="26B13433">
            <w:pPr>
              <w:wordWrap w:val="0"/>
              <w:adjustRightInd w:val="0"/>
              <w:snapToGrid w:val="0"/>
              <w:jc w:val="center"/>
              <w:rPr>
                <w:rFonts w:hint="eastAsia" w:eastAsia="宋体" w:cs="宋体"/>
                <w:color w:val="auto"/>
                <w:sz w:val="24"/>
                <w:lang w:val="en-US" w:eastAsia="zh-CN"/>
              </w:rPr>
            </w:pPr>
            <w:r>
              <w:rPr>
                <w:rFonts w:hint="eastAsia" w:cs="宋体"/>
                <w:color w:val="auto"/>
                <w:sz w:val="24"/>
                <w:lang w:val="en-US" w:eastAsia="zh-CN"/>
              </w:rPr>
              <w:t>/</w:t>
            </w:r>
          </w:p>
        </w:tc>
      </w:tr>
      <w:tr w14:paraId="40196E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57" w:type="dxa"/>
            <w:tcMar>
              <w:top w:w="16" w:type="dxa"/>
              <w:left w:w="16" w:type="dxa"/>
              <w:right w:w="16" w:type="dxa"/>
            </w:tcMar>
            <w:vAlign w:val="center"/>
          </w:tcPr>
          <w:p w14:paraId="79B5C520">
            <w:pPr>
              <w:wordWrap w:val="0"/>
              <w:adjustRightInd w:val="0"/>
              <w:snapToGrid w:val="0"/>
              <w:jc w:val="center"/>
              <w:rPr>
                <w:rFonts w:cs="宋体"/>
                <w:b/>
                <w:bCs/>
                <w:color w:val="auto"/>
                <w:sz w:val="24"/>
              </w:rPr>
            </w:pPr>
            <w:r>
              <w:rPr>
                <w:rFonts w:hint="eastAsia" w:cs="宋体"/>
                <w:b/>
                <w:bCs/>
                <w:color w:val="auto"/>
                <w:sz w:val="24"/>
              </w:rPr>
              <w:t>建设单位联系人</w:t>
            </w:r>
          </w:p>
        </w:tc>
        <w:tc>
          <w:tcPr>
            <w:tcW w:w="2669" w:type="dxa"/>
            <w:vAlign w:val="center"/>
          </w:tcPr>
          <w:p w14:paraId="4D58429A">
            <w:pPr>
              <w:wordWrap w:val="0"/>
              <w:adjustRightInd w:val="0"/>
              <w:snapToGrid w:val="0"/>
              <w:jc w:val="center"/>
              <w:rPr>
                <w:rFonts w:cs="宋体"/>
                <w:color w:val="auto"/>
                <w:sz w:val="24"/>
              </w:rPr>
            </w:pPr>
            <w:r>
              <w:rPr>
                <w:rFonts w:hint="eastAsia" w:cs="宋体"/>
                <w:color w:val="auto"/>
                <w:sz w:val="24"/>
              </w:rPr>
              <w:t>郑瑞龙</w:t>
            </w:r>
          </w:p>
        </w:tc>
        <w:tc>
          <w:tcPr>
            <w:tcW w:w="2120" w:type="dxa"/>
            <w:vAlign w:val="center"/>
          </w:tcPr>
          <w:p w14:paraId="4DFFF007">
            <w:pPr>
              <w:wordWrap w:val="0"/>
              <w:adjustRightInd w:val="0"/>
              <w:snapToGrid w:val="0"/>
              <w:jc w:val="center"/>
              <w:rPr>
                <w:rFonts w:cs="宋体"/>
                <w:color w:val="auto"/>
                <w:sz w:val="24"/>
              </w:rPr>
            </w:pPr>
            <w:r>
              <w:rPr>
                <w:rFonts w:hint="eastAsia" w:cs="宋体"/>
                <w:b/>
                <w:bCs/>
                <w:color w:val="auto"/>
                <w:sz w:val="24"/>
              </w:rPr>
              <w:t>联系方式</w:t>
            </w:r>
          </w:p>
        </w:tc>
        <w:tc>
          <w:tcPr>
            <w:tcW w:w="3221" w:type="dxa"/>
            <w:vAlign w:val="center"/>
          </w:tcPr>
          <w:p w14:paraId="6EA80D77">
            <w:pPr>
              <w:wordWrap w:val="0"/>
              <w:adjustRightInd w:val="0"/>
              <w:snapToGrid w:val="0"/>
              <w:jc w:val="center"/>
              <w:rPr>
                <w:rFonts w:cs="宋体"/>
                <w:color w:val="auto"/>
                <w:sz w:val="24"/>
              </w:rPr>
            </w:pPr>
            <w:r>
              <w:rPr>
                <w:rFonts w:hint="eastAsia" w:cs="宋体"/>
                <w:color w:val="auto"/>
                <w:sz w:val="24"/>
              </w:rPr>
              <w:t>18992028725</w:t>
            </w:r>
          </w:p>
        </w:tc>
      </w:tr>
      <w:tr w14:paraId="1F524F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57" w:type="dxa"/>
            <w:tcMar>
              <w:top w:w="16" w:type="dxa"/>
              <w:left w:w="16" w:type="dxa"/>
              <w:right w:w="16" w:type="dxa"/>
            </w:tcMar>
            <w:vAlign w:val="center"/>
          </w:tcPr>
          <w:p w14:paraId="2AB740E8">
            <w:pPr>
              <w:wordWrap w:val="0"/>
              <w:adjustRightInd w:val="0"/>
              <w:snapToGrid w:val="0"/>
              <w:jc w:val="center"/>
              <w:rPr>
                <w:rFonts w:cs="宋体"/>
                <w:b/>
                <w:bCs/>
                <w:color w:val="auto"/>
                <w:sz w:val="24"/>
              </w:rPr>
            </w:pPr>
            <w:r>
              <w:rPr>
                <w:rFonts w:hint="eastAsia" w:cs="宋体"/>
                <w:b/>
                <w:bCs/>
                <w:color w:val="auto"/>
                <w:sz w:val="24"/>
              </w:rPr>
              <w:t>建设地点</w:t>
            </w:r>
          </w:p>
        </w:tc>
        <w:tc>
          <w:tcPr>
            <w:tcW w:w="8010" w:type="dxa"/>
            <w:gridSpan w:val="3"/>
            <w:vAlign w:val="center"/>
          </w:tcPr>
          <w:p w14:paraId="5341D341">
            <w:pPr>
              <w:wordWrap w:val="0"/>
              <w:adjustRightInd w:val="0"/>
              <w:snapToGrid w:val="0"/>
              <w:jc w:val="center"/>
              <w:rPr>
                <w:rFonts w:cs="宋体"/>
                <w:color w:val="auto"/>
                <w:sz w:val="24"/>
              </w:rPr>
            </w:pPr>
            <w:r>
              <w:rPr>
                <w:rFonts w:hint="eastAsia" w:cs="宋体"/>
                <w:color w:val="auto"/>
                <w:sz w:val="24"/>
              </w:rPr>
              <w:t>宝鸡市岐山县蔡家坡经济技术开发区百万平米标准化厂房产业园2-8#标准厂房</w:t>
            </w:r>
          </w:p>
        </w:tc>
      </w:tr>
      <w:tr w14:paraId="13BF22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57" w:type="dxa"/>
            <w:tcMar>
              <w:top w:w="16" w:type="dxa"/>
              <w:left w:w="16" w:type="dxa"/>
              <w:right w:w="16" w:type="dxa"/>
            </w:tcMar>
            <w:vAlign w:val="center"/>
          </w:tcPr>
          <w:p w14:paraId="33C7DC12">
            <w:pPr>
              <w:wordWrap w:val="0"/>
              <w:adjustRightInd w:val="0"/>
              <w:snapToGrid w:val="0"/>
              <w:jc w:val="center"/>
              <w:rPr>
                <w:rFonts w:cs="宋体"/>
                <w:b/>
                <w:bCs/>
                <w:sz w:val="24"/>
              </w:rPr>
            </w:pPr>
            <w:r>
              <w:rPr>
                <w:rFonts w:hint="eastAsia" w:cs="宋体"/>
                <w:b/>
                <w:bCs/>
                <w:sz w:val="24"/>
              </w:rPr>
              <w:t>地理坐标</w:t>
            </w:r>
          </w:p>
        </w:tc>
        <w:tc>
          <w:tcPr>
            <w:tcW w:w="8010" w:type="dxa"/>
            <w:gridSpan w:val="3"/>
            <w:vAlign w:val="center"/>
          </w:tcPr>
          <w:p w14:paraId="15525CCF">
            <w:pPr>
              <w:wordWrap w:val="0"/>
              <w:jc w:val="center"/>
              <w:rPr>
                <w:rFonts w:cs="宋体"/>
                <w:sz w:val="24"/>
              </w:rPr>
            </w:pPr>
            <w:r>
              <w:rPr>
                <w:rFonts w:hint="eastAsia" w:cs="宋体"/>
                <w:sz w:val="24"/>
              </w:rPr>
              <w:t>（E107度36分6.261秒，N34度16分29.276秒）</w:t>
            </w:r>
          </w:p>
        </w:tc>
      </w:tr>
      <w:tr w14:paraId="10D1C5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757" w:type="dxa"/>
            <w:tcMar>
              <w:top w:w="16" w:type="dxa"/>
              <w:left w:w="16" w:type="dxa"/>
              <w:right w:w="16" w:type="dxa"/>
            </w:tcMar>
            <w:vAlign w:val="center"/>
          </w:tcPr>
          <w:p w14:paraId="269B7646">
            <w:pPr>
              <w:wordWrap w:val="0"/>
              <w:adjustRightInd w:val="0"/>
              <w:snapToGrid w:val="0"/>
              <w:jc w:val="center"/>
              <w:rPr>
                <w:rFonts w:cs="宋体"/>
                <w:b/>
                <w:bCs/>
                <w:sz w:val="24"/>
              </w:rPr>
            </w:pPr>
            <w:r>
              <w:rPr>
                <w:rFonts w:hint="eastAsia" w:cs="宋体"/>
                <w:b/>
                <w:bCs/>
                <w:sz w:val="24"/>
              </w:rPr>
              <w:t>国民经济</w:t>
            </w:r>
          </w:p>
          <w:p w14:paraId="351512E1">
            <w:pPr>
              <w:wordWrap w:val="0"/>
              <w:adjustRightInd w:val="0"/>
              <w:snapToGrid w:val="0"/>
              <w:jc w:val="center"/>
              <w:rPr>
                <w:rFonts w:cs="宋体"/>
                <w:b/>
                <w:bCs/>
                <w:sz w:val="24"/>
              </w:rPr>
            </w:pPr>
            <w:r>
              <w:rPr>
                <w:rFonts w:hint="eastAsia" w:cs="宋体"/>
                <w:b/>
                <w:bCs/>
                <w:sz w:val="24"/>
              </w:rPr>
              <w:t>行业类别</w:t>
            </w:r>
          </w:p>
        </w:tc>
        <w:tc>
          <w:tcPr>
            <w:tcW w:w="2669" w:type="dxa"/>
            <w:vAlign w:val="center"/>
          </w:tcPr>
          <w:p w14:paraId="0482051A">
            <w:pPr>
              <w:wordWrap w:val="0"/>
              <w:adjustRightInd w:val="0"/>
              <w:snapToGrid w:val="0"/>
              <w:jc w:val="center"/>
              <w:rPr>
                <w:rFonts w:cs="宋体"/>
                <w:sz w:val="24"/>
              </w:rPr>
            </w:pPr>
            <w:r>
              <w:rPr>
                <w:rFonts w:hint="eastAsia" w:cs="宋体"/>
                <w:sz w:val="24"/>
              </w:rPr>
              <w:t>C3340金属丝绳及其制品制造</w:t>
            </w:r>
          </w:p>
        </w:tc>
        <w:tc>
          <w:tcPr>
            <w:tcW w:w="2120" w:type="dxa"/>
            <w:vAlign w:val="center"/>
          </w:tcPr>
          <w:p w14:paraId="0B0A753D">
            <w:pPr>
              <w:wordWrap w:val="0"/>
              <w:adjustRightInd w:val="0"/>
              <w:snapToGrid w:val="0"/>
              <w:jc w:val="center"/>
              <w:rPr>
                <w:rFonts w:cs="宋体"/>
                <w:b/>
                <w:bCs/>
                <w:sz w:val="24"/>
              </w:rPr>
            </w:pPr>
            <w:bookmarkStart w:id="7" w:name="_Hlk49843745"/>
            <w:r>
              <w:rPr>
                <w:rFonts w:hint="eastAsia" w:cs="宋体"/>
                <w:b/>
                <w:bCs/>
                <w:sz w:val="24"/>
              </w:rPr>
              <w:t>建设项目</w:t>
            </w:r>
          </w:p>
          <w:p w14:paraId="2B4060E1">
            <w:pPr>
              <w:wordWrap w:val="0"/>
              <w:adjustRightInd w:val="0"/>
              <w:snapToGrid w:val="0"/>
              <w:jc w:val="center"/>
              <w:rPr>
                <w:rFonts w:cs="宋体"/>
                <w:sz w:val="24"/>
              </w:rPr>
            </w:pPr>
            <w:r>
              <w:rPr>
                <w:rFonts w:hint="eastAsia" w:cs="宋体"/>
                <w:b/>
                <w:bCs/>
                <w:sz w:val="24"/>
              </w:rPr>
              <w:t>行业类别</w:t>
            </w:r>
            <w:bookmarkEnd w:id="7"/>
          </w:p>
        </w:tc>
        <w:tc>
          <w:tcPr>
            <w:tcW w:w="3221" w:type="dxa"/>
            <w:vAlign w:val="center"/>
          </w:tcPr>
          <w:p w14:paraId="5FD168A9">
            <w:pPr>
              <w:wordWrap w:val="0"/>
              <w:adjustRightInd w:val="0"/>
              <w:snapToGrid w:val="0"/>
              <w:rPr>
                <w:rFonts w:cs="宋体"/>
                <w:sz w:val="24"/>
              </w:rPr>
            </w:pPr>
            <w:r>
              <w:rPr>
                <w:rFonts w:hint="eastAsia" w:cs="宋体"/>
                <w:sz w:val="24"/>
              </w:rPr>
              <w:t>三十、金属制品业33</w:t>
            </w:r>
          </w:p>
          <w:p w14:paraId="7FA8FBD3">
            <w:pPr>
              <w:wordWrap w:val="0"/>
              <w:adjustRightInd w:val="0"/>
              <w:snapToGrid w:val="0"/>
              <w:rPr>
                <w:rFonts w:cs="宋体"/>
                <w:sz w:val="24"/>
              </w:rPr>
            </w:pPr>
            <w:r>
              <w:rPr>
                <w:rFonts w:hint="eastAsia" w:cs="宋体"/>
                <w:sz w:val="24"/>
              </w:rPr>
              <w:t>二十九、有色金属冶炼和压延加工业32</w:t>
            </w:r>
          </w:p>
        </w:tc>
      </w:tr>
      <w:tr w14:paraId="6B3FD7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57" w:type="dxa"/>
            <w:tcMar>
              <w:top w:w="16" w:type="dxa"/>
              <w:left w:w="16" w:type="dxa"/>
              <w:right w:w="16" w:type="dxa"/>
            </w:tcMar>
            <w:vAlign w:val="center"/>
          </w:tcPr>
          <w:p w14:paraId="5A82CB83">
            <w:pPr>
              <w:wordWrap w:val="0"/>
              <w:adjustRightInd w:val="0"/>
              <w:snapToGrid w:val="0"/>
              <w:jc w:val="center"/>
              <w:rPr>
                <w:rFonts w:cs="宋体"/>
                <w:b/>
                <w:bCs/>
                <w:sz w:val="24"/>
              </w:rPr>
            </w:pPr>
            <w:r>
              <w:rPr>
                <w:rFonts w:hint="eastAsia" w:cs="宋体"/>
                <w:b/>
                <w:bCs/>
                <w:sz w:val="24"/>
              </w:rPr>
              <w:t>建设性质</w:t>
            </w:r>
          </w:p>
        </w:tc>
        <w:tc>
          <w:tcPr>
            <w:tcW w:w="2669" w:type="dxa"/>
            <w:vAlign w:val="center"/>
          </w:tcPr>
          <w:p w14:paraId="66C6375B">
            <w:pPr>
              <w:wordWrap w:val="0"/>
              <w:jc w:val="left"/>
              <w:rPr>
                <w:rFonts w:cs="宋体"/>
                <w:sz w:val="24"/>
              </w:rPr>
            </w:pPr>
            <w:r>
              <w:rPr>
                <w:rFonts w:hint="eastAsia" w:cs="宋体"/>
                <w:sz w:val="24"/>
              </w:rPr>
              <w:t>□新建（迁建）</w:t>
            </w:r>
          </w:p>
          <w:p w14:paraId="5D4684EF">
            <w:pPr>
              <w:wordWrap w:val="0"/>
              <w:jc w:val="left"/>
              <w:rPr>
                <w:rFonts w:cs="宋体"/>
                <w:sz w:val="24"/>
              </w:rPr>
            </w:pPr>
            <w:r>
              <w:rPr>
                <w:rFonts w:hint="eastAsia" w:cs="宋体"/>
                <w:sz w:val="24"/>
              </w:rPr>
              <w:t>□改建</w:t>
            </w:r>
          </w:p>
          <w:p w14:paraId="7566ADB9">
            <w:pPr>
              <w:wordWrap w:val="0"/>
              <w:jc w:val="left"/>
              <w:rPr>
                <w:rFonts w:cs="宋体"/>
                <w:sz w:val="24"/>
              </w:rPr>
            </w:pPr>
            <w:r>
              <w:rPr>
                <w:rFonts w:hint="eastAsia" w:cs="宋体"/>
                <w:sz w:val="24"/>
              </w:rPr>
              <w:t>☑扩建</w:t>
            </w:r>
          </w:p>
          <w:p w14:paraId="7F23776E">
            <w:pPr>
              <w:wordWrap w:val="0"/>
              <w:jc w:val="left"/>
              <w:rPr>
                <w:rFonts w:cs="宋体"/>
                <w:sz w:val="24"/>
              </w:rPr>
            </w:pPr>
            <w:r>
              <w:rPr>
                <w:rFonts w:hint="eastAsia" w:cs="宋体"/>
                <w:sz w:val="24"/>
              </w:rPr>
              <w:t>□技术改造</w:t>
            </w:r>
          </w:p>
        </w:tc>
        <w:tc>
          <w:tcPr>
            <w:tcW w:w="2120" w:type="dxa"/>
            <w:vAlign w:val="center"/>
          </w:tcPr>
          <w:p w14:paraId="0EA9C674">
            <w:pPr>
              <w:wordWrap w:val="0"/>
              <w:adjustRightInd w:val="0"/>
              <w:snapToGrid w:val="0"/>
              <w:jc w:val="center"/>
              <w:rPr>
                <w:rFonts w:cs="宋体"/>
                <w:b/>
                <w:bCs/>
                <w:sz w:val="24"/>
              </w:rPr>
            </w:pPr>
            <w:r>
              <w:rPr>
                <w:rFonts w:hint="eastAsia" w:cs="宋体"/>
                <w:b/>
                <w:bCs/>
                <w:sz w:val="24"/>
              </w:rPr>
              <w:t>建设项目</w:t>
            </w:r>
          </w:p>
          <w:p w14:paraId="222EFDA0">
            <w:pPr>
              <w:wordWrap w:val="0"/>
              <w:adjustRightInd w:val="0"/>
              <w:snapToGrid w:val="0"/>
              <w:jc w:val="center"/>
              <w:rPr>
                <w:rFonts w:cs="宋体"/>
                <w:b/>
                <w:bCs/>
                <w:sz w:val="24"/>
              </w:rPr>
            </w:pPr>
            <w:r>
              <w:rPr>
                <w:rFonts w:hint="eastAsia" w:cs="宋体"/>
                <w:b/>
                <w:bCs/>
                <w:sz w:val="24"/>
              </w:rPr>
              <w:t>申报情形</w:t>
            </w:r>
          </w:p>
        </w:tc>
        <w:tc>
          <w:tcPr>
            <w:tcW w:w="3221" w:type="dxa"/>
            <w:vAlign w:val="center"/>
          </w:tcPr>
          <w:p w14:paraId="7FC4A06A">
            <w:pPr>
              <w:wordWrap w:val="0"/>
              <w:jc w:val="left"/>
              <w:rPr>
                <w:rFonts w:cs="宋体"/>
                <w:sz w:val="24"/>
              </w:rPr>
            </w:pPr>
            <w:r>
              <w:rPr>
                <w:rFonts w:hint="eastAsia" w:cs="宋体"/>
                <w:sz w:val="24"/>
              </w:rPr>
              <w:t>☑首次申报项目</w:t>
            </w:r>
          </w:p>
          <w:p w14:paraId="354AF2AD">
            <w:pPr>
              <w:wordWrap w:val="0"/>
              <w:jc w:val="left"/>
              <w:rPr>
                <w:rFonts w:cs="宋体"/>
                <w:sz w:val="24"/>
              </w:rPr>
            </w:pPr>
            <w:r>
              <w:rPr>
                <w:rFonts w:hint="eastAsia" w:cs="宋体"/>
                <w:sz w:val="24"/>
              </w:rPr>
              <w:t>□不予批准后再次申报项目</w:t>
            </w:r>
          </w:p>
          <w:p w14:paraId="174CAD8B">
            <w:pPr>
              <w:wordWrap w:val="0"/>
              <w:jc w:val="left"/>
              <w:rPr>
                <w:rFonts w:cs="宋体"/>
                <w:sz w:val="24"/>
              </w:rPr>
            </w:pPr>
            <w:r>
              <w:rPr>
                <w:rFonts w:hint="eastAsia" w:cs="宋体"/>
                <w:sz w:val="24"/>
              </w:rPr>
              <w:t>□超五年重新审核项目</w:t>
            </w:r>
          </w:p>
          <w:p w14:paraId="73AA670A">
            <w:pPr>
              <w:wordWrap w:val="0"/>
              <w:jc w:val="left"/>
              <w:rPr>
                <w:rFonts w:cs="宋体"/>
                <w:sz w:val="24"/>
              </w:rPr>
            </w:pPr>
            <w:r>
              <w:rPr>
                <w:rFonts w:hint="eastAsia" w:cs="宋体"/>
                <w:sz w:val="24"/>
              </w:rPr>
              <w:t>□重大变动重新报批项目</w:t>
            </w:r>
          </w:p>
        </w:tc>
      </w:tr>
      <w:tr w14:paraId="447491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57" w:type="dxa"/>
            <w:tcMar>
              <w:top w:w="16" w:type="dxa"/>
              <w:left w:w="16" w:type="dxa"/>
              <w:right w:w="16" w:type="dxa"/>
            </w:tcMar>
            <w:vAlign w:val="center"/>
          </w:tcPr>
          <w:p w14:paraId="0B41069A">
            <w:pPr>
              <w:wordWrap w:val="0"/>
              <w:adjustRightInd w:val="0"/>
              <w:snapToGrid w:val="0"/>
              <w:jc w:val="center"/>
              <w:rPr>
                <w:rFonts w:cs="宋体"/>
                <w:b/>
                <w:bCs/>
                <w:color w:val="auto"/>
                <w:sz w:val="24"/>
              </w:rPr>
            </w:pPr>
            <w:r>
              <w:rPr>
                <w:rFonts w:hint="eastAsia" w:cs="宋体"/>
                <w:b/>
                <w:bCs/>
                <w:color w:val="auto"/>
                <w:sz w:val="24"/>
              </w:rPr>
              <w:t>项目审批（核准/</w:t>
            </w:r>
          </w:p>
          <w:p w14:paraId="58A6E8D5">
            <w:pPr>
              <w:wordWrap w:val="0"/>
              <w:adjustRightInd w:val="0"/>
              <w:snapToGrid w:val="0"/>
              <w:jc w:val="center"/>
              <w:rPr>
                <w:rFonts w:cs="宋体"/>
                <w:b/>
                <w:bCs/>
                <w:color w:val="auto"/>
                <w:sz w:val="24"/>
              </w:rPr>
            </w:pPr>
            <w:r>
              <w:rPr>
                <w:rFonts w:hint="eastAsia" w:cs="宋体"/>
                <w:b/>
                <w:bCs/>
                <w:color w:val="auto"/>
                <w:sz w:val="24"/>
              </w:rPr>
              <w:t>备案）部门（选填）</w:t>
            </w:r>
          </w:p>
        </w:tc>
        <w:tc>
          <w:tcPr>
            <w:tcW w:w="2669" w:type="dxa"/>
            <w:vAlign w:val="center"/>
          </w:tcPr>
          <w:p w14:paraId="163F17A3">
            <w:pPr>
              <w:wordWrap w:val="0"/>
              <w:adjustRightInd w:val="0"/>
              <w:snapToGrid w:val="0"/>
              <w:jc w:val="center"/>
              <w:rPr>
                <w:rFonts w:hint="eastAsia" w:eastAsia="宋体" w:cs="宋体"/>
                <w:color w:val="auto"/>
                <w:sz w:val="24"/>
                <w:lang w:val="en-US" w:eastAsia="zh-CN"/>
              </w:rPr>
            </w:pPr>
            <w:r>
              <w:rPr>
                <w:rFonts w:hint="eastAsia" w:cs="宋体"/>
                <w:color w:val="auto"/>
                <w:sz w:val="24"/>
                <w:lang w:val="en-US" w:eastAsia="zh-CN"/>
              </w:rPr>
              <w:t>/</w:t>
            </w:r>
          </w:p>
        </w:tc>
        <w:tc>
          <w:tcPr>
            <w:tcW w:w="2120" w:type="dxa"/>
            <w:vAlign w:val="center"/>
          </w:tcPr>
          <w:p w14:paraId="0D7A7D0B">
            <w:pPr>
              <w:wordWrap w:val="0"/>
              <w:adjustRightInd w:val="0"/>
              <w:snapToGrid w:val="0"/>
              <w:jc w:val="center"/>
              <w:rPr>
                <w:rFonts w:cs="宋体"/>
                <w:b/>
                <w:bCs/>
                <w:color w:val="auto"/>
                <w:sz w:val="24"/>
              </w:rPr>
            </w:pPr>
            <w:r>
              <w:rPr>
                <w:rFonts w:hint="eastAsia" w:cs="宋体"/>
                <w:b/>
                <w:bCs/>
                <w:color w:val="auto"/>
                <w:sz w:val="24"/>
              </w:rPr>
              <w:t>项目审批（核准/</w:t>
            </w:r>
          </w:p>
          <w:p w14:paraId="2F1BC4A5">
            <w:pPr>
              <w:wordWrap w:val="0"/>
              <w:adjustRightInd w:val="0"/>
              <w:snapToGrid w:val="0"/>
              <w:jc w:val="center"/>
              <w:rPr>
                <w:rFonts w:cs="宋体"/>
                <w:b/>
                <w:bCs/>
                <w:color w:val="auto"/>
                <w:sz w:val="24"/>
              </w:rPr>
            </w:pPr>
            <w:r>
              <w:rPr>
                <w:rFonts w:hint="eastAsia" w:cs="宋体"/>
                <w:b/>
                <w:bCs/>
                <w:color w:val="auto"/>
                <w:sz w:val="24"/>
              </w:rPr>
              <w:t>备案）文号（选填）</w:t>
            </w:r>
          </w:p>
        </w:tc>
        <w:tc>
          <w:tcPr>
            <w:tcW w:w="3221" w:type="dxa"/>
            <w:vAlign w:val="center"/>
          </w:tcPr>
          <w:p w14:paraId="5753C9E1">
            <w:pPr>
              <w:wordWrap w:val="0"/>
              <w:adjustRightInd w:val="0"/>
              <w:snapToGrid w:val="0"/>
              <w:jc w:val="center"/>
              <w:rPr>
                <w:rFonts w:hint="eastAsia" w:eastAsia="宋体" w:cs="宋体"/>
                <w:color w:val="auto"/>
                <w:sz w:val="24"/>
                <w:lang w:val="en-US" w:eastAsia="zh-CN"/>
              </w:rPr>
            </w:pPr>
            <w:r>
              <w:rPr>
                <w:rFonts w:hint="eastAsia" w:cs="宋体"/>
                <w:color w:val="auto"/>
                <w:sz w:val="24"/>
                <w:lang w:val="en-US" w:eastAsia="zh-CN"/>
              </w:rPr>
              <w:t>/</w:t>
            </w:r>
          </w:p>
        </w:tc>
      </w:tr>
      <w:tr w14:paraId="66810F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57" w:type="dxa"/>
            <w:tcMar>
              <w:top w:w="16" w:type="dxa"/>
              <w:left w:w="16" w:type="dxa"/>
              <w:right w:w="16" w:type="dxa"/>
            </w:tcMar>
            <w:vAlign w:val="center"/>
          </w:tcPr>
          <w:p w14:paraId="4706A5D8">
            <w:pPr>
              <w:wordWrap w:val="0"/>
              <w:adjustRightInd w:val="0"/>
              <w:snapToGrid w:val="0"/>
              <w:jc w:val="center"/>
              <w:rPr>
                <w:rFonts w:cs="宋体"/>
                <w:b/>
                <w:bCs/>
                <w:color w:val="auto"/>
                <w:sz w:val="24"/>
              </w:rPr>
            </w:pPr>
            <w:r>
              <w:rPr>
                <w:rFonts w:hint="eastAsia" w:cs="宋体"/>
                <w:b/>
                <w:bCs/>
                <w:color w:val="auto"/>
                <w:sz w:val="24"/>
              </w:rPr>
              <w:t>总投资（万元）</w:t>
            </w:r>
          </w:p>
        </w:tc>
        <w:tc>
          <w:tcPr>
            <w:tcW w:w="2669" w:type="dxa"/>
            <w:vAlign w:val="center"/>
          </w:tcPr>
          <w:p w14:paraId="6515282F">
            <w:pPr>
              <w:wordWrap w:val="0"/>
              <w:adjustRightInd w:val="0"/>
              <w:snapToGrid w:val="0"/>
              <w:jc w:val="center"/>
              <w:rPr>
                <w:rFonts w:hint="default" w:eastAsia="宋体" w:cs="宋体"/>
                <w:color w:val="auto"/>
                <w:sz w:val="24"/>
                <w:lang w:val="en-US" w:eastAsia="zh-CN"/>
              </w:rPr>
            </w:pPr>
            <w:r>
              <w:rPr>
                <w:rFonts w:hint="eastAsia" w:cs="宋体"/>
                <w:color w:val="auto"/>
                <w:sz w:val="24"/>
                <w:lang w:val="en-US" w:eastAsia="zh-CN"/>
              </w:rPr>
              <w:t>300</w:t>
            </w:r>
          </w:p>
        </w:tc>
        <w:tc>
          <w:tcPr>
            <w:tcW w:w="2120" w:type="dxa"/>
            <w:tcMar>
              <w:top w:w="16" w:type="dxa"/>
              <w:left w:w="16" w:type="dxa"/>
              <w:right w:w="16" w:type="dxa"/>
            </w:tcMar>
            <w:vAlign w:val="center"/>
          </w:tcPr>
          <w:p w14:paraId="77B36F4F">
            <w:pPr>
              <w:wordWrap w:val="0"/>
              <w:adjustRightInd w:val="0"/>
              <w:snapToGrid w:val="0"/>
              <w:jc w:val="center"/>
              <w:rPr>
                <w:rFonts w:cs="宋体"/>
                <w:b/>
                <w:bCs/>
                <w:color w:val="auto"/>
                <w:sz w:val="24"/>
              </w:rPr>
            </w:pPr>
            <w:r>
              <w:rPr>
                <w:rFonts w:hint="eastAsia" w:cs="宋体"/>
                <w:b/>
                <w:bCs/>
                <w:color w:val="auto"/>
                <w:sz w:val="24"/>
              </w:rPr>
              <w:t>环保投资（万元）</w:t>
            </w:r>
          </w:p>
        </w:tc>
        <w:tc>
          <w:tcPr>
            <w:tcW w:w="3221" w:type="dxa"/>
            <w:vAlign w:val="center"/>
          </w:tcPr>
          <w:p w14:paraId="39C21A8B">
            <w:pPr>
              <w:wordWrap w:val="0"/>
              <w:adjustRightInd w:val="0"/>
              <w:snapToGrid w:val="0"/>
              <w:jc w:val="center"/>
              <w:rPr>
                <w:rFonts w:hint="default" w:eastAsia="宋体" w:cs="宋体"/>
                <w:color w:val="auto"/>
                <w:sz w:val="24"/>
                <w:lang w:val="en-US" w:eastAsia="zh-CN"/>
              </w:rPr>
            </w:pPr>
            <w:r>
              <w:rPr>
                <w:rFonts w:hint="eastAsia" w:cs="宋体"/>
                <w:color w:val="auto"/>
                <w:sz w:val="24"/>
                <w:lang w:val="en-US" w:eastAsia="zh-CN"/>
              </w:rPr>
              <w:t>30</w:t>
            </w:r>
          </w:p>
        </w:tc>
      </w:tr>
      <w:tr w14:paraId="6E2E5D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57" w:type="dxa"/>
            <w:tcMar>
              <w:top w:w="16" w:type="dxa"/>
              <w:left w:w="16" w:type="dxa"/>
              <w:right w:w="16" w:type="dxa"/>
            </w:tcMar>
            <w:vAlign w:val="center"/>
          </w:tcPr>
          <w:p w14:paraId="0032F268">
            <w:pPr>
              <w:wordWrap w:val="0"/>
              <w:adjustRightInd w:val="0"/>
              <w:snapToGrid w:val="0"/>
              <w:jc w:val="center"/>
              <w:rPr>
                <w:rFonts w:cs="宋体"/>
                <w:b/>
                <w:bCs/>
                <w:color w:val="auto"/>
                <w:sz w:val="24"/>
              </w:rPr>
            </w:pPr>
            <w:r>
              <w:rPr>
                <w:rFonts w:hint="eastAsia" w:cs="宋体"/>
                <w:b/>
                <w:bCs/>
                <w:color w:val="auto"/>
                <w:sz w:val="24"/>
              </w:rPr>
              <w:t>环保投资占比（%）</w:t>
            </w:r>
          </w:p>
        </w:tc>
        <w:tc>
          <w:tcPr>
            <w:tcW w:w="2669" w:type="dxa"/>
            <w:vAlign w:val="center"/>
          </w:tcPr>
          <w:p w14:paraId="3D8A1F54">
            <w:pPr>
              <w:wordWrap w:val="0"/>
              <w:adjustRightInd w:val="0"/>
              <w:snapToGrid w:val="0"/>
              <w:jc w:val="center"/>
              <w:rPr>
                <w:rFonts w:hint="default" w:eastAsia="宋体" w:cs="宋体"/>
                <w:color w:val="auto"/>
                <w:sz w:val="24"/>
                <w:lang w:val="en-US" w:eastAsia="zh-CN"/>
              </w:rPr>
            </w:pPr>
            <w:r>
              <w:rPr>
                <w:rFonts w:hint="eastAsia" w:cs="宋体"/>
                <w:color w:val="auto"/>
                <w:sz w:val="24"/>
                <w:lang w:val="en-US" w:eastAsia="zh-CN"/>
              </w:rPr>
              <w:t>10</w:t>
            </w:r>
          </w:p>
        </w:tc>
        <w:tc>
          <w:tcPr>
            <w:tcW w:w="2120" w:type="dxa"/>
            <w:tcMar>
              <w:top w:w="16" w:type="dxa"/>
              <w:left w:w="16" w:type="dxa"/>
              <w:right w:w="16" w:type="dxa"/>
            </w:tcMar>
            <w:vAlign w:val="center"/>
          </w:tcPr>
          <w:p w14:paraId="76E09F0C">
            <w:pPr>
              <w:wordWrap w:val="0"/>
              <w:adjustRightInd w:val="0"/>
              <w:snapToGrid w:val="0"/>
              <w:jc w:val="center"/>
              <w:rPr>
                <w:rFonts w:cs="宋体"/>
                <w:b/>
                <w:bCs/>
                <w:color w:val="auto"/>
                <w:sz w:val="24"/>
              </w:rPr>
            </w:pPr>
            <w:r>
              <w:rPr>
                <w:rFonts w:hint="eastAsia" w:cs="宋体"/>
                <w:b/>
                <w:bCs/>
                <w:color w:val="auto"/>
                <w:sz w:val="24"/>
              </w:rPr>
              <w:t>施工工期</w:t>
            </w:r>
          </w:p>
        </w:tc>
        <w:tc>
          <w:tcPr>
            <w:tcW w:w="3221" w:type="dxa"/>
            <w:vAlign w:val="center"/>
          </w:tcPr>
          <w:p w14:paraId="22428D2B">
            <w:pPr>
              <w:wordWrap w:val="0"/>
              <w:adjustRightInd w:val="0"/>
              <w:snapToGrid w:val="0"/>
              <w:jc w:val="center"/>
              <w:rPr>
                <w:rFonts w:cs="宋体"/>
                <w:color w:val="auto"/>
                <w:sz w:val="24"/>
              </w:rPr>
            </w:pPr>
            <w:r>
              <w:rPr>
                <w:rFonts w:hint="eastAsia" w:cs="宋体"/>
                <w:color w:val="auto"/>
                <w:sz w:val="24"/>
              </w:rPr>
              <w:t>2个月</w:t>
            </w:r>
          </w:p>
        </w:tc>
      </w:tr>
      <w:tr w14:paraId="4C5807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57" w:type="dxa"/>
            <w:tcMar>
              <w:top w:w="16" w:type="dxa"/>
              <w:left w:w="16" w:type="dxa"/>
              <w:right w:w="16" w:type="dxa"/>
            </w:tcMar>
            <w:vAlign w:val="center"/>
          </w:tcPr>
          <w:p w14:paraId="03BA384F">
            <w:pPr>
              <w:wordWrap w:val="0"/>
              <w:adjustRightInd w:val="0"/>
              <w:snapToGrid w:val="0"/>
              <w:jc w:val="center"/>
              <w:rPr>
                <w:rFonts w:cs="宋体"/>
                <w:b/>
                <w:bCs/>
                <w:sz w:val="24"/>
              </w:rPr>
            </w:pPr>
            <w:r>
              <w:rPr>
                <w:rFonts w:hint="eastAsia" w:cs="宋体"/>
                <w:b/>
                <w:bCs/>
                <w:sz w:val="24"/>
              </w:rPr>
              <w:t>是否开工建设</w:t>
            </w:r>
          </w:p>
        </w:tc>
        <w:tc>
          <w:tcPr>
            <w:tcW w:w="2669" w:type="dxa"/>
            <w:vAlign w:val="center"/>
          </w:tcPr>
          <w:p w14:paraId="1A0EECF8">
            <w:pPr>
              <w:wordWrap w:val="0"/>
              <w:adjustRightInd w:val="0"/>
              <w:snapToGrid w:val="0"/>
              <w:rPr>
                <w:rFonts w:cs="宋体"/>
                <w:sz w:val="24"/>
              </w:rPr>
            </w:pPr>
            <w:r>
              <w:rPr>
                <w:rFonts w:hint="eastAsia" w:cs="宋体"/>
                <w:sz w:val="24"/>
              </w:rPr>
              <w:t>☑否</w:t>
            </w:r>
          </w:p>
          <w:p w14:paraId="49A59765">
            <w:pPr>
              <w:wordWrap w:val="0"/>
              <w:adjustRightInd w:val="0"/>
              <w:snapToGrid w:val="0"/>
              <w:rPr>
                <w:rFonts w:cs="宋体"/>
                <w:sz w:val="24"/>
                <w:u w:val="single"/>
              </w:rPr>
            </w:pPr>
            <w:r>
              <w:rPr>
                <w:rFonts w:hint="eastAsia" w:cs="宋体"/>
                <w:sz w:val="24"/>
              </w:rPr>
              <w:t>□是：</w:t>
            </w:r>
          </w:p>
        </w:tc>
        <w:tc>
          <w:tcPr>
            <w:tcW w:w="2120" w:type="dxa"/>
            <w:tcMar>
              <w:top w:w="16" w:type="dxa"/>
              <w:left w:w="16" w:type="dxa"/>
              <w:right w:w="16" w:type="dxa"/>
            </w:tcMar>
            <w:vAlign w:val="center"/>
          </w:tcPr>
          <w:p w14:paraId="70ADEB75">
            <w:pPr>
              <w:wordWrap w:val="0"/>
              <w:adjustRightInd w:val="0"/>
              <w:snapToGrid w:val="0"/>
              <w:jc w:val="center"/>
              <w:rPr>
                <w:rFonts w:cs="宋体"/>
                <w:b/>
                <w:bCs/>
                <w:spacing w:val="-6"/>
                <w:sz w:val="24"/>
              </w:rPr>
            </w:pPr>
            <w:r>
              <w:rPr>
                <w:rFonts w:hint="eastAsia" w:cs="宋体"/>
                <w:b/>
                <w:bCs/>
                <w:spacing w:val="-6"/>
                <w:sz w:val="24"/>
              </w:rPr>
              <w:t>用地（用海）</w:t>
            </w:r>
          </w:p>
          <w:p w14:paraId="5B2EEBAD">
            <w:pPr>
              <w:wordWrap w:val="0"/>
              <w:adjustRightInd w:val="0"/>
              <w:snapToGrid w:val="0"/>
              <w:jc w:val="center"/>
              <w:rPr>
                <w:rFonts w:cs="宋体"/>
                <w:sz w:val="24"/>
              </w:rPr>
            </w:pPr>
            <w:r>
              <w:rPr>
                <w:rFonts w:hint="eastAsia" w:cs="宋体"/>
                <w:b/>
                <w:bCs/>
                <w:spacing w:val="-6"/>
                <w:sz w:val="24"/>
              </w:rPr>
              <w:t>面积（m</w:t>
            </w:r>
            <w:r>
              <w:rPr>
                <w:rFonts w:hint="eastAsia" w:cs="宋体"/>
                <w:b/>
                <w:bCs/>
                <w:spacing w:val="-6"/>
                <w:sz w:val="24"/>
                <w:vertAlign w:val="superscript"/>
              </w:rPr>
              <w:t>2</w:t>
            </w:r>
            <w:r>
              <w:rPr>
                <w:rFonts w:hint="eastAsia" w:cs="宋体"/>
                <w:b/>
                <w:bCs/>
                <w:spacing w:val="-6"/>
                <w:sz w:val="24"/>
              </w:rPr>
              <w:t>）</w:t>
            </w:r>
          </w:p>
        </w:tc>
        <w:tc>
          <w:tcPr>
            <w:tcW w:w="3221" w:type="dxa"/>
            <w:vAlign w:val="center"/>
          </w:tcPr>
          <w:p w14:paraId="32143593">
            <w:pPr>
              <w:wordWrap w:val="0"/>
              <w:adjustRightInd w:val="0"/>
              <w:snapToGrid w:val="0"/>
              <w:jc w:val="center"/>
              <w:rPr>
                <w:rFonts w:cs="宋体"/>
                <w:sz w:val="24"/>
              </w:rPr>
            </w:pPr>
            <w:r>
              <w:rPr>
                <w:rFonts w:hint="eastAsia" w:cs="宋体"/>
                <w:sz w:val="24"/>
              </w:rPr>
              <w:t>0（依托现有车间闲置区域，不新增用地）</w:t>
            </w:r>
          </w:p>
        </w:tc>
      </w:tr>
      <w:tr w14:paraId="29233D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57" w:type="dxa"/>
            <w:vAlign w:val="center"/>
          </w:tcPr>
          <w:p w14:paraId="6818C4E1">
            <w:pPr>
              <w:wordWrap w:val="0"/>
              <w:autoSpaceDE w:val="0"/>
              <w:autoSpaceDN w:val="0"/>
              <w:adjustRightInd w:val="0"/>
              <w:snapToGrid w:val="0"/>
              <w:jc w:val="center"/>
              <w:rPr>
                <w:rFonts w:cs="宋体"/>
                <w:b/>
                <w:bCs/>
                <w:kern w:val="0"/>
                <w:sz w:val="24"/>
              </w:rPr>
            </w:pPr>
            <w:r>
              <w:rPr>
                <w:rFonts w:hint="eastAsia" w:cs="宋体"/>
                <w:b/>
                <w:bCs/>
                <w:kern w:val="0"/>
                <w:sz w:val="24"/>
              </w:rPr>
              <w:t>专项评价设置情况</w:t>
            </w:r>
          </w:p>
        </w:tc>
        <w:tc>
          <w:tcPr>
            <w:tcW w:w="8010" w:type="dxa"/>
            <w:gridSpan w:val="3"/>
            <w:vAlign w:val="center"/>
          </w:tcPr>
          <w:p w14:paraId="1945E307">
            <w:pPr>
              <w:pStyle w:val="111"/>
              <w:rPr>
                <w:rFonts w:hint="default"/>
                <w:color w:val="auto"/>
              </w:rPr>
            </w:pPr>
            <w:r>
              <w:rPr>
                <w:color w:val="auto"/>
              </w:rPr>
              <w:t>无</w:t>
            </w:r>
          </w:p>
        </w:tc>
      </w:tr>
      <w:tr w14:paraId="5CEA90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57" w:type="dxa"/>
            <w:vAlign w:val="center"/>
          </w:tcPr>
          <w:p w14:paraId="47FF811B">
            <w:pPr>
              <w:wordWrap w:val="0"/>
              <w:autoSpaceDE w:val="0"/>
              <w:autoSpaceDN w:val="0"/>
              <w:adjustRightInd w:val="0"/>
              <w:snapToGrid w:val="0"/>
              <w:jc w:val="center"/>
              <w:rPr>
                <w:rFonts w:cs="宋体"/>
                <w:b/>
                <w:bCs/>
                <w:kern w:val="0"/>
                <w:sz w:val="24"/>
              </w:rPr>
            </w:pPr>
            <w:r>
              <w:rPr>
                <w:rFonts w:hint="eastAsia" w:cs="宋体"/>
                <w:b/>
                <w:bCs/>
                <w:sz w:val="24"/>
              </w:rPr>
              <w:t>规划情况</w:t>
            </w:r>
          </w:p>
        </w:tc>
        <w:tc>
          <w:tcPr>
            <w:tcW w:w="8010" w:type="dxa"/>
            <w:gridSpan w:val="3"/>
            <w:shd w:val="clear" w:color="auto" w:fill="auto"/>
            <w:vAlign w:val="center"/>
          </w:tcPr>
          <w:p w14:paraId="3008D72E">
            <w:pPr>
              <w:pStyle w:val="111"/>
              <w:rPr>
                <w:rFonts w:hint="default"/>
                <w:color w:val="auto"/>
              </w:rPr>
            </w:pPr>
            <w:r>
              <w:rPr>
                <w:color w:val="auto"/>
              </w:rPr>
              <w:t>规划名称：《蔡家坡经济技术开发区总体规划》（2024-2035）</w:t>
            </w:r>
          </w:p>
          <w:p w14:paraId="5E33C88A">
            <w:pPr>
              <w:pStyle w:val="111"/>
              <w:rPr>
                <w:rFonts w:hint="default"/>
                <w:color w:val="auto"/>
              </w:rPr>
            </w:pPr>
            <w:r>
              <w:rPr>
                <w:color w:val="auto"/>
              </w:rPr>
              <w:t>审批机关：陕西省人民政府</w:t>
            </w:r>
          </w:p>
          <w:p w14:paraId="03A14541">
            <w:pPr>
              <w:pStyle w:val="111"/>
              <w:rPr>
                <w:rFonts w:hint="default"/>
                <w:color w:val="auto"/>
              </w:rPr>
            </w:pPr>
            <w:r>
              <w:rPr>
                <w:color w:val="auto"/>
              </w:rPr>
              <w:t>审查文号：《陕西省人民政府关于蔡家坡经济技术开发区调区扩区的批复》陕政函〔2024〕130号</w:t>
            </w:r>
          </w:p>
        </w:tc>
      </w:tr>
      <w:tr w14:paraId="60ED33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57" w:type="dxa"/>
            <w:vAlign w:val="center"/>
          </w:tcPr>
          <w:p w14:paraId="2DB28554">
            <w:pPr>
              <w:wordWrap w:val="0"/>
              <w:adjustRightInd w:val="0"/>
              <w:snapToGrid w:val="0"/>
              <w:jc w:val="center"/>
              <w:rPr>
                <w:rFonts w:cs="宋体"/>
                <w:b/>
                <w:bCs/>
                <w:kern w:val="0"/>
                <w:sz w:val="24"/>
              </w:rPr>
            </w:pPr>
            <w:r>
              <w:rPr>
                <w:rFonts w:hint="eastAsia" w:cs="宋体"/>
                <w:b/>
                <w:bCs/>
                <w:sz w:val="24"/>
              </w:rPr>
              <w:t>规划环境影响评价情况</w:t>
            </w:r>
          </w:p>
        </w:tc>
        <w:tc>
          <w:tcPr>
            <w:tcW w:w="8010" w:type="dxa"/>
            <w:gridSpan w:val="3"/>
            <w:shd w:val="clear" w:color="auto" w:fill="auto"/>
            <w:vAlign w:val="center"/>
          </w:tcPr>
          <w:p w14:paraId="34B1AD0D">
            <w:pPr>
              <w:pStyle w:val="111"/>
              <w:rPr>
                <w:rFonts w:hint="default"/>
                <w:color w:val="auto"/>
              </w:rPr>
            </w:pPr>
            <w:r>
              <w:rPr>
                <w:color w:val="auto"/>
              </w:rPr>
              <w:t>文件名称：《蔡家坡经济技术开发区总体规划（2024-2035）环境影响报告书》</w:t>
            </w:r>
          </w:p>
          <w:p w14:paraId="1F4894C8">
            <w:pPr>
              <w:pStyle w:val="111"/>
              <w:rPr>
                <w:rFonts w:hint="default"/>
                <w:color w:val="auto"/>
              </w:rPr>
            </w:pPr>
            <w:r>
              <w:rPr>
                <w:color w:val="auto"/>
              </w:rPr>
              <w:t>审查机关：陕西省生态环境厅</w:t>
            </w:r>
          </w:p>
          <w:p w14:paraId="3E8073F4">
            <w:pPr>
              <w:pStyle w:val="111"/>
              <w:rPr>
                <w:rFonts w:hint="default"/>
                <w:color w:val="auto"/>
              </w:rPr>
            </w:pPr>
            <w:r>
              <w:rPr>
                <w:color w:val="auto"/>
              </w:rPr>
              <w:t>审查文号：陕环环评函〔2024〕113号</w:t>
            </w:r>
          </w:p>
        </w:tc>
      </w:tr>
      <w:tr w14:paraId="2AF2A1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57" w:type="dxa"/>
            <w:vAlign w:val="center"/>
          </w:tcPr>
          <w:p w14:paraId="06DAC9FF">
            <w:pPr>
              <w:wordWrap w:val="0"/>
              <w:adjustRightInd w:val="0"/>
              <w:snapToGrid w:val="0"/>
              <w:jc w:val="center"/>
              <w:rPr>
                <w:rFonts w:cs="宋体"/>
                <w:b/>
                <w:bCs/>
                <w:sz w:val="24"/>
              </w:rPr>
            </w:pPr>
            <w:r>
              <w:rPr>
                <w:rFonts w:hint="eastAsia" w:cs="宋体"/>
                <w:b/>
                <w:bCs/>
                <w:sz w:val="24"/>
              </w:rPr>
              <w:t>规划及规划环境影响评价符合性分析</w:t>
            </w:r>
          </w:p>
        </w:tc>
        <w:tc>
          <w:tcPr>
            <w:tcW w:w="8010" w:type="dxa"/>
            <w:gridSpan w:val="3"/>
            <w:shd w:val="clear" w:color="auto" w:fill="auto"/>
            <w:vAlign w:val="center"/>
          </w:tcPr>
          <w:p w14:paraId="1283F69C">
            <w:pPr>
              <w:pStyle w:val="111"/>
              <w:numPr>
                <w:ilvl w:val="0"/>
                <w:numId w:val="5"/>
              </w:numPr>
              <w:ind w:firstLine="482"/>
              <w:rPr>
                <w:rFonts w:hint="default"/>
                <w:b/>
                <w:bCs/>
                <w:color w:val="auto"/>
              </w:rPr>
            </w:pPr>
            <w:r>
              <w:rPr>
                <w:b/>
                <w:bCs/>
                <w:color w:val="auto"/>
              </w:rPr>
              <w:t>规划符合性分析</w:t>
            </w:r>
          </w:p>
          <w:p w14:paraId="6B987046">
            <w:pPr>
              <w:pStyle w:val="57"/>
              <w:rPr>
                <w:lang w:val="en-US"/>
              </w:rPr>
            </w:pPr>
            <w:r>
              <w:rPr>
                <w:rFonts w:hint="eastAsia"/>
                <w:lang w:val="en-US"/>
              </w:rPr>
              <w:t>表1-1 与规划符合性分析</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4223"/>
              <w:gridCol w:w="1912"/>
              <w:gridCol w:w="731"/>
            </w:tblGrid>
            <w:tr w14:paraId="1A756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3" w:type="dxa"/>
                  <w:vAlign w:val="center"/>
                </w:tcPr>
                <w:p w14:paraId="521810B5">
                  <w:pPr>
                    <w:pStyle w:val="57"/>
                    <w:rPr>
                      <w:lang w:val="en-US"/>
                    </w:rPr>
                  </w:pPr>
                  <w:r>
                    <w:t>文件</w:t>
                  </w:r>
                </w:p>
              </w:tc>
              <w:tc>
                <w:tcPr>
                  <w:tcW w:w="4226" w:type="dxa"/>
                  <w:vAlign w:val="center"/>
                </w:tcPr>
                <w:p w14:paraId="0045E386">
                  <w:pPr>
                    <w:pStyle w:val="57"/>
                    <w:rPr>
                      <w:lang w:val="en-US"/>
                    </w:rPr>
                  </w:pPr>
                  <w:r>
                    <w:t>要求</w:t>
                  </w:r>
                </w:p>
              </w:tc>
              <w:tc>
                <w:tcPr>
                  <w:tcW w:w="1913" w:type="dxa"/>
                  <w:vAlign w:val="center"/>
                </w:tcPr>
                <w:p w14:paraId="14363126">
                  <w:pPr>
                    <w:pStyle w:val="57"/>
                    <w:rPr>
                      <w:lang w:val="en-US"/>
                    </w:rPr>
                  </w:pPr>
                  <w:r>
                    <w:rPr>
                      <w:lang w:val="zh-CN"/>
                    </w:rPr>
                    <w:t>本项目情况</w:t>
                  </w:r>
                </w:p>
              </w:tc>
              <w:tc>
                <w:tcPr>
                  <w:tcW w:w="730" w:type="dxa"/>
                  <w:vAlign w:val="center"/>
                </w:tcPr>
                <w:p w14:paraId="7E082B63">
                  <w:pPr>
                    <w:pStyle w:val="57"/>
                    <w:rPr>
                      <w:lang w:val="en-US"/>
                    </w:rPr>
                  </w:pPr>
                  <w:r>
                    <w:t>相符性</w:t>
                  </w:r>
                </w:p>
              </w:tc>
            </w:tr>
            <w:tr w14:paraId="2A51E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3" w:type="dxa"/>
                  <w:vMerge w:val="restart"/>
                  <w:vAlign w:val="center"/>
                </w:tcPr>
                <w:p w14:paraId="23F450C3">
                  <w:pPr>
                    <w:pStyle w:val="57"/>
                    <w:rPr>
                      <w:b w:val="0"/>
                      <w:bCs/>
                    </w:rPr>
                  </w:pPr>
                  <w:r>
                    <w:rPr>
                      <w:rFonts w:hint="eastAsia"/>
                      <w:b w:val="0"/>
                      <w:bCs/>
                      <w:lang w:val="en-US"/>
                    </w:rPr>
                    <w:t>《蔡家坡经济技术开发区总体规划》（2024-2035）</w:t>
                  </w:r>
                </w:p>
              </w:tc>
              <w:tc>
                <w:tcPr>
                  <w:tcW w:w="4226" w:type="dxa"/>
                  <w:vAlign w:val="center"/>
                </w:tcPr>
                <w:p w14:paraId="6ECB0CB9">
                  <w:pPr>
                    <w:pStyle w:val="57"/>
                    <w:jc w:val="both"/>
                    <w:rPr>
                      <w:b w:val="0"/>
                      <w:bCs/>
                    </w:rPr>
                  </w:pPr>
                  <w:r>
                    <w:rPr>
                      <w:rFonts w:hint="eastAsia"/>
                      <w:b w:val="0"/>
                      <w:bCs/>
                      <w:lang w:val="en-US"/>
                    </w:rPr>
                    <w:t>规划范围：蔡家坡经济技术开发区规划面积952.39公顷，由两个区块组成。区块一182.91公顷：东至水城三国小镇，南至众喜路，西至法士特大桥，北至连霍高速。区块二769.48公顷：东至石头河，南至南环路以南200米，西至法士特大道，北至德馨路。</w:t>
                  </w:r>
                </w:p>
              </w:tc>
              <w:tc>
                <w:tcPr>
                  <w:tcW w:w="1913" w:type="dxa"/>
                  <w:vAlign w:val="center"/>
                </w:tcPr>
                <w:p w14:paraId="7EB404C6">
                  <w:pPr>
                    <w:pStyle w:val="57"/>
                    <w:rPr>
                      <w:b w:val="0"/>
                      <w:bCs/>
                      <w:lang w:val="zh-CN"/>
                    </w:rPr>
                  </w:pPr>
                  <w:r>
                    <w:rPr>
                      <w:rFonts w:hint="eastAsia"/>
                      <w:b w:val="0"/>
                      <w:bCs/>
                      <w:lang w:val="en-US"/>
                    </w:rPr>
                    <w:t>本项目位于</w:t>
                  </w:r>
                  <w:r>
                    <w:rPr>
                      <w:b w:val="0"/>
                      <w:bCs/>
                      <w:lang w:val="zh-CN"/>
                    </w:rPr>
                    <w:t>宝鸡市岐山县蔡家坡经济技术开发区百万平米标准化厂房产业园2-8#、4-20＃、4-22＃标准厂房</w:t>
                  </w:r>
                  <w:r>
                    <w:rPr>
                      <w:rFonts w:hint="eastAsia"/>
                      <w:b w:val="0"/>
                      <w:bCs/>
                      <w:lang w:val="zh-CN"/>
                    </w:rPr>
                    <w:t>，属于规划范围内</w:t>
                  </w:r>
                </w:p>
              </w:tc>
              <w:tc>
                <w:tcPr>
                  <w:tcW w:w="730" w:type="dxa"/>
                  <w:vAlign w:val="center"/>
                </w:tcPr>
                <w:p w14:paraId="5B280B9A">
                  <w:pPr>
                    <w:pStyle w:val="57"/>
                    <w:rPr>
                      <w:b w:val="0"/>
                      <w:bCs/>
                      <w:lang w:val="en-US"/>
                    </w:rPr>
                  </w:pPr>
                  <w:r>
                    <w:rPr>
                      <w:rFonts w:hint="eastAsia"/>
                      <w:b w:val="0"/>
                      <w:bCs/>
                      <w:lang w:val="en-US"/>
                    </w:rPr>
                    <w:t>相符</w:t>
                  </w:r>
                </w:p>
              </w:tc>
            </w:tr>
            <w:tr w14:paraId="39FFC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3" w:type="dxa"/>
                  <w:vMerge w:val="continue"/>
                  <w:vAlign w:val="center"/>
                </w:tcPr>
                <w:p w14:paraId="24126B66">
                  <w:pPr>
                    <w:pStyle w:val="57"/>
                    <w:rPr>
                      <w:b w:val="0"/>
                      <w:bCs/>
                      <w:lang w:val="en-US"/>
                    </w:rPr>
                  </w:pPr>
                </w:p>
              </w:tc>
              <w:tc>
                <w:tcPr>
                  <w:tcW w:w="4226" w:type="dxa"/>
                  <w:vAlign w:val="center"/>
                </w:tcPr>
                <w:p w14:paraId="71AEFE98">
                  <w:pPr>
                    <w:pStyle w:val="57"/>
                    <w:jc w:val="both"/>
                    <w:rPr>
                      <w:b w:val="0"/>
                      <w:bCs/>
                      <w:lang w:val="en-US"/>
                    </w:rPr>
                  </w:pPr>
                  <w:r>
                    <w:rPr>
                      <w:rFonts w:hint="eastAsia"/>
                      <w:b w:val="0"/>
                      <w:bCs/>
                      <w:lang w:val="en-US"/>
                    </w:rPr>
                    <w:t>产业空间布局三大产业园，分别为汽车产业园、智能制造装备产业园和新材料产业</w:t>
                  </w:r>
                </w:p>
                <w:p w14:paraId="616A058D">
                  <w:pPr>
                    <w:pStyle w:val="57"/>
                    <w:jc w:val="both"/>
                    <w:rPr>
                      <w:b w:val="0"/>
                      <w:bCs/>
                      <w:lang w:val="en-US"/>
                    </w:rPr>
                  </w:pPr>
                  <w:r>
                    <w:rPr>
                      <w:rFonts w:hint="eastAsia"/>
                      <w:b w:val="0"/>
                      <w:bCs/>
                      <w:lang w:val="en-US"/>
                    </w:rPr>
                    <w:t>园。</w:t>
                  </w:r>
                </w:p>
              </w:tc>
              <w:tc>
                <w:tcPr>
                  <w:tcW w:w="1913" w:type="dxa"/>
                  <w:vAlign w:val="center"/>
                </w:tcPr>
                <w:p w14:paraId="3B63E7A3">
                  <w:pPr>
                    <w:pStyle w:val="57"/>
                    <w:rPr>
                      <w:b w:val="0"/>
                      <w:bCs/>
                      <w:lang w:val="en-US"/>
                    </w:rPr>
                  </w:pPr>
                  <w:r>
                    <w:rPr>
                      <w:rFonts w:hint="eastAsia"/>
                      <w:b w:val="0"/>
                      <w:bCs/>
                      <w:lang w:val="en-US"/>
                    </w:rPr>
                    <w:t>本项目位于汽车产业园内，于2022年建成投运，为规划区内现有企业，予以保留。</w:t>
                  </w:r>
                </w:p>
              </w:tc>
              <w:tc>
                <w:tcPr>
                  <w:tcW w:w="730" w:type="dxa"/>
                  <w:vAlign w:val="center"/>
                </w:tcPr>
                <w:p w14:paraId="02BA23E6">
                  <w:pPr>
                    <w:pStyle w:val="57"/>
                    <w:rPr>
                      <w:b w:val="0"/>
                      <w:bCs/>
                      <w:lang w:val="en-US"/>
                    </w:rPr>
                  </w:pPr>
                  <w:r>
                    <w:rPr>
                      <w:rFonts w:hint="eastAsia"/>
                      <w:b w:val="0"/>
                      <w:bCs/>
                      <w:lang w:val="en-US"/>
                    </w:rPr>
                    <w:t>相符</w:t>
                  </w:r>
                </w:p>
              </w:tc>
            </w:tr>
            <w:tr w14:paraId="2676A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3" w:type="dxa"/>
                  <w:vMerge w:val="continue"/>
                  <w:vAlign w:val="center"/>
                </w:tcPr>
                <w:p w14:paraId="25700289">
                  <w:pPr>
                    <w:pStyle w:val="57"/>
                    <w:rPr>
                      <w:b w:val="0"/>
                      <w:bCs/>
                      <w:lang w:val="en-US"/>
                    </w:rPr>
                  </w:pPr>
                </w:p>
              </w:tc>
              <w:tc>
                <w:tcPr>
                  <w:tcW w:w="4226" w:type="dxa"/>
                  <w:vAlign w:val="center"/>
                </w:tcPr>
                <w:p w14:paraId="551E068E">
                  <w:pPr>
                    <w:pStyle w:val="57"/>
                    <w:jc w:val="both"/>
                    <w:rPr>
                      <w:b w:val="0"/>
                      <w:bCs/>
                      <w:lang w:val="en-US"/>
                    </w:rPr>
                  </w:pPr>
                  <w:r>
                    <w:rPr>
                      <w:rFonts w:hint="eastAsia"/>
                      <w:b w:val="0"/>
                      <w:bCs/>
                      <w:lang w:val="en-US"/>
                    </w:rPr>
                    <w:t>规划产业定位：</w:t>
                  </w:r>
                </w:p>
                <w:p w14:paraId="7BEE45AE">
                  <w:pPr>
                    <w:pStyle w:val="57"/>
                    <w:jc w:val="both"/>
                    <w:rPr>
                      <w:b w:val="0"/>
                      <w:bCs/>
                      <w:lang w:val="en-US"/>
                    </w:rPr>
                  </w:pPr>
                  <w:r>
                    <w:rPr>
                      <w:rFonts w:hint="eastAsia"/>
                      <w:b w:val="0"/>
                      <w:bCs/>
                      <w:lang w:val="en-US" w:eastAsia="zh-CN"/>
                    </w:rPr>
                    <w:t>1.</w:t>
                  </w:r>
                  <w:r>
                    <w:rPr>
                      <w:rFonts w:hint="eastAsia"/>
                      <w:b w:val="0"/>
                      <w:bCs/>
                      <w:lang w:val="en-US"/>
                    </w:rPr>
                    <w:t>做强汽车产业</w:t>
                  </w:r>
                </w:p>
                <w:p w14:paraId="7EF42B14">
                  <w:pPr>
                    <w:pStyle w:val="57"/>
                    <w:jc w:val="both"/>
                    <w:rPr>
                      <w:b w:val="0"/>
                      <w:bCs/>
                      <w:lang w:val="en-US"/>
                    </w:rPr>
                  </w:pPr>
                  <w:r>
                    <w:rPr>
                      <w:rFonts w:hint="eastAsia"/>
                      <w:b w:val="0"/>
                      <w:bCs/>
                      <w:lang w:val="en-US"/>
                    </w:rPr>
                    <w:t>重点发展专用车、商用车整车制造。持续发展多元应用场景的高性能专用车。聚焦发展全系列重中轻型卡车。大力发展关键总成为核心的汽车零部件。重点发展以车桥为核心的底盘系统。提升发展以车身壳体、汽车座椅、汽车饰件为核心的车身系统。积极布局新能源汽车零部件。培育发展汽车电子电器。</w:t>
                  </w:r>
                </w:p>
                <w:p w14:paraId="78259CAB">
                  <w:pPr>
                    <w:pStyle w:val="57"/>
                    <w:jc w:val="both"/>
                    <w:rPr>
                      <w:b w:val="0"/>
                      <w:bCs/>
                      <w:lang w:val="en-US"/>
                    </w:rPr>
                  </w:pPr>
                  <w:r>
                    <w:rPr>
                      <w:rFonts w:hint="eastAsia"/>
                      <w:b w:val="0"/>
                      <w:bCs/>
                      <w:lang w:val="en-US" w:eastAsia="zh-CN"/>
                    </w:rPr>
                    <w:t>2.</w:t>
                  </w:r>
                  <w:r>
                    <w:rPr>
                      <w:rFonts w:hint="eastAsia"/>
                      <w:b w:val="0"/>
                      <w:bCs/>
                      <w:lang w:val="en-US"/>
                    </w:rPr>
                    <w:t>做优新材料产业</w:t>
                  </w:r>
                </w:p>
                <w:p w14:paraId="55F83671">
                  <w:pPr>
                    <w:pStyle w:val="57"/>
                    <w:jc w:val="both"/>
                    <w:rPr>
                      <w:b w:val="0"/>
                      <w:bCs/>
                      <w:lang w:val="en-US"/>
                    </w:rPr>
                  </w:pPr>
                  <w:r>
                    <w:rPr>
                      <w:rFonts w:hint="eastAsia"/>
                      <w:b w:val="0"/>
                      <w:bCs/>
                      <w:lang w:val="en-US"/>
                    </w:rPr>
                    <w:t>完善钛及钛合金产业链条。</w:t>
                  </w:r>
                  <w:r>
                    <w:rPr>
                      <w:rFonts w:hint="eastAsia"/>
                      <w:lang w:val="en-US"/>
                    </w:rPr>
                    <w:t>培育发展钽、铌、钨等稀有金属材料。</w:t>
                  </w:r>
                  <w:r>
                    <w:rPr>
                      <w:rFonts w:hint="eastAsia"/>
                      <w:b w:val="0"/>
                      <w:bCs/>
                      <w:lang w:val="en-US"/>
                    </w:rPr>
                    <w:t>提升发展高性能塑料、高性能橡胶、高性能纤维、新型建材等高性能复合材料。探索布局能源新材料、电子新材料等关键战略材料及前沿新材料。</w:t>
                  </w:r>
                </w:p>
                <w:p w14:paraId="2E4D83AA">
                  <w:pPr>
                    <w:pStyle w:val="57"/>
                    <w:jc w:val="both"/>
                    <w:rPr>
                      <w:b w:val="0"/>
                      <w:bCs/>
                      <w:lang w:val="en-US"/>
                    </w:rPr>
                  </w:pPr>
                  <w:r>
                    <w:rPr>
                      <w:rFonts w:hint="eastAsia"/>
                      <w:b w:val="0"/>
                      <w:bCs/>
                      <w:lang w:val="en-US" w:eastAsia="zh-CN"/>
                    </w:rPr>
                    <w:t>3.</w:t>
                  </w:r>
                  <w:r>
                    <w:rPr>
                      <w:rFonts w:hint="eastAsia"/>
                      <w:b w:val="0"/>
                      <w:bCs/>
                      <w:lang w:val="en-US"/>
                    </w:rPr>
                    <w:t>做大智能制造装备产业智能化转型。重点发展高端数控机床、工业机器人、智能检测装备三类智能制造装备。同步推进电力、环保等专用装备及相关通用零部件智能化转型。</w:t>
                  </w:r>
                </w:p>
              </w:tc>
              <w:tc>
                <w:tcPr>
                  <w:tcW w:w="1913" w:type="dxa"/>
                  <w:vMerge w:val="restart"/>
                  <w:vAlign w:val="center"/>
                </w:tcPr>
                <w:p w14:paraId="6EC0D8D6">
                  <w:pPr>
                    <w:pStyle w:val="57"/>
                    <w:rPr>
                      <w:b w:val="0"/>
                      <w:bCs/>
                      <w:lang w:val="en-US"/>
                    </w:rPr>
                  </w:pPr>
                  <w:r>
                    <w:rPr>
                      <w:b w:val="0"/>
                      <w:bCs/>
                      <w:lang w:val="zh-CN"/>
                    </w:rPr>
                    <w:t>本项目为 C3340金属丝绳及其制品制造行业，</w:t>
                  </w:r>
                  <w:r>
                    <w:rPr>
                      <w:rFonts w:hint="eastAsia"/>
                      <w:b w:val="0"/>
                      <w:bCs/>
                      <w:lang w:val="en-US"/>
                    </w:rPr>
                    <w:t>产品为光伏用钨丝钢线，</w:t>
                  </w:r>
                  <w:r>
                    <w:rPr>
                      <w:b w:val="0"/>
                      <w:bCs/>
                      <w:lang w:val="zh-CN"/>
                    </w:rPr>
                    <w:t>属于钨金属材料，符合规划产业定位。</w:t>
                  </w:r>
                </w:p>
              </w:tc>
              <w:tc>
                <w:tcPr>
                  <w:tcW w:w="730" w:type="dxa"/>
                  <w:vAlign w:val="center"/>
                </w:tcPr>
                <w:p w14:paraId="774B7FE7">
                  <w:pPr>
                    <w:pStyle w:val="57"/>
                    <w:rPr>
                      <w:b w:val="0"/>
                      <w:bCs/>
                    </w:rPr>
                  </w:pPr>
                  <w:r>
                    <w:rPr>
                      <w:rFonts w:hint="eastAsia"/>
                      <w:b w:val="0"/>
                      <w:bCs/>
                      <w:lang w:val="en-US"/>
                    </w:rPr>
                    <w:t>相符</w:t>
                  </w:r>
                </w:p>
              </w:tc>
            </w:tr>
            <w:tr w14:paraId="172F8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3" w:type="dxa"/>
                  <w:vMerge w:val="continue"/>
                  <w:vAlign w:val="center"/>
                </w:tcPr>
                <w:p w14:paraId="31B0F87B">
                  <w:pPr>
                    <w:pStyle w:val="57"/>
                    <w:rPr>
                      <w:b w:val="0"/>
                      <w:bCs/>
                      <w:lang w:val="en-US"/>
                    </w:rPr>
                  </w:pPr>
                </w:p>
              </w:tc>
              <w:tc>
                <w:tcPr>
                  <w:tcW w:w="4226" w:type="dxa"/>
                  <w:vAlign w:val="center"/>
                </w:tcPr>
                <w:p w14:paraId="6D394BEA">
                  <w:pPr>
                    <w:pStyle w:val="57"/>
                    <w:jc w:val="both"/>
                    <w:rPr>
                      <w:b w:val="0"/>
                      <w:bCs/>
                      <w:lang w:val="en-US"/>
                    </w:rPr>
                  </w:pPr>
                  <w:r>
                    <w:rPr>
                      <w:rFonts w:hint="eastAsia"/>
                      <w:b w:val="0"/>
                      <w:bCs/>
                      <w:lang w:val="en-US"/>
                    </w:rPr>
                    <w:t>推动钨丝产业化生产。加快美畅钨材料超强超细钨丝新材料生产线建设拓展布局高性能耐震钨丝、抗震耐热钨丝等产品。</w:t>
                  </w:r>
                </w:p>
              </w:tc>
              <w:tc>
                <w:tcPr>
                  <w:tcW w:w="1913" w:type="dxa"/>
                  <w:vMerge w:val="continue"/>
                  <w:vAlign w:val="center"/>
                </w:tcPr>
                <w:p w14:paraId="4A2249EA">
                  <w:pPr>
                    <w:pStyle w:val="57"/>
                    <w:rPr>
                      <w:b w:val="0"/>
                      <w:bCs/>
                      <w:lang w:val="zh-CN"/>
                    </w:rPr>
                  </w:pPr>
                </w:p>
              </w:tc>
              <w:tc>
                <w:tcPr>
                  <w:tcW w:w="730" w:type="dxa"/>
                  <w:vAlign w:val="center"/>
                </w:tcPr>
                <w:p w14:paraId="207A843B">
                  <w:pPr>
                    <w:pStyle w:val="57"/>
                    <w:rPr>
                      <w:b w:val="0"/>
                      <w:bCs/>
                      <w:lang w:val="en-US"/>
                    </w:rPr>
                  </w:pPr>
                  <w:r>
                    <w:rPr>
                      <w:rFonts w:hint="eastAsia"/>
                      <w:b w:val="0"/>
                      <w:bCs/>
                      <w:lang w:val="en-US"/>
                    </w:rPr>
                    <w:t>相符</w:t>
                  </w:r>
                </w:p>
              </w:tc>
            </w:tr>
          </w:tbl>
          <w:p w14:paraId="15411584">
            <w:pPr>
              <w:pStyle w:val="111"/>
              <w:ind w:firstLine="482"/>
              <w:rPr>
                <w:rFonts w:hint="default"/>
                <w:b/>
                <w:bCs/>
                <w:color w:val="auto"/>
              </w:rPr>
            </w:pPr>
            <w:r>
              <w:rPr>
                <w:rFonts w:hint="eastAsia"/>
                <w:b/>
                <w:bCs/>
                <w:color w:val="auto"/>
                <w:lang w:eastAsia="zh-CN"/>
              </w:rPr>
              <w:t>2.</w:t>
            </w:r>
            <w:r>
              <w:rPr>
                <w:b/>
                <w:bCs/>
                <w:color w:val="auto"/>
              </w:rPr>
              <w:t>与规划环境影响评价及其审查意见符合性分析</w:t>
            </w:r>
          </w:p>
          <w:p w14:paraId="7CE329FD">
            <w:pPr>
              <w:pStyle w:val="57"/>
              <w:rPr>
                <w:lang w:val="en-US"/>
              </w:rPr>
            </w:pPr>
            <w:r>
              <w:rPr>
                <w:rFonts w:hint="eastAsia"/>
                <w:lang w:val="en-US"/>
              </w:rPr>
              <w:t>表1-2与规划环境影响评价及其审查意见符合性分析</w:t>
            </w:r>
          </w:p>
          <w:tbl>
            <w:tblPr>
              <w:tblStyle w:val="36"/>
              <w:tblW w:w="77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
              <w:gridCol w:w="426"/>
              <w:gridCol w:w="437"/>
              <w:gridCol w:w="2363"/>
              <w:gridCol w:w="2900"/>
              <w:gridCol w:w="755"/>
            </w:tblGrid>
            <w:tr w14:paraId="38DBA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Align w:val="center"/>
                </w:tcPr>
                <w:p w14:paraId="31CEC23A">
                  <w:pPr>
                    <w:pStyle w:val="57"/>
                    <w:rPr>
                      <w:lang w:val="en-US"/>
                    </w:rPr>
                  </w:pPr>
                  <w:r>
                    <w:t>文件</w:t>
                  </w:r>
                </w:p>
              </w:tc>
              <w:tc>
                <w:tcPr>
                  <w:tcW w:w="3226" w:type="dxa"/>
                  <w:gridSpan w:val="3"/>
                  <w:vAlign w:val="center"/>
                </w:tcPr>
                <w:p w14:paraId="63FDF386">
                  <w:pPr>
                    <w:pStyle w:val="57"/>
                    <w:rPr>
                      <w:lang w:val="en-US"/>
                    </w:rPr>
                  </w:pPr>
                  <w:r>
                    <w:t>要求</w:t>
                  </w:r>
                </w:p>
              </w:tc>
              <w:tc>
                <w:tcPr>
                  <w:tcW w:w="2900" w:type="dxa"/>
                  <w:vAlign w:val="center"/>
                </w:tcPr>
                <w:p w14:paraId="20744E52">
                  <w:pPr>
                    <w:pStyle w:val="57"/>
                    <w:rPr>
                      <w:lang w:val="en-US"/>
                    </w:rPr>
                  </w:pPr>
                  <w:r>
                    <w:rPr>
                      <w:lang w:val="zh-CN"/>
                    </w:rPr>
                    <w:t>本项目情况</w:t>
                  </w:r>
                </w:p>
              </w:tc>
              <w:tc>
                <w:tcPr>
                  <w:tcW w:w="755" w:type="dxa"/>
                  <w:vAlign w:val="center"/>
                </w:tcPr>
                <w:p w14:paraId="28ED762F">
                  <w:pPr>
                    <w:pStyle w:val="57"/>
                    <w:rPr>
                      <w:lang w:val="en-US"/>
                    </w:rPr>
                  </w:pPr>
                  <w:r>
                    <w:t>相符性</w:t>
                  </w:r>
                </w:p>
              </w:tc>
            </w:tr>
            <w:tr w14:paraId="74BE4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Merge w:val="restart"/>
                  <w:vAlign w:val="center"/>
                </w:tcPr>
                <w:p w14:paraId="5E8CE250">
                  <w:pPr>
                    <w:pStyle w:val="57"/>
                    <w:rPr>
                      <w:b w:val="0"/>
                      <w:bCs/>
                      <w:lang w:val="en-US"/>
                    </w:rPr>
                  </w:pPr>
                  <w:r>
                    <w:rPr>
                      <w:b w:val="0"/>
                      <w:bCs/>
                      <w:lang w:val="en-US"/>
                    </w:rPr>
                    <w:t>《</w:t>
                  </w:r>
                  <w:r>
                    <w:rPr>
                      <w:rFonts w:hint="eastAsia"/>
                      <w:b w:val="0"/>
                      <w:bCs/>
                      <w:lang w:val="en-US"/>
                    </w:rPr>
                    <w:t>蔡家坡经济技术开发区总体规划（2024-2035）</w:t>
                  </w:r>
                  <w:r>
                    <w:rPr>
                      <w:b w:val="0"/>
                      <w:bCs/>
                      <w:lang w:val="en-US"/>
                    </w:rPr>
                    <w:t>环境影响报告书》</w:t>
                  </w:r>
                </w:p>
              </w:tc>
              <w:tc>
                <w:tcPr>
                  <w:tcW w:w="426" w:type="dxa"/>
                  <w:vMerge w:val="restart"/>
                  <w:vAlign w:val="center"/>
                </w:tcPr>
                <w:p w14:paraId="5DD2FA6A">
                  <w:pPr>
                    <w:pStyle w:val="57"/>
                    <w:jc w:val="left"/>
                    <w:rPr>
                      <w:b w:val="0"/>
                      <w:bCs/>
                      <w:lang w:val="en-US"/>
                    </w:rPr>
                  </w:pPr>
                  <w:r>
                    <w:rPr>
                      <w:rFonts w:hint="eastAsia"/>
                      <w:b w:val="0"/>
                      <w:bCs/>
                      <w:lang w:val="en-US"/>
                    </w:rPr>
                    <w:t>规划范围</w:t>
                  </w:r>
                </w:p>
              </w:tc>
              <w:tc>
                <w:tcPr>
                  <w:tcW w:w="2800" w:type="dxa"/>
                  <w:gridSpan w:val="2"/>
                  <w:vAlign w:val="center"/>
                </w:tcPr>
                <w:p w14:paraId="01DDAF2B">
                  <w:pPr>
                    <w:pStyle w:val="57"/>
                    <w:jc w:val="left"/>
                    <w:rPr>
                      <w:b w:val="0"/>
                      <w:bCs/>
                      <w:lang w:val="en-US"/>
                    </w:rPr>
                  </w:pPr>
                  <w:r>
                    <w:rPr>
                      <w:rFonts w:hint="eastAsia"/>
                      <w:b w:val="0"/>
                      <w:bCs/>
                      <w:lang w:val="en-US"/>
                    </w:rPr>
                    <w:t>蔡家坡经济技术开发区规划面积952.39公顷，由两个区块组成。区块一182.91公顷：东至水城三国小镇，南至众喜路，西至法士特大桥，北至连霍高速。区块二769.48公顷：东至石头河，南至南环路以南200米，西至法士特大道，北至德馨路。</w:t>
                  </w:r>
                </w:p>
              </w:tc>
              <w:tc>
                <w:tcPr>
                  <w:tcW w:w="2900" w:type="dxa"/>
                  <w:vAlign w:val="center"/>
                </w:tcPr>
                <w:p w14:paraId="3095C55C">
                  <w:pPr>
                    <w:pStyle w:val="57"/>
                    <w:jc w:val="left"/>
                    <w:rPr>
                      <w:b w:val="0"/>
                      <w:bCs/>
                      <w:lang w:val="en-US"/>
                    </w:rPr>
                  </w:pPr>
                  <w:r>
                    <w:rPr>
                      <w:rFonts w:hint="eastAsia"/>
                      <w:b w:val="0"/>
                      <w:bCs/>
                      <w:lang w:val="en-US"/>
                    </w:rPr>
                    <w:t>本项目位于</w:t>
                  </w:r>
                  <w:r>
                    <w:rPr>
                      <w:b w:val="0"/>
                      <w:bCs/>
                      <w:lang w:val="zh-CN"/>
                    </w:rPr>
                    <w:t>宝鸡市岐山县蔡家坡经济技术开发区百万平米标准化厂房产业园2-8#标准厂房</w:t>
                  </w:r>
                  <w:r>
                    <w:rPr>
                      <w:rFonts w:hint="eastAsia"/>
                      <w:b w:val="0"/>
                      <w:bCs/>
                      <w:lang w:val="zh-CN"/>
                    </w:rPr>
                    <w:t>，属于规划范围内</w:t>
                  </w:r>
                </w:p>
                <w:p w14:paraId="7CC131DD">
                  <w:pPr>
                    <w:pStyle w:val="57"/>
                    <w:jc w:val="left"/>
                    <w:rPr>
                      <w:b w:val="0"/>
                      <w:bCs/>
                      <w:lang w:val="en-US"/>
                    </w:rPr>
                  </w:pPr>
                </w:p>
              </w:tc>
              <w:tc>
                <w:tcPr>
                  <w:tcW w:w="755" w:type="dxa"/>
                  <w:vAlign w:val="center"/>
                </w:tcPr>
                <w:p w14:paraId="1AA2DB28">
                  <w:pPr>
                    <w:pStyle w:val="57"/>
                    <w:rPr>
                      <w:b w:val="0"/>
                      <w:bCs/>
                      <w:lang w:val="en-US"/>
                    </w:rPr>
                  </w:pPr>
                  <w:r>
                    <w:rPr>
                      <w:rFonts w:hint="eastAsia"/>
                      <w:b w:val="0"/>
                      <w:bCs/>
                      <w:lang w:val="en-US"/>
                    </w:rPr>
                    <w:t>相符</w:t>
                  </w:r>
                </w:p>
              </w:tc>
            </w:tr>
            <w:tr w14:paraId="329B5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Merge w:val="continue"/>
                  <w:vAlign w:val="center"/>
                </w:tcPr>
                <w:p w14:paraId="42EA6EBA">
                  <w:pPr>
                    <w:pStyle w:val="57"/>
                    <w:rPr>
                      <w:b w:val="0"/>
                      <w:bCs/>
                      <w:lang w:val="en-US"/>
                    </w:rPr>
                  </w:pPr>
                </w:p>
              </w:tc>
              <w:tc>
                <w:tcPr>
                  <w:tcW w:w="426" w:type="dxa"/>
                  <w:vMerge w:val="continue"/>
                  <w:vAlign w:val="center"/>
                </w:tcPr>
                <w:p w14:paraId="36A69ABB">
                  <w:pPr>
                    <w:pStyle w:val="57"/>
                    <w:jc w:val="left"/>
                    <w:rPr>
                      <w:b w:val="0"/>
                      <w:bCs/>
                      <w:lang w:val="en-US"/>
                    </w:rPr>
                  </w:pPr>
                </w:p>
              </w:tc>
              <w:tc>
                <w:tcPr>
                  <w:tcW w:w="2800" w:type="dxa"/>
                  <w:gridSpan w:val="2"/>
                  <w:shd w:val="clear" w:color="auto" w:fill="auto"/>
                  <w:vAlign w:val="center"/>
                </w:tcPr>
                <w:p w14:paraId="308AC483">
                  <w:pPr>
                    <w:pStyle w:val="57"/>
                    <w:jc w:val="both"/>
                    <w:rPr>
                      <w:b w:val="0"/>
                      <w:bCs/>
                      <w:lang w:val="en-US"/>
                    </w:rPr>
                  </w:pPr>
                  <w:r>
                    <w:rPr>
                      <w:rFonts w:hint="eastAsia"/>
                      <w:b w:val="0"/>
                      <w:bCs/>
                      <w:lang w:val="en-US"/>
                    </w:rPr>
                    <w:t>产业空间布局三大产业园，分别为汽车产业园、智能制造装备产业园和新材料产业</w:t>
                  </w:r>
                </w:p>
                <w:p w14:paraId="56A1A17E">
                  <w:pPr>
                    <w:pStyle w:val="57"/>
                    <w:jc w:val="both"/>
                    <w:rPr>
                      <w:b w:val="0"/>
                      <w:bCs/>
                      <w:lang w:val="en-US"/>
                    </w:rPr>
                  </w:pPr>
                  <w:r>
                    <w:rPr>
                      <w:rFonts w:hint="eastAsia"/>
                      <w:b w:val="0"/>
                      <w:bCs/>
                      <w:lang w:val="en-US"/>
                    </w:rPr>
                    <w:t>园。</w:t>
                  </w:r>
                </w:p>
              </w:tc>
              <w:tc>
                <w:tcPr>
                  <w:tcW w:w="2900" w:type="dxa"/>
                  <w:shd w:val="clear" w:color="auto" w:fill="auto"/>
                  <w:vAlign w:val="center"/>
                </w:tcPr>
                <w:p w14:paraId="11BD38B1">
                  <w:pPr>
                    <w:pStyle w:val="57"/>
                    <w:rPr>
                      <w:b w:val="0"/>
                      <w:bCs/>
                      <w:lang w:val="en-US"/>
                    </w:rPr>
                  </w:pPr>
                  <w:r>
                    <w:rPr>
                      <w:rFonts w:hint="eastAsia"/>
                      <w:b w:val="0"/>
                      <w:bCs/>
                      <w:lang w:val="en-US"/>
                    </w:rPr>
                    <w:t>本项目位于汽车产业园内，于2022年建厂投运，为规划区内现有企业，予以保留。</w:t>
                  </w:r>
                </w:p>
              </w:tc>
              <w:tc>
                <w:tcPr>
                  <w:tcW w:w="755" w:type="dxa"/>
                  <w:vAlign w:val="center"/>
                </w:tcPr>
                <w:p w14:paraId="23349094">
                  <w:pPr>
                    <w:pStyle w:val="57"/>
                    <w:rPr>
                      <w:b w:val="0"/>
                      <w:bCs/>
                      <w:lang w:val="en-US"/>
                    </w:rPr>
                  </w:pPr>
                  <w:r>
                    <w:rPr>
                      <w:rFonts w:hint="eastAsia"/>
                      <w:b w:val="0"/>
                      <w:bCs/>
                      <w:lang w:val="en-US"/>
                    </w:rPr>
                    <w:t>相符</w:t>
                  </w:r>
                </w:p>
              </w:tc>
            </w:tr>
            <w:tr w14:paraId="71245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Merge w:val="continue"/>
                  <w:vAlign w:val="center"/>
                </w:tcPr>
                <w:p w14:paraId="0BCD4EDF">
                  <w:pPr>
                    <w:pStyle w:val="57"/>
                    <w:rPr>
                      <w:b w:val="0"/>
                      <w:bCs/>
                      <w:lang w:val="en-US"/>
                    </w:rPr>
                  </w:pPr>
                </w:p>
              </w:tc>
              <w:tc>
                <w:tcPr>
                  <w:tcW w:w="426" w:type="dxa"/>
                  <w:vMerge w:val="restart"/>
                  <w:shd w:val="clear" w:color="auto" w:fill="auto"/>
                  <w:vAlign w:val="center"/>
                </w:tcPr>
                <w:p w14:paraId="5E57893E">
                  <w:pPr>
                    <w:keepNext/>
                    <w:keepLines/>
                    <w:adjustRightInd w:val="0"/>
                    <w:snapToGrid w:val="0"/>
                    <w:jc w:val="center"/>
                    <w:rPr>
                      <w:bCs/>
                      <w:szCs w:val="21"/>
                    </w:rPr>
                  </w:pPr>
                  <w:r>
                    <w:rPr>
                      <w:bCs/>
                      <w:szCs w:val="21"/>
                    </w:rPr>
                    <w:t>园区环境准入条件</w:t>
                  </w:r>
                </w:p>
              </w:tc>
              <w:tc>
                <w:tcPr>
                  <w:tcW w:w="437" w:type="dxa"/>
                  <w:shd w:val="clear" w:color="auto" w:fill="auto"/>
                  <w:vAlign w:val="center"/>
                </w:tcPr>
                <w:p w14:paraId="5F38ED42">
                  <w:pPr>
                    <w:keepNext/>
                    <w:keepLines/>
                    <w:adjustRightInd w:val="0"/>
                    <w:snapToGrid w:val="0"/>
                    <w:jc w:val="center"/>
                    <w:rPr>
                      <w:bCs/>
                      <w:szCs w:val="21"/>
                    </w:rPr>
                  </w:pPr>
                  <w:r>
                    <w:rPr>
                      <w:bCs/>
                      <w:szCs w:val="21"/>
                    </w:rPr>
                    <w:t>产业导向</w:t>
                  </w:r>
                </w:p>
              </w:tc>
              <w:tc>
                <w:tcPr>
                  <w:tcW w:w="2363" w:type="dxa"/>
                  <w:shd w:val="clear" w:color="auto" w:fill="auto"/>
                  <w:vAlign w:val="center"/>
                </w:tcPr>
                <w:p w14:paraId="25F2DFBC">
                  <w:pPr>
                    <w:keepNext/>
                    <w:keepLines/>
                    <w:numPr>
                      <w:ilvl w:val="0"/>
                      <w:numId w:val="6"/>
                    </w:numPr>
                    <w:adjustRightInd w:val="0"/>
                    <w:snapToGrid w:val="0"/>
                    <w:jc w:val="left"/>
                    <w:rPr>
                      <w:bCs/>
                      <w:szCs w:val="21"/>
                    </w:rPr>
                  </w:pPr>
                  <w:r>
                    <w:rPr>
                      <w:bCs/>
                      <w:szCs w:val="21"/>
                    </w:rPr>
                    <w:t>符合国家及地方产业政策，包括《产业</w:t>
                  </w:r>
                  <w:r>
                    <w:rPr>
                      <w:rFonts w:hint="eastAsia"/>
                      <w:bCs/>
                      <w:szCs w:val="21"/>
                    </w:rPr>
                    <w:t>结构调整</w:t>
                  </w:r>
                  <w:r>
                    <w:rPr>
                      <w:bCs/>
                      <w:szCs w:val="21"/>
                    </w:rPr>
                    <w:t>指导目录》、《外商投资产业指导目录》等文件中鼓励类和允许类</w:t>
                  </w:r>
                  <w:r>
                    <w:rPr>
                      <w:rFonts w:hint="eastAsia"/>
                      <w:bCs/>
                      <w:szCs w:val="21"/>
                    </w:rPr>
                    <w:t>、</w:t>
                  </w:r>
                  <w:r>
                    <w:rPr>
                      <w:bCs/>
                      <w:szCs w:val="21"/>
                    </w:rPr>
                    <w:t>《西部地区鼓励类产业目录（2020年本）》等；</w:t>
                  </w:r>
                </w:p>
                <w:p w14:paraId="717DF235">
                  <w:pPr>
                    <w:keepNext/>
                    <w:keepLines/>
                    <w:numPr>
                      <w:ilvl w:val="0"/>
                      <w:numId w:val="6"/>
                    </w:numPr>
                    <w:adjustRightInd w:val="0"/>
                    <w:snapToGrid w:val="0"/>
                    <w:jc w:val="left"/>
                    <w:rPr>
                      <w:bCs/>
                      <w:szCs w:val="21"/>
                    </w:rPr>
                  </w:pPr>
                  <w:r>
                    <w:rPr>
                      <w:bCs/>
                      <w:szCs w:val="21"/>
                    </w:rPr>
                    <w:t>符合《市场准入负面清单》；</w:t>
                  </w:r>
                </w:p>
                <w:p w14:paraId="07C1BCF7">
                  <w:pPr>
                    <w:keepNext/>
                    <w:keepLines/>
                    <w:numPr>
                      <w:ilvl w:val="0"/>
                      <w:numId w:val="6"/>
                    </w:numPr>
                    <w:adjustRightInd w:val="0"/>
                    <w:snapToGrid w:val="0"/>
                    <w:jc w:val="left"/>
                    <w:rPr>
                      <w:bCs/>
                      <w:szCs w:val="21"/>
                    </w:rPr>
                  </w:pPr>
                  <w:r>
                    <w:rPr>
                      <w:bCs/>
                      <w:szCs w:val="21"/>
                    </w:rPr>
                    <w:t>符合企业所属行业有关发展规划</w:t>
                  </w:r>
                  <w:r>
                    <w:rPr>
                      <w:rFonts w:hint="eastAsia"/>
                      <w:bCs/>
                      <w:szCs w:val="21"/>
                    </w:rPr>
                    <w:t>；</w:t>
                  </w:r>
                </w:p>
                <w:p w14:paraId="2E7AFDD0">
                  <w:pPr>
                    <w:keepNext/>
                    <w:keepLines/>
                    <w:numPr>
                      <w:ilvl w:val="0"/>
                      <w:numId w:val="6"/>
                    </w:numPr>
                    <w:adjustRightInd w:val="0"/>
                    <w:snapToGrid w:val="0"/>
                    <w:jc w:val="left"/>
                    <w:rPr>
                      <w:bCs/>
                      <w:szCs w:val="21"/>
                    </w:rPr>
                  </w:pPr>
                  <w:r>
                    <w:rPr>
                      <w:rFonts w:hint="eastAsia"/>
                      <w:bCs/>
                      <w:szCs w:val="21"/>
                    </w:rPr>
                    <w:t>符合《重点管控新污染物清单》（2023年版）相关要求；</w:t>
                  </w:r>
                </w:p>
              </w:tc>
              <w:tc>
                <w:tcPr>
                  <w:tcW w:w="2900" w:type="dxa"/>
                  <w:vAlign w:val="center"/>
                </w:tcPr>
                <w:p w14:paraId="3F67E33D">
                  <w:pPr>
                    <w:pStyle w:val="57"/>
                    <w:numPr>
                      <w:ilvl w:val="0"/>
                      <w:numId w:val="7"/>
                    </w:numPr>
                    <w:jc w:val="left"/>
                    <w:rPr>
                      <w:b w:val="0"/>
                      <w:bCs/>
                      <w:lang w:val="en-US"/>
                    </w:rPr>
                  </w:pPr>
                  <w:r>
                    <w:rPr>
                      <w:rFonts w:hint="eastAsia"/>
                      <w:b w:val="0"/>
                      <w:bCs/>
                      <w:lang w:val="en-US"/>
                    </w:rPr>
                    <w:t>查阅</w:t>
                  </w:r>
                  <w:r>
                    <w:rPr>
                      <w:rFonts w:hint="eastAsia"/>
                      <w:b w:val="0"/>
                      <w:bCs/>
                      <w:lang w:val="en-US" w:eastAsia="zh-CN"/>
                    </w:rPr>
                    <w:t>《产业结果调整指导目录（2024）》</w:t>
                  </w:r>
                  <w:r>
                    <w:rPr>
                      <w:rFonts w:hint="eastAsia"/>
                      <w:b w:val="0"/>
                      <w:bCs/>
                      <w:lang w:val="en-US"/>
                    </w:rPr>
                    <w:t>，本项目不属于其鼓励类、限制类、淘汰类，为允许类；查阅</w:t>
                  </w:r>
                  <w:r>
                    <w:rPr>
                      <w:b w:val="0"/>
                      <w:bCs/>
                      <w:szCs w:val="21"/>
                    </w:rPr>
                    <w:t>《西部地区鼓励类产业目录（2020年本）》</w:t>
                  </w:r>
                  <w:r>
                    <w:rPr>
                      <w:rFonts w:hint="eastAsia"/>
                      <w:b w:val="0"/>
                      <w:bCs/>
                      <w:szCs w:val="21"/>
                      <w:lang w:val="en-US"/>
                    </w:rPr>
                    <w:t>本项目为光伏用钨丝钢线制造，属于</w:t>
                  </w:r>
                  <w:r>
                    <w:rPr>
                      <w:rFonts w:hint="eastAsia"/>
                      <w:b w:val="0"/>
                      <w:bCs/>
                      <w:lang w:val="en-US"/>
                    </w:rPr>
                    <w:t>“31．风电、光伏、氢能、地热等新能源及相关装置制造产业”，为鼓励类；</w:t>
                  </w:r>
                </w:p>
                <w:p w14:paraId="0F856A5D">
                  <w:pPr>
                    <w:pStyle w:val="57"/>
                    <w:numPr>
                      <w:ilvl w:val="0"/>
                      <w:numId w:val="7"/>
                    </w:numPr>
                    <w:jc w:val="left"/>
                    <w:rPr>
                      <w:b w:val="0"/>
                      <w:bCs/>
                      <w:lang w:val="en-US"/>
                    </w:rPr>
                  </w:pPr>
                  <w:r>
                    <w:rPr>
                      <w:rFonts w:hint="eastAsia"/>
                      <w:b w:val="0"/>
                      <w:bCs/>
                      <w:lang w:val="en-US"/>
                    </w:rPr>
                    <w:t>查阅《市场准入负面清单》，项目不属于禁止或许可类准入类；</w:t>
                  </w:r>
                </w:p>
                <w:p w14:paraId="0C4E250A">
                  <w:pPr>
                    <w:pStyle w:val="57"/>
                    <w:numPr>
                      <w:ilvl w:val="0"/>
                      <w:numId w:val="7"/>
                    </w:numPr>
                    <w:jc w:val="left"/>
                    <w:rPr>
                      <w:b w:val="0"/>
                      <w:bCs/>
                      <w:lang w:val="en-US"/>
                    </w:rPr>
                  </w:pPr>
                  <w:r>
                    <w:rPr>
                      <w:rFonts w:hint="eastAsia"/>
                      <w:b w:val="0"/>
                      <w:bCs/>
                      <w:lang w:val="en-US"/>
                    </w:rPr>
                    <w:t>本行业暂无相关发展规划；</w:t>
                  </w:r>
                </w:p>
                <w:p w14:paraId="2CEFAD67">
                  <w:pPr>
                    <w:pStyle w:val="57"/>
                    <w:numPr>
                      <w:ilvl w:val="0"/>
                      <w:numId w:val="7"/>
                    </w:numPr>
                    <w:jc w:val="left"/>
                    <w:rPr>
                      <w:b w:val="0"/>
                      <w:bCs/>
                      <w:lang w:val="en-US"/>
                    </w:rPr>
                  </w:pPr>
                  <w:r>
                    <w:rPr>
                      <w:rFonts w:hint="eastAsia"/>
                      <w:b w:val="0"/>
                      <w:bCs/>
                      <w:lang w:val="en-US"/>
                    </w:rPr>
                    <w:t>本项目不涉及</w:t>
                  </w:r>
                  <w:r>
                    <w:rPr>
                      <w:rFonts w:hint="eastAsia"/>
                      <w:b w:val="0"/>
                      <w:bCs/>
                      <w:szCs w:val="21"/>
                    </w:rPr>
                    <w:t>新污染物；</w:t>
                  </w:r>
                </w:p>
              </w:tc>
              <w:tc>
                <w:tcPr>
                  <w:tcW w:w="755" w:type="dxa"/>
                  <w:vAlign w:val="center"/>
                </w:tcPr>
                <w:p w14:paraId="01DC07D0">
                  <w:pPr>
                    <w:pStyle w:val="57"/>
                    <w:rPr>
                      <w:b w:val="0"/>
                      <w:bCs/>
                      <w:lang w:val="en-US"/>
                    </w:rPr>
                  </w:pPr>
                  <w:r>
                    <w:rPr>
                      <w:rFonts w:hint="eastAsia"/>
                      <w:b w:val="0"/>
                      <w:bCs/>
                      <w:lang w:val="en-US"/>
                    </w:rPr>
                    <w:t>相符</w:t>
                  </w:r>
                </w:p>
              </w:tc>
            </w:tr>
            <w:tr w14:paraId="4045A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Merge w:val="continue"/>
                  <w:vAlign w:val="center"/>
                </w:tcPr>
                <w:p w14:paraId="1B1C294C">
                  <w:pPr>
                    <w:pStyle w:val="57"/>
                    <w:rPr>
                      <w:b w:val="0"/>
                      <w:bCs/>
                      <w:lang w:val="en-US"/>
                    </w:rPr>
                  </w:pPr>
                </w:p>
              </w:tc>
              <w:tc>
                <w:tcPr>
                  <w:tcW w:w="426" w:type="dxa"/>
                  <w:vMerge w:val="continue"/>
                  <w:shd w:val="clear" w:color="auto" w:fill="auto"/>
                  <w:vAlign w:val="center"/>
                </w:tcPr>
                <w:p w14:paraId="2268F665">
                  <w:pPr>
                    <w:keepNext/>
                    <w:keepLines/>
                    <w:adjustRightInd w:val="0"/>
                    <w:snapToGrid w:val="0"/>
                    <w:jc w:val="center"/>
                    <w:rPr>
                      <w:bCs/>
                      <w:szCs w:val="21"/>
                    </w:rPr>
                  </w:pPr>
                </w:p>
              </w:tc>
              <w:tc>
                <w:tcPr>
                  <w:tcW w:w="437" w:type="dxa"/>
                  <w:shd w:val="clear" w:color="auto" w:fill="auto"/>
                  <w:vAlign w:val="center"/>
                </w:tcPr>
                <w:p w14:paraId="2FC1337E">
                  <w:pPr>
                    <w:keepNext/>
                    <w:keepLines/>
                    <w:adjustRightInd w:val="0"/>
                    <w:snapToGrid w:val="0"/>
                    <w:jc w:val="center"/>
                    <w:rPr>
                      <w:bCs/>
                      <w:szCs w:val="21"/>
                    </w:rPr>
                  </w:pPr>
                  <w:r>
                    <w:rPr>
                      <w:bCs/>
                      <w:szCs w:val="21"/>
                    </w:rPr>
                    <w:t>规划选址</w:t>
                  </w:r>
                </w:p>
              </w:tc>
              <w:tc>
                <w:tcPr>
                  <w:tcW w:w="2363" w:type="dxa"/>
                  <w:shd w:val="clear" w:color="auto" w:fill="auto"/>
                  <w:vAlign w:val="center"/>
                </w:tcPr>
                <w:p w14:paraId="21E14876">
                  <w:pPr>
                    <w:keepNext/>
                    <w:keepLines/>
                    <w:adjustRightInd w:val="0"/>
                    <w:snapToGrid w:val="0"/>
                    <w:rPr>
                      <w:bCs/>
                      <w:szCs w:val="21"/>
                    </w:rPr>
                  </w:pPr>
                  <w:r>
                    <w:rPr>
                      <w:bCs/>
                      <w:szCs w:val="21"/>
                    </w:rPr>
                    <w:t>选址符合园区规划，符合《</w:t>
                  </w:r>
                  <w:r>
                    <w:rPr>
                      <w:rFonts w:hint="eastAsia"/>
                      <w:bCs/>
                      <w:szCs w:val="21"/>
                    </w:rPr>
                    <w:t>宝鸡市“</w:t>
                  </w:r>
                  <w:r>
                    <w:rPr>
                      <w:bCs/>
                      <w:szCs w:val="21"/>
                    </w:rPr>
                    <w:t>三线一单</w:t>
                  </w:r>
                  <w:r>
                    <w:rPr>
                      <w:rFonts w:hint="eastAsia"/>
                      <w:bCs/>
                      <w:szCs w:val="21"/>
                    </w:rPr>
                    <w:t>”区域</w:t>
                  </w:r>
                  <w:r>
                    <w:rPr>
                      <w:bCs/>
                      <w:szCs w:val="21"/>
                    </w:rPr>
                    <w:t>生态环境分区管控方案》</w:t>
                  </w:r>
                </w:p>
              </w:tc>
              <w:tc>
                <w:tcPr>
                  <w:tcW w:w="2900" w:type="dxa"/>
                  <w:vAlign w:val="center"/>
                </w:tcPr>
                <w:p w14:paraId="5AA5889E">
                  <w:pPr>
                    <w:pStyle w:val="57"/>
                    <w:jc w:val="left"/>
                    <w:rPr>
                      <w:b w:val="0"/>
                      <w:bCs/>
                      <w:lang w:val="en-US"/>
                    </w:rPr>
                  </w:pPr>
                  <w:r>
                    <w:rPr>
                      <w:b w:val="0"/>
                      <w:bCs/>
                      <w:lang w:val="en-US"/>
                    </w:rPr>
                    <w:t>项目</w:t>
                  </w:r>
                  <w:r>
                    <w:rPr>
                      <w:rFonts w:hint="eastAsia"/>
                      <w:b w:val="0"/>
                      <w:bCs/>
                      <w:lang w:val="en-US"/>
                    </w:rPr>
                    <w:t>为C3340金属丝绳及其制品制造行业，属于园区主导产业；项目</w:t>
                  </w:r>
                  <w:r>
                    <w:rPr>
                      <w:b w:val="0"/>
                      <w:bCs/>
                      <w:lang w:val="en-US"/>
                    </w:rPr>
                    <w:t>位于规划中</w:t>
                  </w:r>
                  <w:r>
                    <w:rPr>
                      <w:rFonts w:hint="eastAsia"/>
                      <w:b w:val="0"/>
                      <w:bCs/>
                      <w:lang w:val="en-US"/>
                    </w:rPr>
                    <w:t>“</w:t>
                  </w:r>
                  <w:r>
                    <w:rPr>
                      <w:b w:val="0"/>
                      <w:bCs/>
                      <w:lang w:val="en-US"/>
                    </w:rPr>
                    <w:t>汽车产业园</w:t>
                  </w:r>
                  <w:r>
                    <w:rPr>
                      <w:rFonts w:hint="eastAsia"/>
                      <w:b w:val="0"/>
                      <w:bCs/>
                      <w:lang w:val="en-US"/>
                    </w:rPr>
                    <w:t>”</w:t>
                  </w:r>
                  <w:r>
                    <w:rPr>
                      <w:b w:val="0"/>
                      <w:bCs/>
                      <w:lang w:val="en-US"/>
                    </w:rPr>
                    <w:t>内，属于园区现有企业扩建，符合规划产业定位。</w:t>
                  </w:r>
                  <w:r>
                    <w:rPr>
                      <w:rFonts w:hint="eastAsia"/>
                      <w:b w:val="0"/>
                      <w:bCs/>
                      <w:lang w:val="en-US"/>
                    </w:rPr>
                    <w:t>项目位于重点管控单元，</w:t>
                  </w:r>
                  <w:r>
                    <w:rPr>
                      <w:b w:val="0"/>
                      <w:bCs/>
                      <w:szCs w:val="21"/>
                    </w:rPr>
                    <w:t>符合《</w:t>
                  </w:r>
                  <w:r>
                    <w:rPr>
                      <w:rFonts w:hint="eastAsia"/>
                      <w:b w:val="0"/>
                      <w:bCs/>
                      <w:szCs w:val="21"/>
                    </w:rPr>
                    <w:t>宝鸡市“</w:t>
                  </w:r>
                  <w:r>
                    <w:rPr>
                      <w:b w:val="0"/>
                      <w:bCs/>
                      <w:szCs w:val="21"/>
                    </w:rPr>
                    <w:t>三线一单</w:t>
                  </w:r>
                  <w:r>
                    <w:rPr>
                      <w:rFonts w:hint="eastAsia"/>
                      <w:b w:val="0"/>
                      <w:bCs/>
                      <w:szCs w:val="21"/>
                    </w:rPr>
                    <w:t>”区域</w:t>
                  </w:r>
                  <w:r>
                    <w:rPr>
                      <w:b w:val="0"/>
                      <w:bCs/>
                      <w:szCs w:val="21"/>
                    </w:rPr>
                    <w:t>生态环境分区管控方案》</w:t>
                  </w:r>
                </w:p>
              </w:tc>
              <w:tc>
                <w:tcPr>
                  <w:tcW w:w="755" w:type="dxa"/>
                  <w:vAlign w:val="center"/>
                </w:tcPr>
                <w:p w14:paraId="1B77069E">
                  <w:pPr>
                    <w:pStyle w:val="57"/>
                    <w:rPr>
                      <w:b w:val="0"/>
                      <w:bCs/>
                      <w:lang w:val="en-US"/>
                    </w:rPr>
                  </w:pPr>
                  <w:r>
                    <w:rPr>
                      <w:rFonts w:hint="eastAsia"/>
                      <w:b w:val="0"/>
                      <w:bCs/>
                      <w:lang w:val="en-US"/>
                    </w:rPr>
                    <w:t>相符</w:t>
                  </w:r>
                </w:p>
              </w:tc>
            </w:tr>
            <w:tr w14:paraId="769B1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Merge w:val="continue"/>
                  <w:vAlign w:val="center"/>
                </w:tcPr>
                <w:p w14:paraId="4A2A7AA8">
                  <w:pPr>
                    <w:pStyle w:val="57"/>
                    <w:rPr>
                      <w:b w:val="0"/>
                      <w:bCs/>
                      <w:lang w:val="en-US"/>
                    </w:rPr>
                  </w:pPr>
                </w:p>
              </w:tc>
              <w:tc>
                <w:tcPr>
                  <w:tcW w:w="426" w:type="dxa"/>
                  <w:vMerge w:val="continue"/>
                  <w:shd w:val="clear" w:color="auto" w:fill="auto"/>
                  <w:vAlign w:val="center"/>
                </w:tcPr>
                <w:p w14:paraId="5AB04F0E">
                  <w:pPr>
                    <w:keepNext/>
                    <w:keepLines/>
                    <w:adjustRightInd w:val="0"/>
                    <w:snapToGrid w:val="0"/>
                    <w:jc w:val="center"/>
                    <w:rPr>
                      <w:bCs/>
                      <w:szCs w:val="21"/>
                    </w:rPr>
                  </w:pPr>
                </w:p>
              </w:tc>
              <w:tc>
                <w:tcPr>
                  <w:tcW w:w="437" w:type="dxa"/>
                  <w:shd w:val="clear" w:color="auto" w:fill="auto"/>
                  <w:vAlign w:val="center"/>
                </w:tcPr>
                <w:p w14:paraId="38D5A5A0">
                  <w:pPr>
                    <w:keepNext/>
                    <w:keepLines/>
                    <w:adjustRightInd w:val="0"/>
                    <w:snapToGrid w:val="0"/>
                    <w:jc w:val="center"/>
                    <w:rPr>
                      <w:bCs/>
                      <w:szCs w:val="21"/>
                    </w:rPr>
                  </w:pPr>
                  <w:r>
                    <w:rPr>
                      <w:bCs/>
                      <w:szCs w:val="21"/>
                    </w:rPr>
                    <w:t>清洁生产</w:t>
                  </w:r>
                </w:p>
              </w:tc>
              <w:tc>
                <w:tcPr>
                  <w:tcW w:w="2363" w:type="dxa"/>
                  <w:shd w:val="clear" w:color="auto" w:fill="auto"/>
                  <w:vAlign w:val="center"/>
                </w:tcPr>
                <w:p w14:paraId="773FC749">
                  <w:pPr>
                    <w:keepNext/>
                    <w:keepLines/>
                    <w:adjustRightInd w:val="0"/>
                    <w:snapToGrid w:val="0"/>
                    <w:jc w:val="left"/>
                    <w:rPr>
                      <w:bCs/>
                      <w:szCs w:val="21"/>
                    </w:rPr>
                  </w:pPr>
                  <w:r>
                    <w:rPr>
                      <w:rFonts w:hint="eastAsia"/>
                      <w:bCs/>
                      <w:szCs w:val="21"/>
                      <w:lang w:eastAsia="zh-CN"/>
                    </w:rPr>
                    <w:t>1.</w:t>
                  </w:r>
                  <w:r>
                    <w:rPr>
                      <w:bCs/>
                      <w:szCs w:val="21"/>
                    </w:rPr>
                    <w:t>入园企业生产工艺、装备技术水平等应达到国内同行业领先水平；</w:t>
                  </w:r>
                </w:p>
                <w:p w14:paraId="64CD2564">
                  <w:pPr>
                    <w:keepNext/>
                    <w:keepLines/>
                    <w:adjustRightInd w:val="0"/>
                    <w:snapToGrid w:val="0"/>
                    <w:jc w:val="left"/>
                    <w:rPr>
                      <w:bCs/>
                      <w:szCs w:val="21"/>
                    </w:rPr>
                  </w:pPr>
                  <w:r>
                    <w:rPr>
                      <w:rFonts w:hint="eastAsia"/>
                      <w:bCs/>
                      <w:szCs w:val="21"/>
                      <w:lang w:eastAsia="zh-CN"/>
                    </w:rPr>
                    <w:t>2.</w:t>
                  </w:r>
                  <w:r>
                    <w:rPr>
                      <w:bCs/>
                      <w:szCs w:val="21"/>
                    </w:rPr>
                    <w:t>水耗、能耗指标应设定在清洁生产一级水平或二级水平</w:t>
                  </w:r>
                  <w:r>
                    <w:rPr>
                      <w:rFonts w:hint="eastAsia"/>
                      <w:bCs/>
                      <w:szCs w:val="21"/>
                    </w:rPr>
                    <w:t>；</w:t>
                  </w:r>
                </w:p>
              </w:tc>
              <w:tc>
                <w:tcPr>
                  <w:tcW w:w="2900" w:type="dxa"/>
                  <w:vAlign w:val="center"/>
                </w:tcPr>
                <w:p w14:paraId="2D20607F">
                  <w:pPr>
                    <w:pStyle w:val="57"/>
                    <w:jc w:val="left"/>
                    <w:rPr>
                      <w:b w:val="0"/>
                      <w:bCs/>
                      <w:lang w:val="en-US"/>
                    </w:rPr>
                  </w:pPr>
                  <w:r>
                    <w:rPr>
                      <w:rFonts w:hint="eastAsia"/>
                      <w:b w:val="0"/>
                      <w:bCs/>
                      <w:lang w:val="en-US"/>
                    </w:rPr>
                    <w:t>1.项目</w:t>
                  </w:r>
                  <w:r>
                    <w:rPr>
                      <w:b w:val="0"/>
                      <w:bCs/>
                      <w:lang w:val="en-US"/>
                    </w:rPr>
                    <w:t>生产工艺、装备技术水平等达到国内同行业领先水平</w:t>
                  </w:r>
                  <w:r>
                    <w:rPr>
                      <w:rFonts w:hint="eastAsia"/>
                      <w:b w:val="0"/>
                      <w:bCs/>
                      <w:lang w:val="en-US"/>
                    </w:rPr>
                    <w:t>；</w:t>
                  </w:r>
                </w:p>
                <w:p w14:paraId="4E22A295">
                  <w:pPr>
                    <w:pStyle w:val="57"/>
                    <w:jc w:val="left"/>
                    <w:rPr>
                      <w:b w:val="0"/>
                      <w:bCs/>
                      <w:lang w:val="en-US"/>
                    </w:rPr>
                  </w:pPr>
                  <w:r>
                    <w:rPr>
                      <w:rFonts w:hint="eastAsia"/>
                      <w:b w:val="0"/>
                      <w:bCs/>
                      <w:lang w:val="en-US"/>
                    </w:rPr>
                    <w:t>2.</w:t>
                  </w:r>
                  <w:r>
                    <w:rPr>
                      <w:b w:val="0"/>
                      <w:bCs/>
                      <w:lang w:val="en-US"/>
                    </w:rPr>
                    <w:t>水耗、能耗指标设定在清洁生产二级水平</w:t>
                  </w:r>
                </w:p>
              </w:tc>
              <w:tc>
                <w:tcPr>
                  <w:tcW w:w="755" w:type="dxa"/>
                  <w:vAlign w:val="center"/>
                </w:tcPr>
                <w:p w14:paraId="21C3FBAF">
                  <w:pPr>
                    <w:pStyle w:val="57"/>
                    <w:rPr>
                      <w:b w:val="0"/>
                      <w:bCs/>
                      <w:lang w:val="en-US"/>
                    </w:rPr>
                  </w:pPr>
                  <w:r>
                    <w:rPr>
                      <w:rFonts w:hint="eastAsia"/>
                      <w:b w:val="0"/>
                      <w:bCs/>
                      <w:lang w:val="en-US"/>
                    </w:rPr>
                    <w:t>相符</w:t>
                  </w:r>
                </w:p>
              </w:tc>
            </w:tr>
            <w:tr w14:paraId="6B424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Merge w:val="continue"/>
                  <w:vAlign w:val="center"/>
                </w:tcPr>
                <w:p w14:paraId="378D1086">
                  <w:pPr>
                    <w:pStyle w:val="57"/>
                    <w:rPr>
                      <w:b w:val="0"/>
                      <w:bCs/>
                      <w:lang w:val="en-US"/>
                    </w:rPr>
                  </w:pPr>
                </w:p>
              </w:tc>
              <w:tc>
                <w:tcPr>
                  <w:tcW w:w="426" w:type="dxa"/>
                  <w:vMerge w:val="continue"/>
                  <w:shd w:val="clear" w:color="auto" w:fill="auto"/>
                  <w:vAlign w:val="center"/>
                </w:tcPr>
                <w:p w14:paraId="39BFC244">
                  <w:pPr>
                    <w:keepNext/>
                    <w:keepLines/>
                    <w:adjustRightInd w:val="0"/>
                    <w:snapToGrid w:val="0"/>
                    <w:jc w:val="center"/>
                    <w:rPr>
                      <w:bCs/>
                      <w:szCs w:val="21"/>
                    </w:rPr>
                  </w:pPr>
                </w:p>
              </w:tc>
              <w:tc>
                <w:tcPr>
                  <w:tcW w:w="437" w:type="dxa"/>
                  <w:shd w:val="clear" w:color="auto" w:fill="auto"/>
                  <w:vAlign w:val="center"/>
                </w:tcPr>
                <w:p w14:paraId="0C8C7F87">
                  <w:pPr>
                    <w:keepNext/>
                    <w:keepLines/>
                    <w:adjustRightInd w:val="0"/>
                    <w:snapToGrid w:val="0"/>
                    <w:jc w:val="center"/>
                    <w:rPr>
                      <w:bCs/>
                      <w:szCs w:val="21"/>
                    </w:rPr>
                  </w:pPr>
                  <w:r>
                    <w:rPr>
                      <w:bCs/>
                      <w:szCs w:val="21"/>
                    </w:rPr>
                    <w:t>环境保护</w:t>
                  </w:r>
                </w:p>
              </w:tc>
              <w:tc>
                <w:tcPr>
                  <w:tcW w:w="2363" w:type="dxa"/>
                  <w:shd w:val="clear" w:color="auto" w:fill="auto"/>
                  <w:vAlign w:val="center"/>
                </w:tcPr>
                <w:p w14:paraId="050502D6">
                  <w:pPr>
                    <w:keepNext/>
                    <w:keepLines/>
                    <w:adjustRightInd w:val="0"/>
                    <w:snapToGrid w:val="0"/>
                    <w:rPr>
                      <w:bCs/>
                      <w:szCs w:val="21"/>
                    </w:rPr>
                  </w:pPr>
                  <w:r>
                    <w:rPr>
                      <w:rFonts w:hint="eastAsia"/>
                      <w:bCs/>
                      <w:szCs w:val="21"/>
                      <w:lang w:eastAsia="zh-CN"/>
                    </w:rPr>
                    <w:t>1.</w:t>
                  </w:r>
                  <w:r>
                    <w:rPr>
                      <w:bCs/>
                      <w:szCs w:val="21"/>
                    </w:rPr>
                    <w:t>符合行业环境准入条件；</w:t>
                  </w:r>
                </w:p>
                <w:p w14:paraId="2C4A8656">
                  <w:pPr>
                    <w:keepNext/>
                    <w:keepLines/>
                    <w:adjustRightInd w:val="0"/>
                    <w:snapToGrid w:val="0"/>
                    <w:rPr>
                      <w:bCs/>
                      <w:szCs w:val="21"/>
                    </w:rPr>
                  </w:pPr>
                  <w:r>
                    <w:rPr>
                      <w:rFonts w:hint="eastAsia"/>
                      <w:bCs/>
                      <w:szCs w:val="21"/>
                      <w:lang w:eastAsia="zh-CN"/>
                    </w:rPr>
                    <w:t>2.</w:t>
                  </w:r>
                  <w:r>
                    <w:rPr>
                      <w:bCs/>
                      <w:szCs w:val="21"/>
                    </w:rPr>
                    <w:t>建设项目排放污染物符合国家、地方规定的污染物排放标准；</w:t>
                  </w:r>
                </w:p>
                <w:p w14:paraId="42106CBB">
                  <w:pPr>
                    <w:keepNext/>
                    <w:keepLines/>
                    <w:adjustRightInd w:val="0"/>
                    <w:snapToGrid w:val="0"/>
                    <w:rPr>
                      <w:bCs/>
                      <w:szCs w:val="21"/>
                    </w:rPr>
                  </w:pPr>
                  <w:r>
                    <w:rPr>
                      <w:rFonts w:hint="eastAsia"/>
                      <w:bCs/>
                      <w:szCs w:val="21"/>
                      <w:lang w:eastAsia="zh-CN"/>
                    </w:rPr>
                    <w:t>3.</w:t>
                  </w:r>
                  <w:r>
                    <w:rPr>
                      <w:bCs/>
                      <w:szCs w:val="21"/>
                    </w:rPr>
                    <w:t>建设项目新增主要污染物排放量符合总量控制和污染物减排要求；</w:t>
                  </w:r>
                  <w:r>
                    <w:rPr>
                      <w:rFonts w:hint="eastAsia"/>
                      <w:bCs/>
                      <w:szCs w:val="21"/>
                    </w:rPr>
                    <w:t>涉及重金属排放的需取得重金属总量指标</w:t>
                  </w:r>
                </w:p>
              </w:tc>
              <w:tc>
                <w:tcPr>
                  <w:tcW w:w="2900" w:type="dxa"/>
                  <w:vAlign w:val="center"/>
                </w:tcPr>
                <w:p w14:paraId="0B281376">
                  <w:pPr>
                    <w:pStyle w:val="57"/>
                    <w:jc w:val="left"/>
                    <w:rPr>
                      <w:b w:val="0"/>
                      <w:bCs/>
                      <w:lang w:val="en-US"/>
                    </w:rPr>
                  </w:pPr>
                  <w:r>
                    <w:rPr>
                      <w:rFonts w:hint="eastAsia"/>
                      <w:b w:val="0"/>
                      <w:bCs/>
                      <w:lang w:val="en-US"/>
                    </w:rPr>
                    <w:t>1.本项目所属行业暂无相关行业环境准入条件；</w:t>
                  </w:r>
                </w:p>
                <w:p w14:paraId="1B7F3AF6">
                  <w:pPr>
                    <w:pStyle w:val="57"/>
                    <w:jc w:val="left"/>
                    <w:rPr>
                      <w:b w:val="0"/>
                      <w:bCs/>
                      <w:lang w:val="en-US"/>
                    </w:rPr>
                  </w:pPr>
                  <w:r>
                    <w:rPr>
                      <w:rFonts w:hint="eastAsia"/>
                      <w:b w:val="0"/>
                      <w:bCs/>
                      <w:lang w:val="en-US"/>
                    </w:rPr>
                    <w:t>2.本项目废气、废水、噪声均能达到相应的污染物排放标准，固废得到合理处置；</w:t>
                  </w:r>
                </w:p>
                <w:p w14:paraId="7B059F78">
                  <w:pPr>
                    <w:pStyle w:val="57"/>
                    <w:jc w:val="left"/>
                    <w:rPr>
                      <w:b w:val="0"/>
                      <w:bCs/>
                      <w:lang w:val="en-US"/>
                    </w:rPr>
                  </w:pPr>
                  <w:r>
                    <w:rPr>
                      <w:rFonts w:hint="eastAsia"/>
                      <w:b w:val="0"/>
                      <w:bCs/>
                      <w:lang w:val="en-US"/>
                    </w:rPr>
                    <w:t>3.环评要求本项目新增总量控制污染物，需通过“陕西省环境权交易所”购买取得污染物排放权指标；本项目不涉及重金属污染物排放</w:t>
                  </w:r>
                </w:p>
              </w:tc>
              <w:tc>
                <w:tcPr>
                  <w:tcW w:w="755" w:type="dxa"/>
                  <w:vAlign w:val="center"/>
                </w:tcPr>
                <w:p w14:paraId="21C3AFF6">
                  <w:pPr>
                    <w:pStyle w:val="57"/>
                    <w:rPr>
                      <w:b w:val="0"/>
                      <w:bCs/>
                      <w:lang w:val="en-US"/>
                    </w:rPr>
                  </w:pPr>
                  <w:r>
                    <w:rPr>
                      <w:rFonts w:hint="eastAsia"/>
                      <w:b w:val="0"/>
                      <w:bCs/>
                      <w:lang w:val="en-US"/>
                    </w:rPr>
                    <w:t>相符</w:t>
                  </w:r>
                </w:p>
              </w:tc>
            </w:tr>
            <w:tr w14:paraId="494C0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Merge w:val="continue"/>
                  <w:vAlign w:val="center"/>
                </w:tcPr>
                <w:p w14:paraId="6822F090">
                  <w:pPr>
                    <w:pStyle w:val="57"/>
                    <w:rPr>
                      <w:b w:val="0"/>
                      <w:bCs/>
                      <w:lang w:val="en-US"/>
                    </w:rPr>
                  </w:pPr>
                </w:p>
              </w:tc>
              <w:tc>
                <w:tcPr>
                  <w:tcW w:w="3226" w:type="dxa"/>
                  <w:gridSpan w:val="3"/>
                  <w:vAlign w:val="center"/>
                </w:tcPr>
                <w:p w14:paraId="1F73B754">
                  <w:pPr>
                    <w:pStyle w:val="57"/>
                    <w:jc w:val="left"/>
                    <w:rPr>
                      <w:b w:val="0"/>
                      <w:bCs/>
                      <w:lang w:val="en-US"/>
                    </w:rPr>
                  </w:pPr>
                  <w:r>
                    <w:rPr>
                      <w:b w:val="0"/>
                      <w:bCs/>
                      <w:lang w:val="en-US"/>
                    </w:rPr>
                    <w:t>园区产业环境准入清单（禁止类）</w:t>
                  </w:r>
                </w:p>
              </w:tc>
              <w:tc>
                <w:tcPr>
                  <w:tcW w:w="2900" w:type="dxa"/>
                  <w:vAlign w:val="center"/>
                </w:tcPr>
                <w:p w14:paraId="354CE463">
                  <w:pPr>
                    <w:pStyle w:val="57"/>
                    <w:jc w:val="left"/>
                    <w:rPr>
                      <w:b w:val="0"/>
                      <w:bCs/>
                      <w:lang w:val="en-US"/>
                    </w:rPr>
                  </w:pPr>
                  <w:r>
                    <w:rPr>
                      <w:rFonts w:hint="eastAsia"/>
                      <w:b w:val="0"/>
                      <w:bCs/>
                      <w:lang w:val="en-US"/>
                    </w:rPr>
                    <w:t>经查阅，项目不属于</w:t>
                  </w:r>
                  <w:r>
                    <w:rPr>
                      <w:b w:val="0"/>
                      <w:bCs/>
                      <w:lang w:val="en-US"/>
                    </w:rPr>
                    <w:t>园区产业环境准入清单</w:t>
                  </w:r>
                  <w:r>
                    <w:rPr>
                      <w:rFonts w:hint="eastAsia"/>
                      <w:b w:val="0"/>
                      <w:bCs/>
                      <w:lang w:val="en-US"/>
                    </w:rPr>
                    <w:t>中</w:t>
                  </w:r>
                  <w:r>
                    <w:rPr>
                      <w:b w:val="0"/>
                      <w:bCs/>
                      <w:lang w:val="en-US"/>
                    </w:rPr>
                    <w:t>禁止类</w:t>
                  </w:r>
                </w:p>
              </w:tc>
              <w:tc>
                <w:tcPr>
                  <w:tcW w:w="755" w:type="dxa"/>
                  <w:vAlign w:val="center"/>
                </w:tcPr>
                <w:p w14:paraId="61E27FC2">
                  <w:pPr>
                    <w:pStyle w:val="57"/>
                    <w:rPr>
                      <w:b w:val="0"/>
                      <w:bCs/>
                      <w:lang w:val="en-US"/>
                    </w:rPr>
                  </w:pPr>
                  <w:r>
                    <w:rPr>
                      <w:rFonts w:hint="eastAsia"/>
                      <w:b w:val="0"/>
                      <w:bCs/>
                      <w:lang w:val="en-US"/>
                    </w:rPr>
                    <w:t>相符</w:t>
                  </w:r>
                </w:p>
              </w:tc>
            </w:tr>
            <w:tr w14:paraId="71AEB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Merge w:val="restart"/>
                  <w:vAlign w:val="center"/>
                </w:tcPr>
                <w:p w14:paraId="05D4C986">
                  <w:pPr>
                    <w:pStyle w:val="57"/>
                    <w:rPr>
                      <w:b w:val="0"/>
                      <w:bCs/>
                      <w:lang w:val="en-US"/>
                    </w:rPr>
                  </w:pPr>
                  <w:r>
                    <w:rPr>
                      <w:b w:val="0"/>
                      <w:bCs/>
                      <w:lang w:val="en-US"/>
                    </w:rPr>
                    <w:t>《</w:t>
                  </w:r>
                  <w:r>
                    <w:rPr>
                      <w:rFonts w:hint="eastAsia"/>
                      <w:b w:val="0"/>
                      <w:bCs/>
                      <w:lang w:val="en-US"/>
                    </w:rPr>
                    <w:t>关于蔡家坡经济技术开发区总体规划（2024-2035）环境影响报告书审查意见的函</w:t>
                  </w:r>
                  <w:r>
                    <w:rPr>
                      <w:b w:val="0"/>
                      <w:bCs/>
                      <w:lang w:val="en-US"/>
                    </w:rPr>
                    <w:t>》</w:t>
                  </w:r>
                  <w:r>
                    <w:rPr>
                      <w:rFonts w:hint="eastAsia"/>
                      <w:b w:val="0"/>
                      <w:bCs/>
                    </w:rPr>
                    <w:t>陕环环评函〔2024〕113号</w:t>
                  </w:r>
                </w:p>
              </w:tc>
              <w:tc>
                <w:tcPr>
                  <w:tcW w:w="3226" w:type="dxa"/>
                  <w:gridSpan w:val="3"/>
                  <w:vAlign w:val="center"/>
                </w:tcPr>
                <w:p w14:paraId="4F43D3AC">
                  <w:pPr>
                    <w:pStyle w:val="57"/>
                    <w:jc w:val="left"/>
                    <w:rPr>
                      <w:b w:val="0"/>
                      <w:bCs/>
                      <w:lang w:val="en-US"/>
                    </w:rPr>
                  </w:pPr>
                  <w:r>
                    <w:rPr>
                      <w:b w:val="0"/>
                      <w:bCs/>
                      <w:lang w:val="en-US"/>
                    </w:rPr>
                    <w:t>（一）加强规划引导，优化产业布局。坚持低碳绿色协调发展理念，加强与国土空间总体规划、生态环境分区管控方案的协调衔接。结合规划区发展现状，进一步优化《规划》的产业布局，做好土地资源集约节约利用，落实</w:t>
                  </w:r>
                  <w:r>
                    <w:rPr>
                      <w:rFonts w:hint="eastAsia"/>
                      <w:b w:val="0"/>
                      <w:bCs/>
                      <w:lang w:val="en-US"/>
                    </w:rPr>
                    <w:t>“</w:t>
                  </w:r>
                  <w:r>
                    <w:rPr>
                      <w:b w:val="0"/>
                      <w:bCs/>
                      <w:lang w:val="en-US"/>
                    </w:rPr>
                    <w:t>减污降碳</w:t>
                  </w:r>
                  <w:r>
                    <w:rPr>
                      <w:rFonts w:hint="eastAsia"/>
                      <w:b w:val="0"/>
                      <w:bCs/>
                      <w:lang w:val="en-US"/>
                    </w:rPr>
                    <w:t>”</w:t>
                  </w:r>
                  <w:r>
                    <w:rPr>
                      <w:b w:val="0"/>
                      <w:bCs/>
                      <w:lang w:val="en-US"/>
                    </w:rPr>
                    <w:t>协同控制，结合产业定位合理确定挥发性有机物治理措施，不断提升污染治理能力。</w:t>
                  </w:r>
                </w:p>
              </w:tc>
              <w:tc>
                <w:tcPr>
                  <w:tcW w:w="2900" w:type="dxa"/>
                  <w:vAlign w:val="center"/>
                </w:tcPr>
                <w:p w14:paraId="781C5DF3">
                  <w:pPr>
                    <w:pStyle w:val="57"/>
                    <w:jc w:val="left"/>
                    <w:rPr>
                      <w:b w:val="0"/>
                      <w:bCs/>
                      <w:lang w:val="en-US"/>
                    </w:rPr>
                  </w:pPr>
                  <w:r>
                    <w:rPr>
                      <w:b w:val="0"/>
                      <w:bCs/>
                      <w:lang w:val="en-US"/>
                    </w:rPr>
                    <w:t>本项目位于宝鸡市岐山县蔡家坡经济技术开发区百万平米标准化厂房产业园2-8#标准厂房，属于规划范围内</w:t>
                  </w:r>
                  <w:r>
                    <w:rPr>
                      <w:rFonts w:hint="eastAsia"/>
                      <w:b w:val="0"/>
                      <w:bCs/>
                      <w:lang w:val="en-US"/>
                    </w:rPr>
                    <w:t>，</w:t>
                  </w:r>
                  <w:r>
                    <w:rPr>
                      <w:b w:val="0"/>
                      <w:bCs/>
                      <w:lang w:val="zh-CN"/>
                    </w:rPr>
                    <w:t>本项目为 C3340金属丝绳及其制品制造行业，</w:t>
                  </w:r>
                  <w:r>
                    <w:rPr>
                      <w:rFonts w:hint="eastAsia"/>
                      <w:b w:val="0"/>
                      <w:bCs/>
                      <w:lang w:val="en-US"/>
                    </w:rPr>
                    <w:t>产品为光伏用钨丝钢线，</w:t>
                  </w:r>
                  <w:r>
                    <w:rPr>
                      <w:b w:val="0"/>
                      <w:bCs/>
                      <w:lang w:val="zh-CN"/>
                    </w:rPr>
                    <w:t>属于钨金属材料，符合规划产业定位。</w:t>
                  </w:r>
                </w:p>
              </w:tc>
              <w:tc>
                <w:tcPr>
                  <w:tcW w:w="755" w:type="dxa"/>
                  <w:vAlign w:val="center"/>
                </w:tcPr>
                <w:p w14:paraId="734D25C4">
                  <w:pPr>
                    <w:pStyle w:val="57"/>
                    <w:rPr>
                      <w:b w:val="0"/>
                      <w:bCs/>
                      <w:lang w:val="en-US"/>
                    </w:rPr>
                  </w:pPr>
                  <w:r>
                    <w:rPr>
                      <w:rFonts w:hint="eastAsia"/>
                      <w:b w:val="0"/>
                      <w:bCs/>
                      <w:lang w:val="en-US"/>
                    </w:rPr>
                    <w:t>相符</w:t>
                  </w:r>
                </w:p>
              </w:tc>
            </w:tr>
            <w:tr w14:paraId="792FC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1" w:type="dxa"/>
                  <w:vMerge w:val="continue"/>
                  <w:vAlign w:val="center"/>
                </w:tcPr>
                <w:p w14:paraId="57E31588">
                  <w:pPr>
                    <w:pStyle w:val="57"/>
                    <w:rPr>
                      <w:b w:val="0"/>
                      <w:bCs/>
                      <w:lang w:val="en-US"/>
                    </w:rPr>
                  </w:pPr>
                </w:p>
              </w:tc>
              <w:tc>
                <w:tcPr>
                  <w:tcW w:w="3226" w:type="dxa"/>
                  <w:gridSpan w:val="3"/>
                  <w:vAlign w:val="center"/>
                </w:tcPr>
                <w:p w14:paraId="3DBDDFD8">
                  <w:pPr>
                    <w:pStyle w:val="57"/>
                    <w:jc w:val="left"/>
                    <w:rPr>
                      <w:b w:val="0"/>
                      <w:bCs/>
                      <w:lang w:val="en-US"/>
                    </w:rPr>
                  </w:pPr>
                  <w:r>
                    <w:rPr>
                      <w:b w:val="0"/>
                      <w:bCs/>
                      <w:lang w:val="en-US"/>
                    </w:rPr>
                    <w:t>（二）严格项目准入，落实管控要求。严格遵守生态环境分区管控要求，落实生态环境准入清单，落实《宝鸡市水污染防治工作方案》</w:t>
                  </w:r>
                  <w:r>
                    <w:rPr>
                      <w:rFonts w:hint="eastAsia"/>
                      <w:b w:val="0"/>
                      <w:bCs/>
                      <w:lang w:val="en-US" w:eastAsia="zh-CN"/>
                    </w:rPr>
                    <w:t>，对</w:t>
                  </w:r>
                  <w:r>
                    <w:rPr>
                      <w:b w:val="0"/>
                      <w:bCs/>
                      <w:lang w:val="en-US"/>
                    </w:rPr>
                    <w:t>规划区现有造纸、原料药制造、食品加工企业实施提升改造时，主要污染物排放量应等量或减量置换；涉及重金属污染物时应满足重金属管理相关要求。</w:t>
                  </w:r>
                </w:p>
              </w:tc>
              <w:tc>
                <w:tcPr>
                  <w:tcW w:w="2900" w:type="dxa"/>
                  <w:vAlign w:val="center"/>
                </w:tcPr>
                <w:p w14:paraId="3841285A">
                  <w:pPr>
                    <w:pStyle w:val="57"/>
                    <w:jc w:val="left"/>
                    <w:rPr>
                      <w:b w:val="0"/>
                      <w:bCs/>
                      <w:lang w:val="en-US"/>
                    </w:rPr>
                  </w:pPr>
                  <w:r>
                    <w:rPr>
                      <w:rFonts w:hint="eastAsia"/>
                      <w:b w:val="0"/>
                      <w:bCs/>
                      <w:lang w:val="en-US"/>
                    </w:rPr>
                    <w:t>项目位于重点管控单元，</w:t>
                  </w:r>
                  <w:r>
                    <w:rPr>
                      <w:b w:val="0"/>
                      <w:bCs/>
                      <w:szCs w:val="21"/>
                    </w:rPr>
                    <w:t>符合《</w:t>
                  </w:r>
                  <w:r>
                    <w:rPr>
                      <w:rFonts w:hint="eastAsia"/>
                      <w:b w:val="0"/>
                      <w:bCs/>
                      <w:szCs w:val="21"/>
                    </w:rPr>
                    <w:t>宝鸡市“</w:t>
                  </w:r>
                  <w:r>
                    <w:rPr>
                      <w:b w:val="0"/>
                      <w:bCs/>
                      <w:szCs w:val="21"/>
                    </w:rPr>
                    <w:t>三线一单</w:t>
                  </w:r>
                  <w:r>
                    <w:rPr>
                      <w:rFonts w:hint="eastAsia"/>
                      <w:b w:val="0"/>
                      <w:bCs/>
                      <w:szCs w:val="21"/>
                    </w:rPr>
                    <w:t>”区域</w:t>
                  </w:r>
                  <w:r>
                    <w:rPr>
                      <w:b w:val="0"/>
                      <w:bCs/>
                      <w:szCs w:val="21"/>
                    </w:rPr>
                    <w:t>生态环境分区管控方案》</w:t>
                  </w:r>
                  <w:r>
                    <w:rPr>
                      <w:rFonts w:hint="eastAsia"/>
                      <w:b w:val="0"/>
                      <w:bCs/>
                      <w:szCs w:val="21"/>
                    </w:rPr>
                    <w:t>；</w:t>
                  </w:r>
                  <w:r>
                    <w:rPr>
                      <w:rFonts w:hint="eastAsia"/>
                      <w:b w:val="0"/>
                      <w:bCs/>
                      <w:lang w:val="en-US"/>
                    </w:rPr>
                    <w:t>环评要求本项目新增总量控制污染物，需通过“陕西省环境权交易所”购买取得污染物排放权指标；本项目不涉及重金属污染物排放</w:t>
                  </w:r>
                </w:p>
              </w:tc>
              <w:tc>
                <w:tcPr>
                  <w:tcW w:w="755" w:type="dxa"/>
                  <w:vAlign w:val="center"/>
                </w:tcPr>
                <w:p w14:paraId="36B5D817">
                  <w:pPr>
                    <w:pStyle w:val="57"/>
                    <w:rPr>
                      <w:b w:val="0"/>
                      <w:bCs/>
                      <w:lang w:val="en-US"/>
                    </w:rPr>
                  </w:pPr>
                  <w:r>
                    <w:rPr>
                      <w:rFonts w:hint="eastAsia"/>
                      <w:b w:val="0"/>
                      <w:bCs/>
                      <w:lang w:val="en-US"/>
                    </w:rPr>
                    <w:t>相符</w:t>
                  </w:r>
                </w:p>
              </w:tc>
            </w:tr>
          </w:tbl>
          <w:p w14:paraId="397AD8D8">
            <w:pPr>
              <w:pStyle w:val="57"/>
              <w:jc w:val="both"/>
            </w:pPr>
            <w:r>
              <w:rPr>
                <w:sz w:val="24"/>
              </w:rPr>
              <mc:AlternateContent>
                <mc:Choice Requires="wps">
                  <w:drawing>
                    <wp:anchor distT="0" distB="0" distL="114300" distR="114300" simplePos="0" relativeHeight="251668480" behindDoc="0" locked="0" layoutInCell="1" allowOverlap="1">
                      <wp:simplePos x="0" y="0"/>
                      <wp:positionH relativeFrom="column">
                        <wp:posOffset>2207260</wp:posOffset>
                      </wp:positionH>
                      <wp:positionV relativeFrom="paragraph">
                        <wp:posOffset>2138045</wp:posOffset>
                      </wp:positionV>
                      <wp:extent cx="892810" cy="273050"/>
                      <wp:effectExtent l="120015" t="4445" r="15875" b="484505"/>
                      <wp:wrapNone/>
                      <wp:docPr id="8" name="矩形标注 8"/>
                      <wp:cNvGraphicFramePr/>
                      <a:graphic xmlns:a="http://schemas.openxmlformats.org/drawingml/2006/main">
                        <a:graphicData uri="http://schemas.microsoft.com/office/word/2010/wordprocessingShape">
                          <wps:wsp>
                            <wps:cNvSpPr/>
                            <wps:spPr>
                              <a:xfrm>
                                <a:off x="0" y="0"/>
                                <a:ext cx="892810" cy="273050"/>
                              </a:xfrm>
                              <a:prstGeom prst="wedgeRectCallout">
                                <a:avLst>
                                  <a:gd name="adj1" fmla="val -61308"/>
                                  <a:gd name="adj2" fmla="val 214186"/>
                                </a:avLst>
                              </a:prstGeom>
                              <a:solidFill>
                                <a:srgbClr val="FFFFFF"/>
                              </a:solidFill>
                              <a:ln w="9525" cap="flat" cmpd="sng">
                                <a:solidFill>
                                  <a:srgbClr val="000000"/>
                                </a:solidFill>
                                <a:prstDash val="solid"/>
                                <a:miter/>
                                <a:headEnd type="none" w="med" len="med"/>
                                <a:tailEnd type="none" w="med" len="med"/>
                              </a:ln>
                            </wps:spPr>
                            <wps:txbx>
                              <w:txbxContent>
                                <w:p w14:paraId="27F64293">
                                  <w:pPr>
                                    <w:pStyle w:val="113"/>
                                    <w:rPr>
                                      <w:rFonts w:hint="default"/>
                                      <w:b/>
                                      <w:bCs/>
                                    </w:rPr>
                                  </w:pPr>
                                  <w:r>
                                    <w:rPr>
                                      <w:b/>
                                      <w:bCs/>
                                    </w:rPr>
                                    <w:t>项目所在地</w:t>
                                  </w:r>
                                </w:p>
                              </w:txbxContent>
                            </wps:txbx>
                            <wps:bodyPr upright="1"/>
                          </wps:wsp>
                        </a:graphicData>
                      </a:graphic>
                    </wp:anchor>
                  </w:drawing>
                </mc:Choice>
                <mc:Fallback>
                  <w:pict>
                    <v:shape id="_x0000_s1026" o:spid="_x0000_s1026" o:spt="61" type="#_x0000_t61" style="position:absolute;left:0pt;margin-left:173.8pt;margin-top:168.35pt;height:21.5pt;width:70.3pt;z-index:251668480;mso-width-relative:page;mso-height-relative:page;" fillcolor="#FFFFFF" filled="t" stroked="t" coordsize="21600,21600" o:gfxdata="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mqAUbZAAAACwEAAA8AAAAAAAAAAQAgAAAAIgAAAGRycy9k&#10;b3ducmV2LnhtbFBLAQIUABQAAAAIAIdO4kDhC05cOgIAAI0EAAAOAAAAAAAAAAEAIAAAACgBAABk&#10;cnMvZTJvRG9jLnhtbFBLBQYAAAAABgAGAFkBAADUBQAAAAA=&#10;" adj="-2443,57064">
                      <v:fill on="t" focussize="0,0"/>
                      <v:stroke color="#000000" joinstyle="miter"/>
                      <v:imagedata o:title=""/>
                      <o:lock v:ext="edit" aspectratio="f"/>
                      <v:textbox>
                        <w:txbxContent>
                          <w:p w14:paraId="27F64293">
                            <w:pPr>
                              <w:pStyle w:val="113"/>
                              <w:rPr>
                                <w:rFonts w:hint="default"/>
                                <w:b/>
                                <w:bCs/>
                              </w:rPr>
                            </w:pPr>
                            <w:r>
                              <w:rPr>
                                <w:b/>
                                <w:bCs/>
                              </w:rPr>
                              <w:t>项目所在地</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2026285</wp:posOffset>
                      </wp:positionH>
                      <wp:positionV relativeFrom="paragraph">
                        <wp:posOffset>2842895</wp:posOffset>
                      </wp:positionV>
                      <wp:extent cx="75565" cy="75565"/>
                      <wp:effectExtent l="12700" t="12700" r="26035" b="26035"/>
                      <wp:wrapNone/>
                      <wp:docPr id="58" name="五角星 58"/>
                      <wp:cNvGraphicFramePr/>
                      <a:graphic xmlns:a="http://schemas.openxmlformats.org/drawingml/2006/main">
                        <a:graphicData uri="http://schemas.microsoft.com/office/word/2010/wordprocessingShape">
                          <wps:wsp>
                            <wps:cNvSpPr/>
                            <wps:spPr>
                              <a:xfrm>
                                <a:off x="3890010" y="6908165"/>
                                <a:ext cx="75565" cy="755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59.55pt;margin-top:223.85pt;height:5.95pt;width:5.95pt;z-index:251669504;v-text-anchor:middle;mso-width-relative:page;mso-height-relative:page;" fillcolor="#FF0000" filled="t" stroked="t" coordsize="75565,75565" o:gfxdata="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6xu761wAAAAsBAAAPAAAAAAAAAAEAIAAAACIAAABkcnMvZG93bnJl&#10;di54bWxQSwECFAAUAAAACACHTuJAsJG0Y3ACAADsBAAADgAAAAAAAAABACAAAAAmAQAAZHJzL2Uy&#10;b0RvYy54bWxQSwUGAAAAAAYABgBZAQAACAYAAAAA&#10;" path="m0,28863l28863,28863,37782,0,46701,28863,75564,28863,52213,46701,61133,75564,37782,57726,14431,75564,23351,46701xe">
                      <v:path o:connectlocs="37782,0;0,28863;14431,75564;61133,75564;75564,28863" o:connectangles="247,164,82,82,0"/>
                      <v:fill on="t" focussize="0,0"/>
                      <v:stroke weight="2pt" color="#FF0000 [2404]" joinstyle="round"/>
                      <v:imagedata o:title=""/>
                      <o:lock v:ext="edit" aspectratio="f"/>
                    </v:shape>
                  </w:pict>
                </mc:Fallback>
              </mc:AlternateContent>
            </w:r>
            <w:r>
              <w:drawing>
                <wp:inline distT="0" distB="0" distL="114300" distR="114300">
                  <wp:extent cx="4912360" cy="3475990"/>
                  <wp:effectExtent l="0" t="0" r="2540" b="10160"/>
                  <wp:docPr id="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1"/>
                          <pic:cNvPicPr>
                            <a:picLocks noChangeAspect="1"/>
                          </pic:cNvPicPr>
                        </pic:nvPicPr>
                        <pic:blipFill>
                          <a:blip r:embed="rId16"/>
                          <a:stretch>
                            <a:fillRect/>
                          </a:stretch>
                        </pic:blipFill>
                        <pic:spPr>
                          <a:xfrm>
                            <a:off x="0" y="0"/>
                            <a:ext cx="4912360" cy="3475990"/>
                          </a:xfrm>
                          <a:prstGeom prst="rect">
                            <a:avLst/>
                          </a:prstGeom>
                          <a:noFill/>
                          <a:ln>
                            <a:noFill/>
                          </a:ln>
                        </pic:spPr>
                      </pic:pic>
                    </a:graphicData>
                  </a:graphic>
                </wp:inline>
              </w:drawing>
            </w:r>
          </w:p>
          <w:p w14:paraId="38DDAAEA">
            <w:pPr>
              <w:pStyle w:val="57"/>
              <w:rPr>
                <w:lang w:val="en-US"/>
              </w:rPr>
            </w:pPr>
            <w:r>
              <w:rPr>
                <w:rFonts w:hint="eastAsia"/>
                <w:lang w:val="en-US"/>
              </w:rPr>
              <w:t xml:space="preserve"> </w:t>
            </w:r>
            <w:r>
              <w:rPr>
                <w:rFonts w:hint="eastAsia"/>
                <w:lang w:val="en-US" w:eastAsia="zh-CN"/>
              </w:rPr>
              <w:t>图1-1</w:t>
            </w:r>
            <w:r>
              <w:rPr>
                <w:rFonts w:hint="eastAsia"/>
                <w:lang w:val="en-US"/>
              </w:rPr>
              <w:t>项目与蔡家坡经济技术开发区产业布局规划的关系</w:t>
            </w:r>
          </w:p>
        </w:tc>
      </w:tr>
      <w:tr w14:paraId="32A59D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57" w:type="dxa"/>
            <w:vAlign w:val="center"/>
          </w:tcPr>
          <w:p w14:paraId="393185C6">
            <w:pPr>
              <w:wordWrap w:val="0"/>
              <w:adjustRightInd w:val="0"/>
              <w:snapToGrid w:val="0"/>
              <w:jc w:val="center"/>
              <w:rPr>
                <w:rFonts w:cs="宋体"/>
                <w:b/>
                <w:bCs/>
                <w:sz w:val="24"/>
              </w:rPr>
            </w:pPr>
            <w:r>
              <w:rPr>
                <w:rFonts w:hint="eastAsia" w:cs="宋体"/>
                <w:b/>
                <w:bCs/>
                <w:sz w:val="24"/>
              </w:rPr>
              <w:t>其他符合性分析</w:t>
            </w:r>
          </w:p>
        </w:tc>
        <w:tc>
          <w:tcPr>
            <w:tcW w:w="8010" w:type="dxa"/>
            <w:gridSpan w:val="3"/>
            <w:shd w:val="clear" w:color="auto" w:fill="auto"/>
          </w:tcPr>
          <w:p w14:paraId="3BE5D68B">
            <w:pPr>
              <w:pStyle w:val="111"/>
              <w:ind w:firstLine="482"/>
              <w:rPr>
                <w:rFonts w:hint="default"/>
                <w:b/>
                <w:color w:val="auto"/>
              </w:rPr>
            </w:pPr>
            <w:r>
              <w:rPr>
                <w:rFonts w:hint="eastAsia"/>
                <w:b/>
                <w:color w:val="auto"/>
                <w:lang w:eastAsia="zh-CN"/>
              </w:rPr>
              <w:t>1.</w:t>
            </w:r>
            <w:r>
              <w:rPr>
                <w:b/>
                <w:color w:val="auto"/>
              </w:rPr>
              <w:t>项目与“三线一单”符合性分析</w:t>
            </w:r>
          </w:p>
          <w:p w14:paraId="7B64759F">
            <w:pPr>
              <w:pStyle w:val="111"/>
              <w:wordWrap w:val="0"/>
              <w:rPr>
                <w:rFonts w:hint="default"/>
                <w:color w:val="auto"/>
              </w:rPr>
            </w:pPr>
            <w:r>
              <w:rPr>
                <w:color w:val="auto"/>
              </w:rPr>
              <w:t>根据《陕西省人民政府关于加快实施“三线一单”生态环境分区管控的意见》（陕政发〔2020〕11号）、《宝鸡市“三线一单”生态环境分区管控实施方案》（宝政发〔2021〕19号）、《陕西省“三线一单”生态环境分区管控应用技术指南－环境影响评价（试行）》（陕环办发〔2022〕76号）的通知，进行建设项目与“三线一单”生态环境分区管控符合性分析，采用一图、一表、一说明的形式表达。</w:t>
            </w:r>
          </w:p>
          <w:p w14:paraId="580160E0">
            <w:pPr>
              <w:pStyle w:val="111"/>
              <w:wordWrap w:val="0"/>
              <w:rPr>
                <w:rFonts w:hint="default"/>
                <w:color w:val="auto"/>
              </w:rPr>
            </w:pPr>
            <w:r>
              <w:rPr>
                <w:color w:val="auto"/>
              </w:rPr>
              <w:t>项目与环境管控单元对照分析示意图见下图，环境管控单元名称为</w:t>
            </w:r>
            <w:r>
              <w:rPr>
                <w:b/>
                <w:bCs/>
                <w:color w:val="auto"/>
              </w:rPr>
              <w:t>蔡家坡经济技术开发区</w:t>
            </w:r>
            <w:r>
              <w:rPr>
                <w:color w:val="auto"/>
              </w:rPr>
              <w:t>，属于重点管控单元。</w:t>
            </w:r>
          </w:p>
          <w:p w14:paraId="47EE64FD">
            <w:pPr>
              <w:pStyle w:val="111"/>
              <w:numPr>
                <w:ilvl w:val="0"/>
                <w:numId w:val="8"/>
              </w:numPr>
              <w:wordWrap w:val="0"/>
              <w:ind w:firstLine="482"/>
              <w:rPr>
                <w:rFonts w:hint="default"/>
                <w:b/>
                <w:bCs/>
                <w:color w:val="auto"/>
              </w:rPr>
            </w:pPr>
            <w:r>
              <w:rPr>
                <w:b/>
                <w:bCs/>
                <w:color w:val="auto"/>
              </w:rPr>
              <w:t>“一图”</w:t>
            </w:r>
          </w:p>
          <w:p w14:paraId="1FA5222B">
            <w:pPr>
              <w:pStyle w:val="57"/>
              <w:rPr>
                <w:lang w:val="en-US"/>
              </w:rPr>
            </w:pPr>
            <w:r>
              <w:drawing>
                <wp:inline distT="0" distB="0" distL="114300" distR="114300">
                  <wp:extent cx="3295015" cy="4660265"/>
                  <wp:effectExtent l="0" t="0" r="635" b="6985"/>
                  <wp:docPr id="7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0"/>
                          <pic:cNvPicPr>
                            <a:picLocks noChangeAspect="1"/>
                          </pic:cNvPicPr>
                        </pic:nvPicPr>
                        <pic:blipFill>
                          <a:blip r:embed="rId17"/>
                          <a:stretch>
                            <a:fillRect/>
                          </a:stretch>
                        </pic:blipFill>
                        <pic:spPr>
                          <a:xfrm>
                            <a:off x="0" y="0"/>
                            <a:ext cx="3295015" cy="4660265"/>
                          </a:xfrm>
                          <a:prstGeom prst="rect">
                            <a:avLst/>
                          </a:prstGeom>
                          <a:noFill/>
                          <a:ln>
                            <a:noFill/>
                          </a:ln>
                        </pic:spPr>
                      </pic:pic>
                    </a:graphicData>
                  </a:graphic>
                </wp:inline>
              </w:drawing>
            </w:r>
          </w:p>
          <w:p w14:paraId="1D1C8073">
            <w:pPr>
              <w:pStyle w:val="57"/>
              <w:rPr>
                <w:lang w:val="en-US"/>
              </w:rPr>
            </w:pPr>
            <w:r>
              <w:rPr>
                <w:rFonts w:hint="eastAsia"/>
                <w:lang w:val="en-US"/>
              </w:rPr>
              <w:t>图1-</w:t>
            </w:r>
            <w:r>
              <w:rPr>
                <w:rFonts w:hint="eastAsia"/>
                <w:lang w:val="en-US" w:eastAsia="zh-CN"/>
              </w:rPr>
              <w:t>2</w:t>
            </w:r>
            <w:r>
              <w:rPr>
                <w:rFonts w:hint="eastAsia"/>
                <w:lang w:val="en-US"/>
              </w:rPr>
              <w:t>项目与环境管控单元对照分析示意图</w:t>
            </w:r>
          </w:p>
          <w:p w14:paraId="6978716C">
            <w:pPr>
              <w:pStyle w:val="111"/>
              <w:wordWrap w:val="0"/>
              <w:ind w:firstLine="482"/>
              <w:rPr>
                <w:rFonts w:hint="default"/>
                <w:b/>
                <w:bCs/>
                <w:color w:val="auto"/>
              </w:rPr>
            </w:pPr>
            <w:r>
              <w:rPr>
                <w:b/>
                <w:bCs/>
                <w:color w:val="auto"/>
              </w:rPr>
              <w:t>（2）“一表”</w:t>
            </w:r>
          </w:p>
          <w:p w14:paraId="4CA43E89">
            <w:pPr>
              <w:pStyle w:val="111"/>
              <w:wordWrap w:val="0"/>
              <w:rPr>
                <w:rFonts w:hint="default"/>
                <w:color w:val="auto"/>
              </w:rPr>
            </w:pPr>
            <w:r>
              <w:rPr>
                <w:color w:val="auto"/>
              </w:rPr>
              <w:t>根据陕西省“三线一单”数据应用管理平台数据分析，项目涉及环境管控单元管控要求如下。</w:t>
            </w:r>
          </w:p>
          <w:p w14:paraId="53FFE2BD">
            <w:pPr>
              <w:widowControl/>
              <w:wordWrap w:val="0"/>
              <w:jc w:val="center"/>
              <w:rPr>
                <w:b/>
                <w:kern w:val="0"/>
                <w:szCs w:val="20"/>
              </w:rPr>
            </w:pPr>
            <w:r>
              <w:rPr>
                <w:rFonts w:hint="eastAsia"/>
                <w:b/>
                <w:kern w:val="0"/>
                <w:szCs w:val="20"/>
              </w:rPr>
              <w:t>表1-3项目与环境管控单元管控要求符合性分析</w:t>
            </w:r>
          </w:p>
          <w:tbl>
            <w:tblPr>
              <w:tblStyle w:val="3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8"/>
              <w:gridCol w:w="410"/>
              <w:gridCol w:w="698"/>
              <w:gridCol w:w="659"/>
              <w:gridCol w:w="548"/>
              <w:gridCol w:w="2840"/>
              <w:gridCol w:w="1738"/>
              <w:gridCol w:w="514"/>
            </w:tblGrid>
            <w:tr w14:paraId="6D7C2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7" w:type="dxa"/>
                  <w:shd w:val="clear" w:color="auto" w:fill="FFFFFF"/>
                  <w:vAlign w:val="center"/>
                </w:tcPr>
                <w:p w14:paraId="1AAA45C1">
                  <w:pPr>
                    <w:pStyle w:val="57"/>
                    <w:wordWrap w:val="0"/>
                  </w:pPr>
                  <w:r>
                    <w:t>市</w:t>
                  </w:r>
                </w:p>
              </w:tc>
              <w:tc>
                <w:tcPr>
                  <w:tcW w:w="409" w:type="dxa"/>
                  <w:shd w:val="clear" w:color="auto" w:fill="FFFFFF"/>
                  <w:vAlign w:val="center"/>
                </w:tcPr>
                <w:p w14:paraId="1142AF78">
                  <w:pPr>
                    <w:pStyle w:val="57"/>
                    <w:wordWrap w:val="0"/>
                  </w:pPr>
                  <w:r>
                    <w:t>区县</w:t>
                  </w:r>
                </w:p>
              </w:tc>
              <w:tc>
                <w:tcPr>
                  <w:tcW w:w="698" w:type="dxa"/>
                  <w:shd w:val="clear" w:color="auto" w:fill="FFFFFF"/>
                  <w:vAlign w:val="center"/>
                </w:tcPr>
                <w:p w14:paraId="46524478">
                  <w:pPr>
                    <w:pStyle w:val="57"/>
                    <w:wordWrap w:val="0"/>
                  </w:pPr>
                  <w:r>
                    <w:t>环境管理单元名称</w:t>
                  </w:r>
                </w:p>
              </w:tc>
              <w:tc>
                <w:tcPr>
                  <w:tcW w:w="659" w:type="dxa"/>
                  <w:shd w:val="clear" w:color="auto" w:fill="FFFFFF"/>
                  <w:vAlign w:val="center"/>
                </w:tcPr>
                <w:p w14:paraId="5D197A12">
                  <w:pPr>
                    <w:pStyle w:val="57"/>
                    <w:wordWrap w:val="0"/>
                  </w:pPr>
                  <w:r>
                    <w:t>单元要素属性</w:t>
                  </w:r>
                </w:p>
              </w:tc>
              <w:tc>
                <w:tcPr>
                  <w:tcW w:w="547" w:type="dxa"/>
                  <w:shd w:val="clear" w:color="auto" w:fill="FFFFFF"/>
                  <w:vAlign w:val="center"/>
                </w:tcPr>
                <w:p w14:paraId="356CF382">
                  <w:pPr>
                    <w:pStyle w:val="57"/>
                    <w:wordWrap w:val="0"/>
                  </w:pPr>
                  <w:r>
                    <w:t>管控要求分类</w:t>
                  </w:r>
                </w:p>
              </w:tc>
              <w:tc>
                <w:tcPr>
                  <w:tcW w:w="2845" w:type="dxa"/>
                  <w:shd w:val="clear" w:color="auto" w:fill="FFFFFF"/>
                  <w:vAlign w:val="center"/>
                </w:tcPr>
                <w:p w14:paraId="2FC69C71">
                  <w:pPr>
                    <w:pStyle w:val="57"/>
                    <w:wordWrap w:val="0"/>
                  </w:pPr>
                  <w:r>
                    <w:t>管控要求</w:t>
                  </w:r>
                </w:p>
              </w:tc>
              <w:tc>
                <w:tcPr>
                  <w:tcW w:w="1740" w:type="dxa"/>
                  <w:shd w:val="clear" w:color="auto" w:fill="FFFFFF"/>
                  <w:vAlign w:val="center"/>
                </w:tcPr>
                <w:p w14:paraId="716C6933">
                  <w:pPr>
                    <w:pStyle w:val="57"/>
                    <w:wordWrap w:val="0"/>
                  </w:pPr>
                  <w:r>
                    <w:t>项目情况</w:t>
                  </w:r>
                </w:p>
              </w:tc>
              <w:tc>
                <w:tcPr>
                  <w:tcW w:w="513" w:type="dxa"/>
                  <w:shd w:val="clear" w:color="auto" w:fill="FFFFFF"/>
                  <w:vAlign w:val="center"/>
                </w:tcPr>
                <w:p w14:paraId="670CB4AC">
                  <w:pPr>
                    <w:pStyle w:val="57"/>
                    <w:wordWrap w:val="0"/>
                  </w:pPr>
                  <w:r>
                    <w:t>符合性</w:t>
                  </w:r>
                </w:p>
              </w:tc>
            </w:tr>
            <w:tr w14:paraId="1175B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67" w:type="dxa"/>
                  <w:vMerge w:val="restart"/>
                  <w:vAlign w:val="center"/>
                </w:tcPr>
                <w:p w14:paraId="4E0E842A">
                  <w:pPr>
                    <w:pStyle w:val="57"/>
                    <w:wordWrap w:val="0"/>
                    <w:rPr>
                      <w:b w:val="0"/>
                      <w:bCs/>
                    </w:rPr>
                  </w:pPr>
                  <w:r>
                    <w:rPr>
                      <w:b w:val="0"/>
                      <w:bCs/>
                    </w:rPr>
                    <w:t>宝鸡市</w:t>
                  </w:r>
                </w:p>
              </w:tc>
              <w:tc>
                <w:tcPr>
                  <w:tcW w:w="409" w:type="dxa"/>
                  <w:vMerge w:val="restart"/>
                  <w:vAlign w:val="center"/>
                </w:tcPr>
                <w:p w14:paraId="1DF10F35">
                  <w:pPr>
                    <w:pStyle w:val="57"/>
                    <w:wordWrap w:val="0"/>
                    <w:rPr>
                      <w:b w:val="0"/>
                      <w:bCs/>
                    </w:rPr>
                  </w:pPr>
                  <w:r>
                    <w:rPr>
                      <w:rFonts w:hint="eastAsia"/>
                      <w:b w:val="0"/>
                      <w:bCs/>
                      <w:lang w:val="en-US"/>
                    </w:rPr>
                    <w:t>岐山县</w:t>
                  </w:r>
                </w:p>
              </w:tc>
              <w:tc>
                <w:tcPr>
                  <w:tcW w:w="698" w:type="dxa"/>
                  <w:vMerge w:val="restart"/>
                  <w:vAlign w:val="center"/>
                </w:tcPr>
                <w:p w14:paraId="43E136D3">
                  <w:pPr>
                    <w:pStyle w:val="57"/>
                    <w:wordWrap w:val="0"/>
                    <w:rPr>
                      <w:b w:val="0"/>
                      <w:bCs/>
                    </w:rPr>
                  </w:pPr>
                  <w:r>
                    <w:rPr>
                      <w:rFonts w:hint="eastAsia"/>
                      <w:b w:val="0"/>
                      <w:bCs/>
                    </w:rPr>
                    <w:t>蔡家</w:t>
                  </w:r>
                </w:p>
                <w:p w14:paraId="32011CF0">
                  <w:pPr>
                    <w:pStyle w:val="57"/>
                    <w:wordWrap w:val="0"/>
                    <w:rPr>
                      <w:b w:val="0"/>
                      <w:bCs/>
                    </w:rPr>
                  </w:pPr>
                  <w:r>
                    <w:rPr>
                      <w:rFonts w:hint="eastAsia"/>
                      <w:b w:val="0"/>
                      <w:bCs/>
                    </w:rPr>
                    <w:t>坡经</w:t>
                  </w:r>
                </w:p>
                <w:p w14:paraId="6FBFE652">
                  <w:pPr>
                    <w:pStyle w:val="57"/>
                    <w:wordWrap w:val="0"/>
                    <w:rPr>
                      <w:b w:val="0"/>
                      <w:bCs/>
                    </w:rPr>
                  </w:pPr>
                  <w:r>
                    <w:rPr>
                      <w:rFonts w:hint="eastAsia"/>
                      <w:b w:val="0"/>
                      <w:bCs/>
                    </w:rPr>
                    <w:t>济技</w:t>
                  </w:r>
                </w:p>
                <w:p w14:paraId="2FF3CE67">
                  <w:pPr>
                    <w:pStyle w:val="57"/>
                    <w:wordWrap w:val="0"/>
                    <w:rPr>
                      <w:b w:val="0"/>
                      <w:bCs/>
                    </w:rPr>
                  </w:pPr>
                  <w:r>
                    <w:rPr>
                      <w:rFonts w:hint="eastAsia"/>
                      <w:b w:val="0"/>
                      <w:bCs/>
                    </w:rPr>
                    <w:t>术开</w:t>
                  </w:r>
                </w:p>
                <w:p w14:paraId="37420D93">
                  <w:pPr>
                    <w:pStyle w:val="57"/>
                    <w:wordWrap w:val="0"/>
                    <w:rPr>
                      <w:b w:val="0"/>
                      <w:bCs/>
                    </w:rPr>
                  </w:pPr>
                  <w:r>
                    <w:rPr>
                      <w:rFonts w:hint="eastAsia"/>
                      <w:b w:val="0"/>
                      <w:bCs/>
                    </w:rPr>
                    <w:t>发区</w:t>
                  </w:r>
                </w:p>
              </w:tc>
              <w:tc>
                <w:tcPr>
                  <w:tcW w:w="659" w:type="dxa"/>
                  <w:vMerge w:val="restart"/>
                  <w:vAlign w:val="center"/>
                </w:tcPr>
                <w:p w14:paraId="7C0F972A">
                  <w:pPr>
                    <w:pStyle w:val="57"/>
                    <w:wordWrap w:val="0"/>
                    <w:rPr>
                      <w:b w:val="0"/>
                      <w:bCs/>
                    </w:rPr>
                  </w:pPr>
                  <w:r>
                    <w:rPr>
                      <w:rFonts w:hint="eastAsia"/>
                      <w:b w:val="0"/>
                      <w:bCs/>
                    </w:rPr>
                    <w:t>大气环境高排放重点管控区、水环境工业污染重点管控区、土地资源重点管控区、高污染燃料禁燃区、蔡家坡经济技术开发区</w:t>
                  </w:r>
                </w:p>
              </w:tc>
              <w:tc>
                <w:tcPr>
                  <w:tcW w:w="547" w:type="dxa"/>
                  <w:vMerge w:val="restart"/>
                  <w:vAlign w:val="center"/>
                </w:tcPr>
                <w:p w14:paraId="7D27337F">
                  <w:pPr>
                    <w:pStyle w:val="57"/>
                    <w:wordWrap w:val="0"/>
                    <w:rPr>
                      <w:b w:val="0"/>
                      <w:bCs/>
                    </w:rPr>
                  </w:pPr>
                  <w:r>
                    <w:rPr>
                      <w:b w:val="0"/>
                      <w:bCs/>
                    </w:rPr>
                    <w:t>空间布局约束</w:t>
                  </w:r>
                </w:p>
              </w:tc>
              <w:tc>
                <w:tcPr>
                  <w:tcW w:w="2845" w:type="dxa"/>
                  <w:vAlign w:val="center"/>
                </w:tcPr>
                <w:p w14:paraId="63EF781C">
                  <w:pPr>
                    <w:pStyle w:val="57"/>
                    <w:wordWrap w:val="0"/>
                    <w:jc w:val="both"/>
                  </w:pPr>
                  <w:r>
                    <w:rPr>
                      <w:rFonts w:hint="eastAsia"/>
                    </w:rPr>
                    <w:t>大气环境高排放重点管控区：</w:t>
                  </w:r>
                </w:p>
                <w:p w14:paraId="74DFB671">
                  <w:pPr>
                    <w:pStyle w:val="57"/>
                    <w:numPr>
                      <w:ilvl w:val="0"/>
                      <w:numId w:val="9"/>
                    </w:numPr>
                    <w:wordWrap w:val="0"/>
                    <w:jc w:val="both"/>
                    <w:rPr>
                      <w:b w:val="0"/>
                      <w:bCs/>
                    </w:rPr>
                  </w:pPr>
                  <w:r>
                    <w:rPr>
                      <w:rFonts w:hint="eastAsia"/>
                      <w:b w:val="0"/>
                      <w:bCs/>
                    </w:rPr>
                    <w:t>调整结构强化领域绿色低碳发展。</w:t>
                  </w:r>
                </w:p>
                <w:p w14:paraId="4566F8F3">
                  <w:pPr>
                    <w:pStyle w:val="57"/>
                    <w:numPr>
                      <w:ilvl w:val="0"/>
                      <w:numId w:val="9"/>
                    </w:numPr>
                    <w:wordWrap w:val="0"/>
                    <w:jc w:val="both"/>
                    <w:rPr>
                      <w:b w:val="0"/>
                      <w:bCs/>
                    </w:rPr>
                  </w:pPr>
                  <w:r>
                    <w:rPr>
                      <w:rFonts w:hint="eastAsia"/>
                      <w:b w:val="0"/>
                      <w:bCs/>
                    </w:rPr>
                    <w:t>严禁新增钢铁、焦化、水泥熟料、平板玻璃、电解铝、氧化铝、煤化工产能，合理控制煤制油气产能规模，严控新增炼油产能。推动水泥、焦化行业开展全流程超低排放改造。</w:t>
                  </w:r>
                </w:p>
                <w:p w14:paraId="1A694B56">
                  <w:pPr>
                    <w:pStyle w:val="57"/>
                    <w:wordWrap w:val="0"/>
                    <w:jc w:val="both"/>
                    <w:rPr>
                      <w:b w:val="0"/>
                      <w:bCs/>
                    </w:rPr>
                  </w:pPr>
                  <w:r>
                    <w:rPr>
                      <w:rFonts w:hint="eastAsia"/>
                      <w:b w:val="0"/>
                      <w:bCs/>
                    </w:rPr>
                    <w:t>3.推动传统产业绿色转型升级。采用先进节能低碳环保技术改造提升传统产业，提高清洁生产和污染治理水平。重点发展新能源、新材料、生物技术和新医药、节能环保等战略性新兴产业，引导战略性新兴产业与现有产业融合发展。</w:t>
                  </w:r>
                </w:p>
              </w:tc>
              <w:tc>
                <w:tcPr>
                  <w:tcW w:w="1740" w:type="dxa"/>
                  <w:vAlign w:val="center"/>
                </w:tcPr>
                <w:p w14:paraId="547BD98A">
                  <w:pPr>
                    <w:pStyle w:val="57"/>
                    <w:wordWrap w:val="0"/>
                    <w:jc w:val="both"/>
                    <w:rPr>
                      <w:b w:val="0"/>
                      <w:bCs/>
                      <w:lang w:val="en-US"/>
                    </w:rPr>
                  </w:pPr>
                  <w:r>
                    <w:rPr>
                      <w:rFonts w:hint="eastAsia"/>
                      <w:b w:val="0"/>
                      <w:bCs/>
                      <w:lang w:val="en-US"/>
                    </w:rPr>
                    <w:t>1.本项目不属于两高项目；</w:t>
                  </w:r>
                </w:p>
                <w:p w14:paraId="2E555EEC">
                  <w:pPr>
                    <w:pStyle w:val="57"/>
                    <w:wordWrap w:val="0"/>
                    <w:jc w:val="both"/>
                    <w:rPr>
                      <w:b w:val="0"/>
                      <w:bCs/>
                      <w:lang w:val="en-US"/>
                    </w:rPr>
                  </w:pPr>
                  <w:r>
                    <w:rPr>
                      <w:rFonts w:hint="eastAsia"/>
                      <w:b w:val="0"/>
                      <w:bCs/>
                      <w:lang w:val="en-US"/>
                    </w:rPr>
                    <w:t>2.本项目不属于严禁新增产能的 行业；</w:t>
                  </w:r>
                </w:p>
                <w:p w14:paraId="1C274AC5">
                  <w:pPr>
                    <w:pStyle w:val="57"/>
                    <w:wordWrap w:val="0"/>
                    <w:jc w:val="both"/>
                    <w:rPr>
                      <w:b w:val="0"/>
                      <w:bCs/>
                      <w:lang w:val="en-US"/>
                    </w:rPr>
                  </w:pPr>
                  <w:r>
                    <w:rPr>
                      <w:rFonts w:hint="eastAsia"/>
                      <w:b w:val="0"/>
                      <w:bCs/>
                      <w:lang w:val="en-US"/>
                    </w:rPr>
                    <w:t>3.本项目产品属于新材料，用于光伏行业</w:t>
                  </w:r>
                </w:p>
              </w:tc>
              <w:tc>
                <w:tcPr>
                  <w:tcW w:w="513" w:type="dxa"/>
                  <w:vAlign w:val="center"/>
                </w:tcPr>
                <w:p w14:paraId="2A6C2289">
                  <w:pPr>
                    <w:pStyle w:val="57"/>
                    <w:wordWrap w:val="0"/>
                    <w:rPr>
                      <w:b w:val="0"/>
                      <w:bCs/>
                    </w:rPr>
                  </w:pPr>
                  <w:r>
                    <w:rPr>
                      <w:b w:val="0"/>
                      <w:bCs/>
                    </w:rPr>
                    <w:t>符合</w:t>
                  </w:r>
                </w:p>
              </w:tc>
            </w:tr>
            <w:tr w14:paraId="623F7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dxa"/>
                  <w:vMerge w:val="continue"/>
                  <w:vAlign w:val="center"/>
                </w:tcPr>
                <w:p w14:paraId="6C634493">
                  <w:pPr>
                    <w:pStyle w:val="57"/>
                    <w:wordWrap w:val="0"/>
                  </w:pPr>
                </w:p>
              </w:tc>
              <w:tc>
                <w:tcPr>
                  <w:tcW w:w="409" w:type="dxa"/>
                  <w:vMerge w:val="continue"/>
                  <w:vAlign w:val="center"/>
                </w:tcPr>
                <w:p w14:paraId="374AAF18">
                  <w:pPr>
                    <w:pStyle w:val="57"/>
                    <w:wordWrap w:val="0"/>
                  </w:pPr>
                </w:p>
              </w:tc>
              <w:tc>
                <w:tcPr>
                  <w:tcW w:w="698" w:type="dxa"/>
                  <w:vMerge w:val="continue"/>
                  <w:vAlign w:val="center"/>
                </w:tcPr>
                <w:p w14:paraId="472BF094">
                  <w:pPr>
                    <w:pStyle w:val="57"/>
                    <w:wordWrap w:val="0"/>
                  </w:pPr>
                </w:p>
              </w:tc>
              <w:tc>
                <w:tcPr>
                  <w:tcW w:w="659" w:type="dxa"/>
                  <w:vMerge w:val="continue"/>
                  <w:vAlign w:val="center"/>
                </w:tcPr>
                <w:p w14:paraId="7BB934D4">
                  <w:pPr>
                    <w:pStyle w:val="57"/>
                    <w:wordWrap w:val="0"/>
                  </w:pPr>
                </w:p>
              </w:tc>
              <w:tc>
                <w:tcPr>
                  <w:tcW w:w="547" w:type="dxa"/>
                  <w:vMerge w:val="continue"/>
                  <w:vAlign w:val="center"/>
                </w:tcPr>
                <w:p w14:paraId="0B2CABC5">
                  <w:pPr>
                    <w:pStyle w:val="57"/>
                    <w:wordWrap w:val="0"/>
                  </w:pPr>
                </w:p>
              </w:tc>
              <w:tc>
                <w:tcPr>
                  <w:tcW w:w="2845" w:type="dxa"/>
                  <w:vAlign w:val="center"/>
                </w:tcPr>
                <w:p w14:paraId="4BC656B1">
                  <w:pPr>
                    <w:pStyle w:val="57"/>
                    <w:wordWrap w:val="0"/>
                    <w:jc w:val="both"/>
                  </w:pPr>
                  <w:r>
                    <w:rPr>
                      <w:rFonts w:hint="eastAsia"/>
                    </w:rPr>
                    <w:t>水环境工业污染重点管控区：</w:t>
                  </w:r>
                </w:p>
                <w:p w14:paraId="12F8B200">
                  <w:pPr>
                    <w:pStyle w:val="57"/>
                    <w:wordWrap w:val="0"/>
                    <w:jc w:val="both"/>
                    <w:rPr>
                      <w:b w:val="0"/>
                      <w:bCs/>
                    </w:rPr>
                  </w:pPr>
                  <w:r>
                    <w:rPr>
                      <w:rFonts w:hint="eastAsia"/>
                      <w:b w:val="0"/>
                      <w:bCs/>
                    </w:rPr>
                    <w:t>根据流域水质目标和主体功能区规划要求，实施差别化环境准入政策，严格限制增加氮磷污染物排放的工业项目。关中地区严格控制新建、扩建化学制浆造纸、化工、印染、果汁和淀粉加工等高耗水、高污染项目。</w:t>
                  </w:r>
                </w:p>
              </w:tc>
              <w:tc>
                <w:tcPr>
                  <w:tcW w:w="1740" w:type="dxa"/>
                  <w:vAlign w:val="center"/>
                </w:tcPr>
                <w:p w14:paraId="69D15A7A">
                  <w:pPr>
                    <w:pStyle w:val="57"/>
                    <w:wordWrap w:val="0"/>
                    <w:jc w:val="both"/>
                    <w:rPr>
                      <w:b w:val="0"/>
                      <w:bCs/>
                      <w:lang w:val="en-US"/>
                    </w:rPr>
                  </w:pPr>
                  <w:r>
                    <w:rPr>
                      <w:rFonts w:hint="eastAsia"/>
                      <w:b w:val="0"/>
                      <w:bCs/>
                      <w:lang w:val="en-US"/>
                    </w:rPr>
                    <w:t>本项目不属于高耗水、高污染项目，废水均间接排放</w:t>
                  </w:r>
                </w:p>
              </w:tc>
              <w:tc>
                <w:tcPr>
                  <w:tcW w:w="513" w:type="dxa"/>
                  <w:vAlign w:val="center"/>
                </w:tcPr>
                <w:p w14:paraId="1F88E82B">
                  <w:pPr>
                    <w:pStyle w:val="57"/>
                    <w:rPr>
                      <w:b w:val="0"/>
                      <w:bCs/>
                    </w:rPr>
                  </w:pPr>
                  <w:r>
                    <w:rPr>
                      <w:b w:val="0"/>
                      <w:bCs/>
                    </w:rPr>
                    <w:t>符合</w:t>
                  </w:r>
                </w:p>
              </w:tc>
            </w:tr>
            <w:tr w14:paraId="19C47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dxa"/>
                  <w:vMerge w:val="continue"/>
                  <w:vAlign w:val="center"/>
                </w:tcPr>
                <w:p w14:paraId="37ECD6E0">
                  <w:pPr>
                    <w:pStyle w:val="57"/>
                    <w:wordWrap w:val="0"/>
                    <w:rPr>
                      <w:b w:val="0"/>
                      <w:bCs/>
                    </w:rPr>
                  </w:pPr>
                </w:p>
              </w:tc>
              <w:tc>
                <w:tcPr>
                  <w:tcW w:w="409" w:type="dxa"/>
                  <w:vMerge w:val="continue"/>
                  <w:vAlign w:val="center"/>
                </w:tcPr>
                <w:p w14:paraId="13FC0E8B">
                  <w:pPr>
                    <w:pStyle w:val="57"/>
                    <w:wordWrap w:val="0"/>
                    <w:rPr>
                      <w:b w:val="0"/>
                      <w:bCs/>
                    </w:rPr>
                  </w:pPr>
                </w:p>
              </w:tc>
              <w:tc>
                <w:tcPr>
                  <w:tcW w:w="698" w:type="dxa"/>
                  <w:vMerge w:val="continue"/>
                  <w:vAlign w:val="center"/>
                </w:tcPr>
                <w:p w14:paraId="47C6A2B1">
                  <w:pPr>
                    <w:pStyle w:val="57"/>
                    <w:wordWrap w:val="0"/>
                    <w:rPr>
                      <w:b w:val="0"/>
                      <w:bCs/>
                    </w:rPr>
                  </w:pPr>
                </w:p>
              </w:tc>
              <w:tc>
                <w:tcPr>
                  <w:tcW w:w="659" w:type="dxa"/>
                  <w:vMerge w:val="continue"/>
                  <w:vAlign w:val="center"/>
                </w:tcPr>
                <w:p w14:paraId="2A5C42FC">
                  <w:pPr>
                    <w:pStyle w:val="57"/>
                    <w:wordWrap w:val="0"/>
                    <w:rPr>
                      <w:b w:val="0"/>
                      <w:bCs/>
                    </w:rPr>
                  </w:pPr>
                </w:p>
              </w:tc>
              <w:tc>
                <w:tcPr>
                  <w:tcW w:w="547" w:type="dxa"/>
                  <w:vMerge w:val="continue"/>
                  <w:vAlign w:val="center"/>
                </w:tcPr>
                <w:p w14:paraId="3082797E">
                  <w:pPr>
                    <w:pStyle w:val="57"/>
                    <w:wordWrap w:val="0"/>
                    <w:rPr>
                      <w:b w:val="0"/>
                      <w:bCs/>
                    </w:rPr>
                  </w:pPr>
                </w:p>
              </w:tc>
              <w:tc>
                <w:tcPr>
                  <w:tcW w:w="2845" w:type="dxa"/>
                  <w:vAlign w:val="center"/>
                </w:tcPr>
                <w:p w14:paraId="187B963E">
                  <w:pPr>
                    <w:pStyle w:val="57"/>
                    <w:wordWrap w:val="0"/>
                    <w:jc w:val="both"/>
                    <w:rPr>
                      <w:b w:val="0"/>
                      <w:bCs/>
                    </w:rPr>
                  </w:pPr>
                  <w:r>
                    <w:rPr>
                      <w:rFonts w:hint="eastAsia"/>
                    </w:rPr>
                    <w:t>蔡家坡经济技术开发区</w:t>
                  </w:r>
                </w:p>
                <w:p w14:paraId="583F763B">
                  <w:pPr>
                    <w:pStyle w:val="57"/>
                    <w:numPr>
                      <w:ilvl w:val="0"/>
                      <w:numId w:val="10"/>
                    </w:numPr>
                    <w:wordWrap w:val="0"/>
                    <w:jc w:val="both"/>
                    <w:rPr>
                      <w:b w:val="0"/>
                      <w:bCs/>
                    </w:rPr>
                  </w:pPr>
                  <w:r>
                    <w:rPr>
                      <w:rFonts w:hint="eastAsia"/>
                      <w:b w:val="0"/>
                      <w:bCs/>
                    </w:rPr>
                    <w:t>限制建设区主要包括绿化隔离带，渭河生态绿地及生产绿地，主要包括南侧山体中现状已经建设的村庄外围边界线以外500米范围，西宝高铁到南侧山体山脚线之间现状村庄以外区域；北侧台塬山脚线向南100米范围内区域（现状建成区除外）；石头河、麦李河之间区域（禁止建设区除外）；诸葛亮庙及永尧遗址周边30米</w:t>
                  </w:r>
                  <w:r>
                    <w:rPr>
                      <w:rFonts w:hint="eastAsia"/>
                      <w:b w:val="0"/>
                      <w:bCs/>
                      <w:lang w:eastAsia="zh-CN"/>
                    </w:rPr>
                    <w:t>～</w:t>
                  </w:r>
                  <w:r>
                    <w:rPr>
                      <w:rFonts w:hint="eastAsia"/>
                      <w:b w:val="0"/>
                      <w:bCs/>
                    </w:rPr>
                    <w:t>70米范围。</w:t>
                  </w:r>
                </w:p>
                <w:p w14:paraId="15A787A2">
                  <w:pPr>
                    <w:pStyle w:val="57"/>
                    <w:wordWrap w:val="0"/>
                    <w:jc w:val="both"/>
                    <w:rPr>
                      <w:b w:val="0"/>
                      <w:bCs/>
                    </w:rPr>
                  </w:pPr>
                  <w:r>
                    <w:rPr>
                      <w:rFonts w:hint="eastAsia"/>
                      <w:b w:val="0"/>
                      <w:bCs/>
                    </w:rPr>
                    <w:t>2.禁止建设区主要包括渭河及其支流石头河、麦李河等河流的水体范围、现状河滩地及范围外30米（渭河北侧以高速公路路基边界线以外500米范围除外）；铁路及高速公路周边30米范围内；诸葛亮庙及永尧遗址周边30米范围在这些区域内坚决不能以任何理由进行建设；南部五丈塬林场等生态保护区域。</w:t>
                  </w:r>
                </w:p>
                <w:p w14:paraId="570B0F4B">
                  <w:pPr>
                    <w:pStyle w:val="57"/>
                    <w:wordWrap w:val="0"/>
                    <w:jc w:val="both"/>
                    <w:rPr>
                      <w:b w:val="0"/>
                      <w:bCs/>
                    </w:rPr>
                  </w:pPr>
                  <w:r>
                    <w:rPr>
                      <w:rFonts w:hint="eastAsia"/>
                      <w:b w:val="0"/>
                      <w:bCs/>
                      <w:lang w:val="en-US"/>
                    </w:rPr>
                    <w:t>3.</w:t>
                  </w:r>
                  <w:r>
                    <w:rPr>
                      <w:rFonts w:hint="eastAsia"/>
                      <w:b w:val="0"/>
                      <w:bCs/>
                    </w:rPr>
                    <w:t>执行宝鸡市生态环境要素分区总体准入清单中“5.2大气环境高排放重点管控区的空间布局约束”；（</w:t>
                  </w:r>
                  <w:r>
                    <w:rPr>
                      <w:rFonts w:hint="eastAsia"/>
                      <w:b w:val="0"/>
                      <w:bCs/>
                      <w:lang w:val="en-US"/>
                    </w:rPr>
                    <w:t>1</w:t>
                  </w:r>
                  <w:r>
                    <w:rPr>
                      <w:rFonts w:hint="eastAsia"/>
                      <w:b w:val="0"/>
                      <w:bCs/>
                    </w:rPr>
                    <w:t>）利用新工艺、新技术积极发展高端装备制造业，重点发展航空航天装备、节能与新能源汽车、增材制造行业。（</w:t>
                  </w:r>
                  <w:r>
                    <w:rPr>
                      <w:rFonts w:hint="eastAsia"/>
                      <w:b w:val="0"/>
                      <w:bCs/>
                      <w:lang w:val="en-US"/>
                    </w:rPr>
                    <w:t>2</w:t>
                  </w:r>
                  <w:r>
                    <w:rPr>
                      <w:rFonts w:hint="eastAsia"/>
                      <w:b w:val="0"/>
                      <w:bCs/>
                    </w:rPr>
                    <w:t>）加大新技术、新工艺、新设备的研发推广应用力度。（</w:t>
                  </w:r>
                  <w:r>
                    <w:rPr>
                      <w:rFonts w:hint="eastAsia"/>
                      <w:b w:val="0"/>
                      <w:bCs/>
                      <w:lang w:val="en-US"/>
                    </w:rPr>
                    <w:t>3</w:t>
                  </w:r>
                  <w:r>
                    <w:rPr>
                      <w:rFonts w:hint="eastAsia"/>
                      <w:b w:val="0"/>
                      <w:bCs/>
                    </w:rPr>
                    <w:t>）推动产业集群升级改造，产业集群转型升级。</w:t>
                  </w:r>
                </w:p>
                <w:p w14:paraId="5E5687FC">
                  <w:pPr>
                    <w:pStyle w:val="57"/>
                    <w:wordWrap w:val="0"/>
                    <w:jc w:val="both"/>
                    <w:rPr>
                      <w:b w:val="0"/>
                      <w:bCs/>
                    </w:rPr>
                  </w:pPr>
                  <w:r>
                    <w:rPr>
                      <w:rFonts w:hint="eastAsia"/>
                      <w:b w:val="0"/>
                      <w:bCs/>
                    </w:rPr>
                    <w:t>4.执行宝鸡市生态环境要素分区总体准入清单中“5.5水环境工业污染重点管控区的空间布局约束”根据流域水质目标和主体功能区规划要求，严格区域环境准入条件，细化功能分区，调整和实施差别化环境准入政策，因地制宜完善生态环境准入清单，强化准入管理和底线约束。严格控制新建、扩建化学制浆造纸、化工、印染、果汁和淀粉加工等高耗水、高污染项目。对存在高污染企业的水污染严重地区和敏感区域、城市建成区，提出退城入园、异地搬迁等任务。</w:t>
                  </w:r>
                </w:p>
                <w:p w14:paraId="38ABC349">
                  <w:pPr>
                    <w:pStyle w:val="57"/>
                    <w:wordWrap w:val="0"/>
                    <w:jc w:val="both"/>
                    <w:rPr>
                      <w:b w:val="0"/>
                      <w:bCs/>
                    </w:rPr>
                  </w:pPr>
                  <w:r>
                    <w:rPr>
                      <w:rFonts w:hint="eastAsia"/>
                      <w:b w:val="0"/>
                      <w:bCs/>
                    </w:rPr>
                    <w:t>5.执行宝鸡市生态环境要素分区总体准入清单中“5.9建设用地污染风险重点管控区的空间布局约束”；1.严格控制涉重金属新增产能快速扩张，继续淘汰涉重金属重点行业落后产能。涉重金属行业分布集中、产业规模大、发展速度快、环境问题突出的地区，制定实施更严格的地方污染物排放标准和环境准入标准。依法关停达标无望、治理整顿后仍不能稳定达标的涉重金属企业。2.强化建设用地土壤环境准入。保障宝鸡市建设用地和重点监管企业工业用地腾出地块的安全利用。3.用途变更为住宅、公共管理和公共服务用地的地块，依法开展土壤污染状况调查和风险评估。4.按照《中华人民共和国土壤污染防治法》、《土壤污染防治行动计划》、《工矿用地土壤环境管理办法（试行）》等相关规定进行管理</w:t>
                  </w:r>
                </w:p>
              </w:tc>
              <w:tc>
                <w:tcPr>
                  <w:tcW w:w="1740" w:type="dxa"/>
                  <w:vAlign w:val="center"/>
                </w:tcPr>
                <w:p w14:paraId="306FA136">
                  <w:pPr>
                    <w:pStyle w:val="57"/>
                    <w:wordWrap w:val="0"/>
                    <w:jc w:val="both"/>
                    <w:rPr>
                      <w:b w:val="0"/>
                      <w:bCs/>
                      <w:lang w:val="en-US"/>
                    </w:rPr>
                  </w:pPr>
                  <w:r>
                    <w:rPr>
                      <w:rFonts w:hint="eastAsia"/>
                      <w:b w:val="0"/>
                      <w:bCs/>
                      <w:lang w:val="en-US"/>
                    </w:rPr>
                    <w:t>1.本项目所在地不属于限制建设区；</w:t>
                  </w:r>
                </w:p>
                <w:p w14:paraId="4588585A">
                  <w:pPr>
                    <w:pStyle w:val="57"/>
                    <w:wordWrap w:val="0"/>
                    <w:jc w:val="both"/>
                    <w:rPr>
                      <w:b w:val="0"/>
                      <w:bCs/>
                      <w:lang w:val="en-US"/>
                    </w:rPr>
                  </w:pPr>
                  <w:r>
                    <w:rPr>
                      <w:rFonts w:hint="eastAsia"/>
                      <w:b w:val="0"/>
                      <w:bCs/>
                      <w:lang w:val="en-US"/>
                    </w:rPr>
                    <w:t>2.本项目所在地不属于禁止建设区；</w:t>
                  </w:r>
                </w:p>
                <w:p w14:paraId="1AB25654">
                  <w:pPr>
                    <w:pStyle w:val="57"/>
                    <w:wordWrap w:val="0"/>
                    <w:jc w:val="both"/>
                    <w:rPr>
                      <w:b w:val="0"/>
                      <w:bCs/>
                      <w:lang w:val="en-US"/>
                    </w:rPr>
                  </w:pPr>
                  <w:r>
                    <w:rPr>
                      <w:rFonts w:hint="eastAsia"/>
                      <w:b w:val="0"/>
                      <w:bCs/>
                      <w:lang w:val="en-US"/>
                    </w:rPr>
                    <w:t>3.本项目产品属于新材料，用于光伏行业；</w:t>
                  </w:r>
                </w:p>
                <w:p w14:paraId="46A6A1FE">
                  <w:pPr>
                    <w:pStyle w:val="57"/>
                    <w:wordWrap w:val="0"/>
                    <w:jc w:val="both"/>
                    <w:rPr>
                      <w:b w:val="0"/>
                      <w:bCs/>
                      <w:lang w:val="en-US"/>
                    </w:rPr>
                  </w:pPr>
                  <w:r>
                    <w:rPr>
                      <w:rFonts w:hint="eastAsia"/>
                      <w:b w:val="0"/>
                      <w:bCs/>
                      <w:lang w:val="en-US"/>
                    </w:rPr>
                    <w:t>4.本项目不属于高耗水、高污染项目，废水均间接排放；</w:t>
                  </w:r>
                </w:p>
                <w:p w14:paraId="01A16013">
                  <w:pPr>
                    <w:pStyle w:val="57"/>
                    <w:wordWrap w:val="0"/>
                    <w:jc w:val="both"/>
                    <w:rPr>
                      <w:b w:val="0"/>
                      <w:bCs/>
                      <w:lang w:val="en-US"/>
                    </w:rPr>
                  </w:pPr>
                  <w:r>
                    <w:rPr>
                      <w:rFonts w:hint="eastAsia"/>
                      <w:b w:val="0"/>
                      <w:bCs/>
                      <w:lang w:val="en-US"/>
                    </w:rPr>
                    <w:t>5.本项目不涉及重金属；</w:t>
                  </w:r>
                </w:p>
                <w:p w14:paraId="26EF615E">
                  <w:pPr>
                    <w:pStyle w:val="57"/>
                    <w:wordWrap w:val="0"/>
                    <w:jc w:val="both"/>
                    <w:rPr>
                      <w:b w:val="0"/>
                      <w:bCs/>
                      <w:lang w:val="en-US"/>
                    </w:rPr>
                  </w:pPr>
                </w:p>
              </w:tc>
              <w:tc>
                <w:tcPr>
                  <w:tcW w:w="513" w:type="dxa"/>
                  <w:vAlign w:val="center"/>
                </w:tcPr>
                <w:p w14:paraId="487709EC">
                  <w:pPr>
                    <w:pStyle w:val="57"/>
                    <w:rPr>
                      <w:b w:val="0"/>
                      <w:bCs/>
                    </w:rPr>
                  </w:pPr>
                  <w:r>
                    <w:rPr>
                      <w:b w:val="0"/>
                      <w:bCs/>
                    </w:rPr>
                    <w:t>符合</w:t>
                  </w:r>
                </w:p>
              </w:tc>
            </w:tr>
            <w:tr w14:paraId="6FD3A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dxa"/>
                  <w:vMerge w:val="continue"/>
                  <w:vAlign w:val="center"/>
                </w:tcPr>
                <w:p w14:paraId="22604FCD">
                  <w:pPr>
                    <w:pStyle w:val="57"/>
                    <w:wordWrap w:val="0"/>
                    <w:rPr>
                      <w:b w:val="0"/>
                      <w:bCs/>
                    </w:rPr>
                  </w:pPr>
                </w:p>
              </w:tc>
              <w:tc>
                <w:tcPr>
                  <w:tcW w:w="409" w:type="dxa"/>
                  <w:vMerge w:val="continue"/>
                  <w:vAlign w:val="center"/>
                </w:tcPr>
                <w:p w14:paraId="63E233ED">
                  <w:pPr>
                    <w:pStyle w:val="57"/>
                    <w:wordWrap w:val="0"/>
                    <w:rPr>
                      <w:b w:val="0"/>
                      <w:bCs/>
                    </w:rPr>
                  </w:pPr>
                </w:p>
              </w:tc>
              <w:tc>
                <w:tcPr>
                  <w:tcW w:w="698" w:type="dxa"/>
                  <w:vMerge w:val="continue"/>
                  <w:vAlign w:val="center"/>
                </w:tcPr>
                <w:p w14:paraId="77EEFDBC">
                  <w:pPr>
                    <w:pStyle w:val="57"/>
                    <w:wordWrap w:val="0"/>
                    <w:rPr>
                      <w:b w:val="0"/>
                      <w:bCs/>
                    </w:rPr>
                  </w:pPr>
                </w:p>
              </w:tc>
              <w:tc>
                <w:tcPr>
                  <w:tcW w:w="659" w:type="dxa"/>
                  <w:vMerge w:val="continue"/>
                  <w:vAlign w:val="center"/>
                </w:tcPr>
                <w:p w14:paraId="2689120E">
                  <w:pPr>
                    <w:pStyle w:val="57"/>
                    <w:wordWrap w:val="0"/>
                    <w:rPr>
                      <w:b w:val="0"/>
                      <w:bCs/>
                    </w:rPr>
                  </w:pPr>
                </w:p>
              </w:tc>
              <w:tc>
                <w:tcPr>
                  <w:tcW w:w="547" w:type="dxa"/>
                  <w:vMerge w:val="restart"/>
                  <w:vAlign w:val="center"/>
                </w:tcPr>
                <w:p w14:paraId="73866731">
                  <w:pPr>
                    <w:pStyle w:val="57"/>
                    <w:wordWrap w:val="0"/>
                    <w:rPr>
                      <w:b w:val="0"/>
                      <w:bCs/>
                    </w:rPr>
                  </w:pPr>
                  <w:r>
                    <w:rPr>
                      <w:b w:val="0"/>
                      <w:bCs/>
                    </w:rPr>
                    <w:t>污染物排放管控</w:t>
                  </w:r>
                </w:p>
              </w:tc>
              <w:tc>
                <w:tcPr>
                  <w:tcW w:w="2845" w:type="dxa"/>
                  <w:vAlign w:val="center"/>
                </w:tcPr>
                <w:p w14:paraId="0631C747">
                  <w:pPr>
                    <w:pStyle w:val="57"/>
                    <w:wordWrap w:val="0"/>
                    <w:jc w:val="both"/>
                  </w:pPr>
                  <w:r>
                    <w:rPr>
                      <w:rFonts w:hint="eastAsia"/>
                    </w:rPr>
                    <w:t>大气环境高排放重点管控区：</w:t>
                  </w:r>
                </w:p>
                <w:p w14:paraId="3EB6A7AA">
                  <w:pPr>
                    <w:pStyle w:val="57"/>
                    <w:wordWrap w:val="0"/>
                    <w:jc w:val="both"/>
                    <w:rPr>
                      <w:b w:val="0"/>
                      <w:bCs/>
                    </w:rPr>
                  </w:pPr>
                  <w:r>
                    <w:rPr>
                      <w:rFonts w:hint="eastAsia"/>
                      <w:b w:val="0"/>
                      <w:bCs/>
                    </w:rPr>
                    <w:t>1.实施重点行业氮氧化物等污染物深度治理。持续推进钢铁企业超低排放改造，探索研究开展焦化、水泥行业超低排放改造，推进玻璃、陶瓷、铸造、铁合金、有色等行业污染深度治理。加强自备燃煤机组污染治理设施运行管控，确保超低排放运行。严</w:t>
                  </w:r>
                </w:p>
                <w:p w14:paraId="004AF96E">
                  <w:pPr>
                    <w:pStyle w:val="57"/>
                    <w:wordWrap w:val="0"/>
                    <w:jc w:val="both"/>
                    <w:rPr>
                      <w:b w:val="0"/>
                      <w:bCs/>
                    </w:rPr>
                  </w:pPr>
                  <w:r>
                    <w:rPr>
                      <w:rFonts w:hint="eastAsia"/>
                      <w:b w:val="0"/>
                      <w:bCs/>
                    </w:rPr>
                    <w:t>格控制焦化、水泥、砖瓦、石灰、耐火材料、有色金属冶炼等行业物料储存、输送及生产工艺过程中无组织排放。推动平板玻璃、建筑陶瓷等行业取消烟气旁路，因安全生产无法取消的，按要求安装监管装置，加强监管。</w:t>
                  </w:r>
                </w:p>
                <w:p w14:paraId="574FAE2D">
                  <w:pPr>
                    <w:pStyle w:val="57"/>
                    <w:wordWrap w:val="0"/>
                    <w:jc w:val="both"/>
                    <w:rPr>
                      <w:b w:val="0"/>
                      <w:bCs/>
                    </w:rPr>
                  </w:pPr>
                  <w:r>
                    <w:rPr>
                      <w:rFonts w:hint="eastAsia"/>
                      <w:b w:val="0"/>
                      <w:bCs/>
                    </w:rPr>
                    <w:t>2.在工业园区、企业集群推广建设涉挥发性有机物“绿岛”项目。</w:t>
                  </w:r>
                </w:p>
                <w:p w14:paraId="26D9DD8D">
                  <w:pPr>
                    <w:pStyle w:val="57"/>
                    <w:wordWrap w:val="0"/>
                    <w:jc w:val="both"/>
                    <w:rPr>
                      <w:b w:val="0"/>
                      <w:bCs/>
                    </w:rPr>
                  </w:pPr>
                  <w:r>
                    <w:rPr>
                      <w:rFonts w:hint="eastAsia"/>
                      <w:b w:val="0"/>
                      <w:bCs/>
                    </w:rPr>
                    <w:t>在工业涂装和包装印刷等行业全面推进源头替代，严格落实国家和地方产品挥发性有机物含量限值质量标准。</w:t>
                  </w:r>
                </w:p>
                <w:p w14:paraId="0F152CFD">
                  <w:pPr>
                    <w:pStyle w:val="57"/>
                    <w:wordWrap w:val="0"/>
                    <w:jc w:val="both"/>
                    <w:rPr>
                      <w:b w:val="0"/>
                      <w:bCs/>
                    </w:rPr>
                  </w:pPr>
                  <w:r>
                    <w:rPr>
                      <w:rFonts w:hint="eastAsia"/>
                      <w:b w:val="0"/>
                      <w:bCs/>
                      <w:lang w:val="en-US"/>
                    </w:rPr>
                    <w:t>3.</w:t>
                  </w:r>
                  <w:r>
                    <w:rPr>
                      <w:rFonts w:hint="eastAsia"/>
                      <w:b w:val="0"/>
                      <w:bCs/>
                    </w:rPr>
                    <w:t>持续实施重点行业提标改造。降低电力、水泥、玻璃、石油、化工、有色金属、纺织印染、建材等行业大气污染排放。</w:t>
                  </w:r>
                </w:p>
                <w:p w14:paraId="3A6B9351">
                  <w:pPr>
                    <w:pStyle w:val="57"/>
                    <w:wordWrap w:val="0"/>
                    <w:jc w:val="both"/>
                    <w:rPr>
                      <w:b w:val="0"/>
                      <w:bCs/>
                    </w:rPr>
                  </w:pPr>
                  <w:r>
                    <w:rPr>
                      <w:rFonts w:hint="eastAsia"/>
                      <w:b w:val="0"/>
                      <w:bCs/>
                    </w:rPr>
                    <w:t>4.强化挥发性有机污染物（VOCs）治理。综合治理石化、化工、工业涂装、包装印刷、油品储运销、工业园区和产业集群等六大重点行业VOCs，全面推动企业VOCs治理设施升级改造。</w:t>
                  </w:r>
                </w:p>
              </w:tc>
              <w:tc>
                <w:tcPr>
                  <w:tcW w:w="1740" w:type="dxa"/>
                  <w:vAlign w:val="center"/>
                </w:tcPr>
                <w:p w14:paraId="4BFF671D">
                  <w:pPr>
                    <w:pStyle w:val="57"/>
                    <w:numPr>
                      <w:ilvl w:val="0"/>
                      <w:numId w:val="11"/>
                    </w:numPr>
                    <w:wordWrap w:val="0"/>
                    <w:jc w:val="both"/>
                    <w:rPr>
                      <w:b w:val="0"/>
                      <w:bCs/>
                      <w:lang w:val="en-US"/>
                    </w:rPr>
                  </w:pPr>
                  <w:r>
                    <w:rPr>
                      <w:rFonts w:hint="eastAsia"/>
                      <w:b w:val="0"/>
                      <w:bCs/>
                      <w:lang w:val="en-US"/>
                    </w:rPr>
                    <w:t>本项目采用天然气为清洁能源，燃烧均采用低氮燃烧，排放满足《陕西省工业炉窑大气污染物综合治理方案》重点区排放限值要求；</w:t>
                  </w:r>
                </w:p>
                <w:p w14:paraId="20239176">
                  <w:pPr>
                    <w:pStyle w:val="57"/>
                    <w:numPr>
                      <w:ilvl w:val="0"/>
                      <w:numId w:val="11"/>
                    </w:numPr>
                    <w:wordWrap w:val="0"/>
                    <w:jc w:val="both"/>
                    <w:rPr>
                      <w:b w:val="0"/>
                      <w:bCs/>
                      <w:lang w:val="en-US"/>
                    </w:rPr>
                  </w:pPr>
                  <w:r>
                    <w:rPr>
                      <w:rFonts w:hint="eastAsia"/>
                      <w:b w:val="0"/>
                      <w:bCs/>
                      <w:lang w:val="en-US"/>
                    </w:rPr>
                    <w:t>本项目不涉及挥发性有机物；</w:t>
                  </w:r>
                </w:p>
                <w:p w14:paraId="0F90321D">
                  <w:pPr>
                    <w:pStyle w:val="57"/>
                    <w:numPr>
                      <w:ilvl w:val="0"/>
                      <w:numId w:val="11"/>
                    </w:numPr>
                    <w:wordWrap w:val="0"/>
                    <w:jc w:val="both"/>
                    <w:rPr>
                      <w:b w:val="0"/>
                      <w:bCs/>
                      <w:lang w:val="en-US"/>
                    </w:rPr>
                  </w:pPr>
                  <w:r>
                    <w:rPr>
                      <w:rFonts w:hint="eastAsia"/>
                      <w:b w:val="0"/>
                      <w:bCs/>
                      <w:lang w:val="en-US"/>
                    </w:rPr>
                    <w:t>本项目不属于</w:t>
                  </w:r>
                  <w:r>
                    <w:rPr>
                      <w:rFonts w:hint="eastAsia"/>
                      <w:b w:val="0"/>
                      <w:bCs/>
                    </w:rPr>
                    <w:t>重点行业；</w:t>
                  </w:r>
                </w:p>
                <w:p w14:paraId="29DF38A3">
                  <w:pPr>
                    <w:pStyle w:val="57"/>
                    <w:numPr>
                      <w:ilvl w:val="0"/>
                      <w:numId w:val="11"/>
                    </w:numPr>
                    <w:wordWrap w:val="0"/>
                    <w:jc w:val="both"/>
                    <w:rPr>
                      <w:b w:val="0"/>
                      <w:bCs/>
                      <w:lang w:val="en-US"/>
                    </w:rPr>
                  </w:pPr>
                  <w:r>
                    <w:rPr>
                      <w:rFonts w:hint="eastAsia"/>
                      <w:b w:val="0"/>
                      <w:bCs/>
                      <w:lang w:val="en-US"/>
                    </w:rPr>
                    <w:t>本项目不涉及挥发性有机物；</w:t>
                  </w:r>
                </w:p>
              </w:tc>
              <w:tc>
                <w:tcPr>
                  <w:tcW w:w="513" w:type="dxa"/>
                  <w:vAlign w:val="center"/>
                </w:tcPr>
                <w:p w14:paraId="738C7E3C">
                  <w:pPr>
                    <w:pStyle w:val="57"/>
                    <w:rPr>
                      <w:b w:val="0"/>
                      <w:bCs/>
                    </w:rPr>
                  </w:pPr>
                  <w:r>
                    <w:rPr>
                      <w:b w:val="0"/>
                      <w:bCs/>
                    </w:rPr>
                    <w:t>符合</w:t>
                  </w:r>
                </w:p>
              </w:tc>
            </w:tr>
            <w:tr w14:paraId="74A51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dxa"/>
                  <w:vMerge w:val="continue"/>
                  <w:vAlign w:val="center"/>
                </w:tcPr>
                <w:p w14:paraId="25A398C2">
                  <w:pPr>
                    <w:pStyle w:val="57"/>
                    <w:wordWrap w:val="0"/>
                  </w:pPr>
                </w:p>
              </w:tc>
              <w:tc>
                <w:tcPr>
                  <w:tcW w:w="409" w:type="dxa"/>
                  <w:vMerge w:val="continue"/>
                  <w:vAlign w:val="center"/>
                </w:tcPr>
                <w:p w14:paraId="10280E24">
                  <w:pPr>
                    <w:pStyle w:val="57"/>
                    <w:wordWrap w:val="0"/>
                  </w:pPr>
                </w:p>
              </w:tc>
              <w:tc>
                <w:tcPr>
                  <w:tcW w:w="698" w:type="dxa"/>
                  <w:vMerge w:val="continue"/>
                  <w:vAlign w:val="center"/>
                </w:tcPr>
                <w:p w14:paraId="6BB32F60">
                  <w:pPr>
                    <w:pStyle w:val="57"/>
                    <w:wordWrap w:val="0"/>
                  </w:pPr>
                </w:p>
              </w:tc>
              <w:tc>
                <w:tcPr>
                  <w:tcW w:w="659" w:type="dxa"/>
                  <w:vMerge w:val="continue"/>
                  <w:vAlign w:val="center"/>
                </w:tcPr>
                <w:p w14:paraId="542D6DD6">
                  <w:pPr>
                    <w:pStyle w:val="57"/>
                    <w:wordWrap w:val="0"/>
                  </w:pPr>
                </w:p>
              </w:tc>
              <w:tc>
                <w:tcPr>
                  <w:tcW w:w="547" w:type="dxa"/>
                  <w:vMerge w:val="continue"/>
                  <w:vAlign w:val="center"/>
                </w:tcPr>
                <w:p w14:paraId="6DDB7D3C">
                  <w:pPr>
                    <w:pStyle w:val="57"/>
                    <w:wordWrap w:val="0"/>
                  </w:pPr>
                </w:p>
              </w:tc>
              <w:tc>
                <w:tcPr>
                  <w:tcW w:w="2845" w:type="dxa"/>
                  <w:vAlign w:val="center"/>
                </w:tcPr>
                <w:p w14:paraId="1860667A">
                  <w:pPr>
                    <w:pStyle w:val="57"/>
                    <w:wordWrap w:val="0"/>
                    <w:jc w:val="both"/>
                  </w:pPr>
                  <w:r>
                    <w:rPr>
                      <w:rFonts w:hint="eastAsia"/>
                    </w:rPr>
                    <w:t>水环境工业污染重点管控区：</w:t>
                  </w:r>
                </w:p>
                <w:p w14:paraId="45481D94">
                  <w:pPr>
                    <w:pStyle w:val="57"/>
                    <w:numPr>
                      <w:ilvl w:val="0"/>
                      <w:numId w:val="12"/>
                    </w:numPr>
                    <w:wordWrap w:val="0"/>
                    <w:jc w:val="both"/>
                    <w:rPr>
                      <w:b w:val="0"/>
                      <w:bCs/>
                    </w:rPr>
                  </w:pPr>
                  <w:r>
                    <w:rPr>
                      <w:rFonts w:hint="eastAsia"/>
                      <w:b w:val="0"/>
                      <w:bCs/>
                    </w:rPr>
                    <w:t>推进工业园区污水处理设施分类管理、分期升级改造和污水管网排查整治，省级以上工业集聚区污水集中处理设施实现规范运行。</w:t>
                  </w:r>
                </w:p>
                <w:p w14:paraId="7AA386A3">
                  <w:pPr>
                    <w:pStyle w:val="57"/>
                    <w:numPr>
                      <w:ilvl w:val="0"/>
                      <w:numId w:val="12"/>
                    </w:numPr>
                    <w:wordWrap w:val="0"/>
                    <w:jc w:val="both"/>
                    <w:rPr>
                      <w:b w:val="0"/>
                      <w:bCs/>
                    </w:rPr>
                  </w:pPr>
                  <w:r>
                    <w:rPr>
                      <w:rFonts w:hint="eastAsia"/>
                      <w:b w:val="0"/>
                      <w:bCs/>
                    </w:rPr>
                    <w:t>鼓励工业企业污水近零排放，降低污染负荷。鼓励有条件的地区，实行工业和生活等不同领域、造纸、印染、化工、电镀等不同行业废水分质分类处理。</w:t>
                  </w:r>
                </w:p>
              </w:tc>
              <w:tc>
                <w:tcPr>
                  <w:tcW w:w="1740" w:type="dxa"/>
                  <w:vAlign w:val="center"/>
                </w:tcPr>
                <w:p w14:paraId="6E710D2E">
                  <w:pPr>
                    <w:pStyle w:val="57"/>
                    <w:numPr>
                      <w:ilvl w:val="0"/>
                      <w:numId w:val="13"/>
                    </w:numPr>
                    <w:wordWrap w:val="0"/>
                    <w:jc w:val="both"/>
                    <w:rPr>
                      <w:b w:val="0"/>
                      <w:bCs/>
                      <w:lang w:val="en-US"/>
                    </w:rPr>
                  </w:pPr>
                  <w:r>
                    <w:rPr>
                      <w:rFonts w:hint="eastAsia"/>
                      <w:b w:val="0"/>
                      <w:bCs/>
                      <w:lang w:val="en-US"/>
                    </w:rPr>
                    <w:t>本项目属于五丈原污水处理厂收水范围；</w:t>
                  </w:r>
                </w:p>
                <w:p w14:paraId="02138232">
                  <w:pPr>
                    <w:pStyle w:val="57"/>
                    <w:numPr>
                      <w:ilvl w:val="0"/>
                      <w:numId w:val="13"/>
                    </w:numPr>
                    <w:wordWrap w:val="0"/>
                    <w:jc w:val="both"/>
                    <w:rPr>
                      <w:b w:val="0"/>
                      <w:bCs/>
                      <w:lang w:val="en-US"/>
                    </w:rPr>
                  </w:pPr>
                  <w:r>
                    <w:rPr>
                      <w:rFonts w:hint="eastAsia"/>
                      <w:b w:val="0"/>
                      <w:bCs/>
                      <w:lang w:val="en-US"/>
                    </w:rPr>
                    <w:t>项目对高浓度废水采用“蒸发+冷凝”处理</w:t>
                  </w:r>
                </w:p>
              </w:tc>
              <w:tc>
                <w:tcPr>
                  <w:tcW w:w="513" w:type="dxa"/>
                  <w:vAlign w:val="center"/>
                </w:tcPr>
                <w:p w14:paraId="41765B9B">
                  <w:pPr>
                    <w:pStyle w:val="57"/>
                    <w:rPr>
                      <w:b w:val="0"/>
                      <w:bCs/>
                    </w:rPr>
                  </w:pPr>
                  <w:r>
                    <w:rPr>
                      <w:b w:val="0"/>
                      <w:bCs/>
                    </w:rPr>
                    <w:t>符合</w:t>
                  </w:r>
                </w:p>
              </w:tc>
            </w:tr>
            <w:tr w14:paraId="21175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dxa"/>
                  <w:vMerge w:val="continue"/>
                  <w:vAlign w:val="center"/>
                </w:tcPr>
                <w:p w14:paraId="7DC6B709">
                  <w:pPr>
                    <w:pStyle w:val="57"/>
                    <w:wordWrap w:val="0"/>
                    <w:rPr>
                      <w:b w:val="0"/>
                      <w:bCs/>
                    </w:rPr>
                  </w:pPr>
                </w:p>
              </w:tc>
              <w:tc>
                <w:tcPr>
                  <w:tcW w:w="409" w:type="dxa"/>
                  <w:vMerge w:val="continue"/>
                  <w:vAlign w:val="center"/>
                </w:tcPr>
                <w:p w14:paraId="4B68E2DC">
                  <w:pPr>
                    <w:pStyle w:val="57"/>
                    <w:wordWrap w:val="0"/>
                    <w:rPr>
                      <w:b w:val="0"/>
                      <w:bCs/>
                    </w:rPr>
                  </w:pPr>
                </w:p>
              </w:tc>
              <w:tc>
                <w:tcPr>
                  <w:tcW w:w="698" w:type="dxa"/>
                  <w:vMerge w:val="continue"/>
                  <w:vAlign w:val="center"/>
                </w:tcPr>
                <w:p w14:paraId="11D3DEE0">
                  <w:pPr>
                    <w:pStyle w:val="57"/>
                    <w:wordWrap w:val="0"/>
                    <w:rPr>
                      <w:b w:val="0"/>
                      <w:bCs/>
                    </w:rPr>
                  </w:pPr>
                </w:p>
              </w:tc>
              <w:tc>
                <w:tcPr>
                  <w:tcW w:w="659" w:type="dxa"/>
                  <w:vMerge w:val="continue"/>
                  <w:vAlign w:val="center"/>
                </w:tcPr>
                <w:p w14:paraId="0819FFC2">
                  <w:pPr>
                    <w:pStyle w:val="57"/>
                    <w:wordWrap w:val="0"/>
                    <w:rPr>
                      <w:b w:val="0"/>
                      <w:bCs/>
                    </w:rPr>
                  </w:pPr>
                </w:p>
              </w:tc>
              <w:tc>
                <w:tcPr>
                  <w:tcW w:w="547" w:type="dxa"/>
                  <w:vMerge w:val="continue"/>
                  <w:vAlign w:val="center"/>
                </w:tcPr>
                <w:p w14:paraId="68757AC8">
                  <w:pPr>
                    <w:pStyle w:val="57"/>
                    <w:wordWrap w:val="0"/>
                    <w:rPr>
                      <w:b w:val="0"/>
                      <w:bCs/>
                    </w:rPr>
                  </w:pPr>
                </w:p>
              </w:tc>
              <w:tc>
                <w:tcPr>
                  <w:tcW w:w="2845" w:type="dxa"/>
                  <w:vAlign w:val="center"/>
                </w:tcPr>
                <w:p w14:paraId="7DF44B88">
                  <w:pPr>
                    <w:pStyle w:val="57"/>
                    <w:wordWrap w:val="0"/>
                    <w:jc w:val="both"/>
                  </w:pPr>
                  <w:r>
                    <w:rPr>
                      <w:rFonts w:hint="eastAsia"/>
                    </w:rPr>
                    <w:t>蔡家坡经济技术开发区</w:t>
                  </w:r>
                </w:p>
                <w:p w14:paraId="20028A6F">
                  <w:pPr>
                    <w:pStyle w:val="57"/>
                    <w:numPr>
                      <w:ilvl w:val="0"/>
                      <w:numId w:val="14"/>
                    </w:numPr>
                    <w:wordWrap w:val="0"/>
                    <w:jc w:val="both"/>
                    <w:rPr>
                      <w:b w:val="0"/>
                      <w:bCs/>
                    </w:rPr>
                  </w:pPr>
                  <w:r>
                    <w:rPr>
                      <w:rFonts w:hint="eastAsia"/>
                      <w:b w:val="0"/>
                      <w:bCs/>
                    </w:rPr>
                    <w:t>城市污水集中处理率≥90%；生活垃圾处理率100%，其中生活垃圾无害化处理率100%；工业废气处理率≥90%；工业废水处理率≥95%；工业废水排放达标率≥100%；工业固体废物处置率≥100%，其中，危险废物处置率100%；烟尘控制区覆盖率≥90%；汽车尾气达标率≥80%。</w:t>
                  </w:r>
                </w:p>
                <w:p w14:paraId="1C8578B4">
                  <w:pPr>
                    <w:pStyle w:val="57"/>
                    <w:numPr>
                      <w:ilvl w:val="0"/>
                      <w:numId w:val="14"/>
                    </w:numPr>
                    <w:wordWrap w:val="0"/>
                    <w:jc w:val="both"/>
                    <w:rPr>
                      <w:b w:val="0"/>
                      <w:bCs/>
                    </w:rPr>
                  </w:pPr>
                  <w:r>
                    <w:rPr>
                      <w:rFonts w:hint="eastAsia"/>
                      <w:b w:val="0"/>
                      <w:bCs/>
                    </w:rPr>
                    <w:t>执行宝鸡市生态环境要素分区总体准入清单中“5.2大气环境高排放重点管控区的污染物排放管控”；1.控制氮氧化物、颗粒物、挥发性有机物的排放，特别是挥发性有机物的排放2</w:t>
                  </w:r>
                  <w:r>
                    <w:rPr>
                      <w:rFonts w:hint="eastAsia"/>
                      <w:b w:val="0"/>
                      <w:bCs/>
                      <w:lang w:val="en-US"/>
                    </w:rPr>
                    <w:t>.</w:t>
                  </w:r>
                  <w:r>
                    <w:rPr>
                      <w:rFonts w:hint="eastAsia"/>
                      <w:b w:val="0"/>
                      <w:bCs/>
                    </w:rPr>
                    <w:t>对高能耗高污染行业企业采用更加先进高效的污染控制措施</w:t>
                  </w:r>
                </w:p>
                <w:p w14:paraId="47744398">
                  <w:pPr>
                    <w:pStyle w:val="57"/>
                    <w:wordWrap w:val="0"/>
                    <w:jc w:val="both"/>
                    <w:rPr>
                      <w:b w:val="0"/>
                      <w:bCs/>
                    </w:rPr>
                  </w:pPr>
                  <w:r>
                    <w:rPr>
                      <w:rFonts w:hint="eastAsia"/>
                      <w:b w:val="0"/>
                      <w:bCs/>
                    </w:rPr>
                    <w:t>3.执行宝鸡市生态环境要素分区总体准入清单中“5.5水环境</w:t>
                  </w:r>
                </w:p>
                <w:p w14:paraId="5251EC85">
                  <w:pPr>
                    <w:pStyle w:val="57"/>
                    <w:wordWrap w:val="0"/>
                    <w:jc w:val="both"/>
                    <w:rPr>
                      <w:b w:val="0"/>
                      <w:bCs/>
                    </w:rPr>
                  </w:pPr>
                  <w:r>
                    <w:rPr>
                      <w:rFonts w:hint="eastAsia"/>
                      <w:b w:val="0"/>
                      <w:bCs/>
                    </w:rPr>
                    <w:t>工业污染重点管控区的污染物排放管控”。1.鼓励有色、化工等产业园区配套建设危险废物集中贮存、预处理和处置设施。全面推行清洁生产，（依法对“双超双有高耗能”行业实施强制性清洁生产审核。2.加快建设高新科技新城、陆港新城、蟠龙高新区、五大原等污水处理厂以及虢镇污水处理厂扩容工程推进市区、县城、工业园区和重点镇截污管网建设。</w:t>
                  </w:r>
                </w:p>
              </w:tc>
              <w:tc>
                <w:tcPr>
                  <w:tcW w:w="1740" w:type="dxa"/>
                  <w:vAlign w:val="center"/>
                </w:tcPr>
                <w:p w14:paraId="2BEB7D0A">
                  <w:pPr>
                    <w:pStyle w:val="57"/>
                    <w:numPr>
                      <w:ilvl w:val="0"/>
                      <w:numId w:val="15"/>
                    </w:numPr>
                    <w:wordWrap w:val="0"/>
                    <w:jc w:val="both"/>
                    <w:rPr>
                      <w:b w:val="0"/>
                      <w:bCs/>
                      <w:lang w:val="en-US"/>
                    </w:rPr>
                  </w:pPr>
                  <w:r>
                    <w:rPr>
                      <w:rFonts w:hint="eastAsia"/>
                      <w:b w:val="0"/>
                      <w:bCs/>
                      <w:lang w:val="en-US"/>
                    </w:rPr>
                    <w:t>项目软水制备排水直接排入园区污水管网；电解洗废水采用“钨回收系统”后排入园区污水管网。</w:t>
                  </w:r>
                </w:p>
                <w:p w14:paraId="0428B07E">
                  <w:pPr>
                    <w:pStyle w:val="57"/>
                    <w:numPr>
                      <w:ilvl w:val="0"/>
                      <w:numId w:val="15"/>
                    </w:numPr>
                    <w:wordWrap w:val="0"/>
                    <w:jc w:val="both"/>
                    <w:rPr>
                      <w:b w:val="0"/>
                      <w:bCs/>
                      <w:lang w:val="en-US"/>
                    </w:rPr>
                  </w:pPr>
                  <w:r>
                    <w:rPr>
                      <w:b w:val="0"/>
                      <w:bCs/>
                      <w:lang w:val="en-US"/>
                    </w:rPr>
                    <w:t>项目</w:t>
                  </w:r>
                  <w:r>
                    <w:rPr>
                      <w:rFonts w:hint="eastAsia"/>
                      <w:b w:val="0"/>
                      <w:bCs/>
                      <w:lang w:val="en-US"/>
                    </w:rPr>
                    <w:t>产生的碱雾经喷淋塔处理后有组织排放，</w:t>
                  </w:r>
                  <w:r>
                    <w:rPr>
                      <w:b w:val="0"/>
                      <w:bCs/>
                      <w:lang w:val="en-US"/>
                    </w:rPr>
                    <w:t>天然气燃烧废气经收集后有组织排放</w:t>
                  </w:r>
                </w:p>
                <w:p w14:paraId="28078CAB">
                  <w:pPr>
                    <w:pStyle w:val="57"/>
                    <w:numPr>
                      <w:ilvl w:val="0"/>
                      <w:numId w:val="15"/>
                    </w:numPr>
                    <w:wordWrap w:val="0"/>
                    <w:jc w:val="both"/>
                    <w:rPr>
                      <w:b w:val="0"/>
                      <w:bCs/>
                      <w:lang w:val="en-US"/>
                    </w:rPr>
                  </w:pPr>
                  <w:r>
                    <w:rPr>
                      <w:rFonts w:hint="eastAsia"/>
                      <w:b w:val="0"/>
                      <w:bCs/>
                      <w:lang w:val="en-US"/>
                    </w:rPr>
                    <w:t>项目危险废物规范暂存后交资质单位处置</w:t>
                  </w:r>
                </w:p>
              </w:tc>
              <w:tc>
                <w:tcPr>
                  <w:tcW w:w="513" w:type="dxa"/>
                  <w:vAlign w:val="center"/>
                </w:tcPr>
                <w:p w14:paraId="44AC4D1E">
                  <w:pPr>
                    <w:pStyle w:val="57"/>
                    <w:rPr>
                      <w:b w:val="0"/>
                      <w:bCs/>
                    </w:rPr>
                  </w:pPr>
                  <w:r>
                    <w:rPr>
                      <w:b w:val="0"/>
                      <w:bCs/>
                    </w:rPr>
                    <w:t>符合</w:t>
                  </w:r>
                </w:p>
              </w:tc>
            </w:tr>
            <w:tr w14:paraId="10946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67" w:type="dxa"/>
                  <w:vMerge w:val="continue"/>
                  <w:vAlign w:val="center"/>
                </w:tcPr>
                <w:p w14:paraId="18AFD9ED">
                  <w:pPr>
                    <w:pStyle w:val="57"/>
                    <w:wordWrap w:val="0"/>
                    <w:rPr>
                      <w:b w:val="0"/>
                      <w:bCs/>
                    </w:rPr>
                  </w:pPr>
                </w:p>
              </w:tc>
              <w:tc>
                <w:tcPr>
                  <w:tcW w:w="409" w:type="dxa"/>
                  <w:vMerge w:val="continue"/>
                  <w:vAlign w:val="center"/>
                </w:tcPr>
                <w:p w14:paraId="2D48217B">
                  <w:pPr>
                    <w:pStyle w:val="57"/>
                    <w:wordWrap w:val="0"/>
                    <w:rPr>
                      <w:b w:val="0"/>
                      <w:bCs/>
                    </w:rPr>
                  </w:pPr>
                </w:p>
              </w:tc>
              <w:tc>
                <w:tcPr>
                  <w:tcW w:w="698" w:type="dxa"/>
                  <w:vMerge w:val="continue"/>
                  <w:vAlign w:val="center"/>
                </w:tcPr>
                <w:p w14:paraId="433930FE">
                  <w:pPr>
                    <w:pStyle w:val="57"/>
                    <w:wordWrap w:val="0"/>
                    <w:rPr>
                      <w:b w:val="0"/>
                      <w:bCs/>
                    </w:rPr>
                  </w:pPr>
                </w:p>
              </w:tc>
              <w:tc>
                <w:tcPr>
                  <w:tcW w:w="659" w:type="dxa"/>
                  <w:vMerge w:val="continue"/>
                  <w:vAlign w:val="center"/>
                </w:tcPr>
                <w:p w14:paraId="04195ACA">
                  <w:pPr>
                    <w:pStyle w:val="57"/>
                    <w:wordWrap w:val="0"/>
                    <w:rPr>
                      <w:b w:val="0"/>
                      <w:bCs/>
                    </w:rPr>
                  </w:pPr>
                </w:p>
              </w:tc>
              <w:tc>
                <w:tcPr>
                  <w:tcW w:w="547" w:type="dxa"/>
                  <w:vAlign w:val="center"/>
                </w:tcPr>
                <w:p w14:paraId="5BBCBB0B">
                  <w:pPr>
                    <w:pStyle w:val="57"/>
                    <w:wordWrap w:val="0"/>
                    <w:rPr>
                      <w:b w:val="0"/>
                      <w:bCs/>
                    </w:rPr>
                  </w:pPr>
                  <w:r>
                    <w:rPr>
                      <w:rFonts w:hint="eastAsia"/>
                      <w:b w:val="0"/>
                      <w:bCs/>
                    </w:rPr>
                    <w:t>环境</w:t>
                  </w:r>
                </w:p>
                <w:p w14:paraId="72606FA8">
                  <w:pPr>
                    <w:pStyle w:val="57"/>
                    <w:wordWrap w:val="0"/>
                    <w:rPr>
                      <w:b w:val="0"/>
                      <w:bCs/>
                    </w:rPr>
                  </w:pPr>
                  <w:r>
                    <w:rPr>
                      <w:rFonts w:hint="eastAsia"/>
                      <w:b w:val="0"/>
                      <w:bCs/>
                    </w:rPr>
                    <w:t>风险</w:t>
                  </w:r>
                </w:p>
                <w:p w14:paraId="78A877FD">
                  <w:pPr>
                    <w:pStyle w:val="57"/>
                    <w:wordWrap w:val="0"/>
                    <w:rPr>
                      <w:b w:val="0"/>
                      <w:bCs/>
                    </w:rPr>
                  </w:pPr>
                  <w:r>
                    <w:rPr>
                      <w:rFonts w:hint="eastAsia"/>
                      <w:b w:val="0"/>
                      <w:bCs/>
                    </w:rPr>
                    <w:t>防控</w:t>
                  </w:r>
                </w:p>
              </w:tc>
              <w:tc>
                <w:tcPr>
                  <w:tcW w:w="2845" w:type="dxa"/>
                  <w:vAlign w:val="center"/>
                </w:tcPr>
                <w:p w14:paraId="72101DC4">
                  <w:pPr>
                    <w:pStyle w:val="57"/>
                    <w:wordWrap w:val="0"/>
                    <w:jc w:val="both"/>
                  </w:pPr>
                  <w:r>
                    <w:rPr>
                      <w:rFonts w:hint="eastAsia"/>
                    </w:rPr>
                    <w:t>蔡家坡经济技术开发区</w:t>
                  </w:r>
                </w:p>
                <w:p w14:paraId="6F52E7F4">
                  <w:pPr>
                    <w:pStyle w:val="57"/>
                    <w:wordWrap w:val="0"/>
                    <w:jc w:val="both"/>
                    <w:rPr>
                      <w:b w:val="0"/>
                      <w:bCs/>
                    </w:rPr>
                  </w:pPr>
                  <w:r>
                    <w:rPr>
                      <w:rFonts w:hint="eastAsia"/>
                      <w:b w:val="0"/>
                      <w:bCs/>
                    </w:rPr>
                    <w:t>执行宝鸡市生态环境要素分区总体准入清单中“5.9建设用地污染风险重点管控区的环境风险防控”。在矿产资源开发利用活动集中的区域（凤县）强化尾矿库日常环境监管。在涉重金属产业分布集中、金属环境问题突出的区域、流域，严格实施重金属排放总量控制。</w:t>
                  </w:r>
                </w:p>
              </w:tc>
              <w:tc>
                <w:tcPr>
                  <w:tcW w:w="1740" w:type="dxa"/>
                  <w:vAlign w:val="center"/>
                </w:tcPr>
                <w:p w14:paraId="5A99704D">
                  <w:pPr>
                    <w:pStyle w:val="57"/>
                    <w:wordWrap w:val="0"/>
                    <w:jc w:val="both"/>
                    <w:rPr>
                      <w:b w:val="0"/>
                      <w:bCs/>
                      <w:lang w:val="en-US"/>
                    </w:rPr>
                  </w:pPr>
                  <w:r>
                    <w:rPr>
                      <w:rFonts w:hint="eastAsia"/>
                      <w:b w:val="0"/>
                      <w:bCs/>
                      <w:lang w:val="en-US"/>
                    </w:rPr>
                    <w:t>本项目不属于矿产资源开发利用，不涉及重金属</w:t>
                  </w:r>
                </w:p>
              </w:tc>
              <w:tc>
                <w:tcPr>
                  <w:tcW w:w="513" w:type="dxa"/>
                  <w:vAlign w:val="center"/>
                </w:tcPr>
                <w:p w14:paraId="4B763322">
                  <w:pPr>
                    <w:pStyle w:val="57"/>
                    <w:rPr>
                      <w:b w:val="0"/>
                      <w:bCs/>
                    </w:rPr>
                  </w:pPr>
                  <w:r>
                    <w:rPr>
                      <w:b w:val="0"/>
                      <w:bCs/>
                    </w:rPr>
                    <w:t>符合</w:t>
                  </w:r>
                </w:p>
              </w:tc>
            </w:tr>
            <w:tr w14:paraId="2A28E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dxa"/>
                  <w:vMerge w:val="continue"/>
                  <w:vAlign w:val="center"/>
                </w:tcPr>
                <w:p w14:paraId="2953917C">
                  <w:pPr>
                    <w:pStyle w:val="57"/>
                    <w:wordWrap w:val="0"/>
                    <w:rPr>
                      <w:b w:val="0"/>
                      <w:bCs/>
                    </w:rPr>
                  </w:pPr>
                </w:p>
              </w:tc>
              <w:tc>
                <w:tcPr>
                  <w:tcW w:w="409" w:type="dxa"/>
                  <w:vMerge w:val="continue"/>
                  <w:vAlign w:val="center"/>
                </w:tcPr>
                <w:p w14:paraId="0601136C">
                  <w:pPr>
                    <w:pStyle w:val="57"/>
                    <w:wordWrap w:val="0"/>
                    <w:rPr>
                      <w:b w:val="0"/>
                      <w:bCs/>
                    </w:rPr>
                  </w:pPr>
                </w:p>
              </w:tc>
              <w:tc>
                <w:tcPr>
                  <w:tcW w:w="698" w:type="dxa"/>
                  <w:vMerge w:val="continue"/>
                  <w:vAlign w:val="center"/>
                </w:tcPr>
                <w:p w14:paraId="7252D3BF">
                  <w:pPr>
                    <w:pStyle w:val="57"/>
                    <w:wordWrap w:val="0"/>
                    <w:rPr>
                      <w:b w:val="0"/>
                      <w:bCs/>
                    </w:rPr>
                  </w:pPr>
                </w:p>
              </w:tc>
              <w:tc>
                <w:tcPr>
                  <w:tcW w:w="659" w:type="dxa"/>
                  <w:vMerge w:val="continue"/>
                  <w:vAlign w:val="center"/>
                </w:tcPr>
                <w:p w14:paraId="6E924B75">
                  <w:pPr>
                    <w:pStyle w:val="57"/>
                    <w:wordWrap w:val="0"/>
                    <w:rPr>
                      <w:b w:val="0"/>
                      <w:bCs/>
                    </w:rPr>
                  </w:pPr>
                </w:p>
              </w:tc>
              <w:tc>
                <w:tcPr>
                  <w:tcW w:w="547" w:type="dxa"/>
                  <w:vMerge w:val="restart"/>
                  <w:vAlign w:val="center"/>
                </w:tcPr>
                <w:p w14:paraId="7D65B81E">
                  <w:pPr>
                    <w:pStyle w:val="57"/>
                    <w:wordWrap w:val="0"/>
                    <w:rPr>
                      <w:b w:val="0"/>
                      <w:bCs/>
                    </w:rPr>
                  </w:pPr>
                  <w:r>
                    <w:rPr>
                      <w:b w:val="0"/>
                      <w:bCs/>
                    </w:rPr>
                    <w:t>资源开发效率要求</w:t>
                  </w:r>
                </w:p>
              </w:tc>
              <w:tc>
                <w:tcPr>
                  <w:tcW w:w="2845" w:type="dxa"/>
                  <w:vAlign w:val="center"/>
                </w:tcPr>
                <w:p w14:paraId="42555767">
                  <w:pPr>
                    <w:pStyle w:val="57"/>
                    <w:wordWrap w:val="0"/>
                    <w:jc w:val="both"/>
                  </w:pPr>
                  <w:r>
                    <w:rPr>
                      <w:rFonts w:hint="eastAsia"/>
                    </w:rPr>
                    <w:t>土地资源重点管控区：</w:t>
                  </w:r>
                </w:p>
                <w:p w14:paraId="5F06D1AC">
                  <w:pPr>
                    <w:pStyle w:val="57"/>
                    <w:numPr>
                      <w:ilvl w:val="0"/>
                      <w:numId w:val="16"/>
                    </w:numPr>
                    <w:wordWrap w:val="0"/>
                    <w:jc w:val="both"/>
                    <w:rPr>
                      <w:b w:val="0"/>
                      <w:bCs/>
                    </w:rPr>
                  </w:pPr>
                  <w:r>
                    <w:rPr>
                      <w:rFonts w:hint="eastAsia"/>
                      <w:b w:val="0"/>
                      <w:bCs/>
                    </w:rPr>
                    <w:t>按照布局集中、用地集约、产业集聚、效益集显的原则，重点依托省级以上开发区、县域工业集中区等，推进战略性新兴产业、先进制造业、生产性服务业等产业项目在工业产业区块内集中布局。严格控制在园区外安排新增工业用地。确需在园区外安排重大或有特殊工艺要求工业项目的，须加强科学论证。</w:t>
                  </w:r>
                </w:p>
                <w:p w14:paraId="23A6A9B9">
                  <w:pPr>
                    <w:pStyle w:val="57"/>
                    <w:numPr>
                      <w:ilvl w:val="0"/>
                      <w:numId w:val="16"/>
                    </w:numPr>
                    <w:wordWrap w:val="0"/>
                    <w:jc w:val="both"/>
                    <w:rPr>
                      <w:b w:val="0"/>
                      <w:bCs/>
                    </w:rPr>
                  </w:pPr>
                  <w:r>
                    <w:rPr>
                      <w:rFonts w:hint="eastAsia"/>
                      <w:b w:val="0"/>
                      <w:bCs/>
                    </w:rPr>
                    <w:t>严格用地准入管理。严格执行自然资源开发利用限制和禁止目录、建设用地定额标准和市场准入负面清单。</w:t>
                  </w:r>
                </w:p>
              </w:tc>
              <w:tc>
                <w:tcPr>
                  <w:tcW w:w="1740" w:type="dxa"/>
                  <w:vAlign w:val="center"/>
                </w:tcPr>
                <w:p w14:paraId="4BC9E9CF">
                  <w:pPr>
                    <w:pStyle w:val="57"/>
                    <w:numPr>
                      <w:ilvl w:val="0"/>
                      <w:numId w:val="17"/>
                    </w:numPr>
                    <w:wordWrap w:val="0"/>
                    <w:jc w:val="both"/>
                    <w:rPr>
                      <w:b w:val="0"/>
                      <w:bCs/>
                      <w:lang w:val="en-US"/>
                    </w:rPr>
                  </w:pPr>
                  <w:r>
                    <w:rPr>
                      <w:rFonts w:hint="eastAsia"/>
                      <w:b w:val="0"/>
                      <w:bCs/>
                      <w:lang w:val="en-US"/>
                    </w:rPr>
                    <w:t>本项目位于百万平米厂房，属于工业聚集区</w:t>
                  </w:r>
                </w:p>
                <w:p w14:paraId="1C1B8E9B">
                  <w:pPr>
                    <w:pStyle w:val="57"/>
                    <w:numPr>
                      <w:ilvl w:val="0"/>
                      <w:numId w:val="17"/>
                    </w:numPr>
                    <w:wordWrap w:val="0"/>
                    <w:jc w:val="both"/>
                    <w:rPr>
                      <w:b w:val="0"/>
                      <w:bCs/>
                      <w:lang w:val="en-US"/>
                    </w:rPr>
                  </w:pPr>
                  <w:r>
                    <w:rPr>
                      <w:rFonts w:hint="eastAsia"/>
                      <w:b w:val="0"/>
                      <w:bCs/>
                      <w:lang w:val="en-US"/>
                    </w:rPr>
                    <w:t>本项目用地属于工业用地</w:t>
                  </w:r>
                </w:p>
              </w:tc>
              <w:tc>
                <w:tcPr>
                  <w:tcW w:w="513" w:type="dxa"/>
                  <w:vAlign w:val="center"/>
                </w:tcPr>
                <w:p w14:paraId="683A9311">
                  <w:pPr>
                    <w:pStyle w:val="57"/>
                    <w:rPr>
                      <w:b w:val="0"/>
                      <w:bCs/>
                    </w:rPr>
                  </w:pPr>
                  <w:r>
                    <w:rPr>
                      <w:b w:val="0"/>
                      <w:bCs/>
                    </w:rPr>
                    <w:t>符合</w:t>
                  </w:r>
                </w:p>
              </w:tc>
            </w:tr>
            <w:tr w14:paraId="58077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dxa"/>
                  <w:vMerge w:val="continue"/>
                  <w:vAlign w:val="center"/>
                </w:tcPr>
                <w:p w14:paraId="7F24CC62">
                  <w:pPr>
                    <w:pStyle w:val="57"/>
                    <w:wordWrap w:val="0"/>
                  </w:pPr>
                </w:p>
              </w:tc>
              <w:tc>
                <w:tcPr>
                  <w:tcW w:w="409" w:type="dxa"/>
                  <w:vMerge w:val="continue"/>
                  <w:vAlign w:val="center"/>
                </w:tcPr>
                <w:p w14:paraId="41C1BFE4">
                  <w:pPr>
                    <w:pStyle w:val="57"/>
                    <w:wordWrap w:val="0"/>
                  </w:pPr>
                </w:p>
              </w:tc>
              <w:tc>
                <w:tcPr>
                  <w:tcW w:w="698" w:type="dxa"/>
                  <w:vMerge w:val="continue"/>
                  <w:vAlign w:val="center"/>
                </w:tcPr>
                <w:p w14:paraId="40EB6412">
                  <w:pPr>
                    <w:pStyle w:val="57"/>
                    <w:wordWrap w:val="0"/>
                  </w:pPr>
                </w:p>
              </w:tc>
              <w:tc>
                <w:tcPr>
                  <w:tcW w:w="659" w:type="dxa"/>
                  <w:vMerge w:val="continue"/>
                  <w:vAlign w:val="center"/>
                </w:tcPr>
                <w:p w14:paraId="216AE301">
                  <w:pPr>
                    <w:pStyle w:val="57"/>
                    <w:wordWrap w:val="0"/>
                  </w:pPr>
                </w:p>
              </w:tc>
              <w:tc>
                <w:tcPr>
                  <w:tcW w:w="547" w:type="dxa"/>
                  <w:vMerge w:val="continue"/>
                  <w:vAlign w:val="center"/>
                </w:tcPr>
                <w:p w14:paraId="1C935663">
                  <w:pPr>
                    <w:pStyle w:val="57"/>
                    <w:wordWrap w:val="0"/>
                  </w:pPr>
                </w:p>
              </w:tc>
              <w:tc>
                <w:tcPr>
                  <w:tcW w:w="2845" w:type="dxa"/>
                  <w:vAlign w:val="center"/>
                </w:tcPr>
                <w:p w14:paraId="5B65D035">
                  <w:pPr>
                    <w:pStyle w:val="57"/>
                    <w:wordWrap w:val="0"/>
                    <w:jc w:val="both"/>
                  </w:pPr>
                  <w:r>
                    <w:rPr>
                      <w:rFonts w:hint="eastAsia"/>
                    </w:rPr>
                    <w:t>高污染燃料禁燃区：</w:t>
                  </w:r>
                </w:p>
                <w:p w14:paraId="6BF15C97">
                  <w:pPr>
                    <w:pStyle w:val="57"/>
                    <w:numPr>
                      <w:ilvl w:val="0"/>
                      <w:numId w:val="18"/>
                    </w:numPr>
                    <w:wordWrap w:val="0"/>
                    <w:jc w:val="both"/>
                    <w:rPr>
                      <w:b w:val="0"/>
                      <w:bCs/>
                    </w:rPr>
                  </w:pPr>
                  <w:r>
                    <w:rPr>
                      <w:rFonts w:hint="eastAsia"/>
                      <w:b w:val="0"/>
                      <w:bCs/>
                    </w:rPr>
                    <w:t>禁止销售、燃用高污染燃料（35蒸吨及以上锅炉、火力发电企业机组除外）。</w:t>
                  </w:r>
                </w:p>
                <w:p w14:paraId="2579F6CE">
                  <w:pPr>
                    <w:pStyle w:val="57"/>
                    <w:wordWrap w:val="0"/>
                    <w:jc w:val="both"/>
                    <w:rPr>
                      <w:b w:val="0"/>
                      <w:bCs/>
                    </w:rPr>
                  </w:pPr>
                  <w:r>
                    <w:rPr>
                      <w:rFonts w:hint="eastAsia"/>
                      <w:b w:val="0"/>
                      <w:bCs/>
                    </w:rPr>
                    <w:t>2.高污染燃料禁燃区执行Ⅲ类（严格）要求，禁止使用煤炭及其制品、石油焦、油页岩、原油、重油、渣油、煤焦油以及非专用锅炉或未配置高效除尘设施的专用锅炉燃用的生物质成型燃料。3.禁止新建、扩建燃用高污染燃料的锅炉、窑炉、炉灶等设施，不得将其他燃料燃用设施改造为高污染燃料燃用设施。</w:t>
                  </w:r>
                </w:p>
                <w:p w14:paraId="52FE10AE">
                  <w:pPr>
                    <w:pStyle w:val="57"/>
                    <w:wordWrap w:val="0"/>
                    <w:jc w:val="both"/>
                    <w:rPr>
                      <w:b w:val="0"/>
                      <w:bCs/>
                    </w:rPr>
                  </w:pPr>
                  <w:r>
                    <w:rPr>
                      <w:rFonts w:hint="eastAsia"/>
                      <w:b w:val="0"/>
                      <w:bCs/>
                    </w:rPr>
                    <w:t>4.禁燃区内集中供热企业必须使用符合《商品煤质量管理暂行办法》的燃煤，发电企业必须使用符合《商品煤质量发电煤粉锅炉用煤》（GB/T7562-2018）标准的燃煤，不得擅自改用其他类型的高污染燃料，高效除尘、脱硫、脱硝设施必须正常稳定运行，确保大气污染物达标排放。</w:t>
                  </w:r>
                </w:p>
                <w:p w14:paraId="77D2C6DD">
                  <w:pPr>
                    <w:pStyle w:val="57"/>
                    <w:wordWrap w:val="0"/>
                    <w:jc w:val="both"/>
                    <w:rPr>
                      <w:b w:val="0"/>
                      <w:bCs/>
                    </w:rPr>
                  </w:pPr>
                  <w:r>
                    <w:rPr>
                      <w:rFonts w:hint="eastAsia"/>
                      <w:b w:val="0"/>
                      <w:bCs/>
                    </w:rPr>
                    <w:t>5.禁止生产、销售和使用高污染燃料。禁止露天烧烤，禁止焦（木）炭烧烤，禁止焚烧垃圾（树叶、杂草）、沥青、油毡、橡胶、皮革等可产生有毒、有害烟尘和恶臭气体的物质。</w:t>
                  </w:r>
                </w:p>
              </w:tc>
              <w:tc>
                <w:tcPr>
                  <w:tcW w:w="1740" w:type="dxa"/>
                  <w:vAlign w:val="center"/>
                </w:tcPr>
                <w:p w14:paraId="6C23FC73">
                  <w:pPr>
                    <w:pStyle w:val="57"/>
                    <w:wordWrap w:val="0"/>
                    <w:jc w:val="both"/>
                    <w:rPr>
                      <w:b w:val="0"/>
                      <w:bCs/>
                      <w:lang w:val="en-US"/>
                    </w:rPr>
                  </w:pPr>
                  <w:r>
                    <w:rPr>
                      <w:rFonts w:hint="eastAsia"/>
                      <w:b w:val="0"/>
                      <w:bCs/>
                      <w:lang w:val="en-US"/>
                    </w:rPr>
                    <w:t>本项目使用电能及天然气，不涉及燃煤等</w:t>
                  </w:r>
                </w:p>
                <w:p w14:paraId="3B98C4D5">
                  <w:pPr>
                    <w:pStyle w:val="57"/>
                    <w:wordWrap w:val="0"/>
                    <w:jc w:val="both"/>
                    <w:rPr>
                      <w:b w:val="0"/>
                      <w:bCs/>
                      <w:lang w:val="en-US"/>
                    </w:rPr>
                  </w:pPr>
                </w:p>
                <w:p w14:paraId="6EC3FF5C">
                  <w:pPr>
                    <w:pStyle w:val="57"/>
                    <w:wordWrap w:val="0"/>
                    <w:jc w:val="both"/>
                    <w:rPr>
                      <w:b w:val="0"/>
                      <w:bCs/>
                      <w:lang w:val="en-US"/>
                    </w:rPr>
                  </w:pPr>
                </w:p>
              </w:tc>
              <w:tc>
                <w:tcPr>
                  <w:tcW w:w="513" w:type="dxa"/>
                  <w:vAlign w:val="center"/>
                </w:tcPr>
                <w:p w14:paraId="70286069">
                  <w:pPr>
                    <w:pStyle w:val="57"/>
                    <w:rPr>
                      <w:b w:val="0"/>
                      <w:bCs/>
                    </w:rPr>
                  </w:pPr>
                  <w:r>
                    <w:rPr>
                      <w:b w:val="0"/>
                      <w:bCs/>
                    </w:rPr>
                    <w:t>符合</w:t>
                  </w:r>
                </w:p>
              </w:tc>
            </w:tr>
            <w:tr w14:paraId="62A7D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 w:type="dxa"/>
                  <w:vMerge w:val="continue"/>
                  <w:vAlign w:val="center"/>
                </w:tcPr>
                <w:p w14:paraId="324E8A66">
                  <w:pPr>
                    <w:pStyle w:val="57"/>
                    <w:wordWrap w:val="0"/>
                    <w:rPr>
                      <w:b w:val="0"/>
                      <w:bCs/>
                    </w:rPr>
                  </w:pPr>
                </w:p>
              </w:tc>
              <w:tc>
                <w:tcPr>
                  <w:tcW w:w="409" w:type="dxa"/>
                  <w:vMerge w:val="continue"/>
                  <w:vAlign w:val="center"/>
                </w:tcPr>
                <w:p w14:paraId="0A20298C">
                  <w:pPr>
                    <w:pStyle w:val="57"/>
                    <w:wordWrap w:val="0"/>
                    <w:rPr>
                      <w:b w:val="0"/>
                      <w:bCs/>
                    </w:rPr>
                  </w:pPr>
                </w:p>
              </w:tc>
              <w:tc>
                <w:tcPr>
                  <w:tcW w:w="698" w:type="dxa"/>
                  <w:vMerge w:val="continue"/>
                  <w:vAlign w:val="center"/>
                </w:tcPr>
                <w:p w14:paraId="0EE6A612">
                  <w:pPr>
                    <w:pStyle w:val="57"/>
                    <w:wordWrap w:val="0"/>
                    <w:rPr>
                      <w:b w:val="0"/>
                      <w:bCs/>
                    </w:rPr>
                  </w:pPr>
                </w:p>
              </w:tc>
              <w:tc>
                <w:tcPr>
                  <w:tcW w:w="659" w:type="dxa"/>
                  <w:vMerge w:val="continue"/>
                  <w:vAlign w:val="center"/>
                </w:tcPr>
                <w:p w14:paraId="417DBB95">
                  <w:pPr>
                    <w:pStyle w:val="57"/>
                    <w:wordWrap w:val="0"/>
                    <w:rPr>
                      <w:b w:val="0"/>
                      <w:bCs/>
                    </w:rPr>
                  </w:pPr>
                </w:p>
              </w:tc>
              <w:tc>
                <w:tcPr>
                  <w:tcW w:w="547" w:type="dxa"/>
                  <w:vMerge w:val="continue"/>
                  <w:vAlign w:val="center"/>
                </w:tcPr>
                <w:p w14:paraId="0F922211">
                  <w:pPr>
                    <w:pStyle w:val="57"/>
                    <w:wordWrap w:val="0"/>
                    <w:rPr>
                      <w:b w:val="0"/>
                      <w:bCs/>
                    </w:rPr>
                  </w:pPr>
                </w:p>
              </w:tc>
              <w:tc>
                <w:tcPr>
                  <w:tcW w:w="2845" w:type="dxa"/>
                  <w:vAlign w:val="center"/>
                </w:tcPr>
                <w:p w14:paraId="74319EF8">
                  <w:pPr>
                    <w:pStyle w:val="57"/>
                    <w:wordWrap w:val="0"/>
                    <w:jc w:val="both"/>
                  </w:pPr>
                  <w:r>
                    <w:rPr>
                      <w:rFonts w:hint="eastAsia"/>
                    </w:rPr>
                    <w:t>蔡家坡经济技术开发区</w:t>
                  </w:r>
                </w:p>
                <w:p w14:paraId="2EAC8429">
                  <w:pPr>
                    <w:pStyle w:val="57"/>
                    <w:numPr>
                      <w:ilvl w:val="0"/>
                      <w:numId w:val="19"/>
                    </w:numPr>
                    <w:wordWrap w:val="0"/>
                    <w:jc w:val="both"/>
                    <w:rPr>
                      <w:b w:val="0"/>
                      <w:bCs/>
                    </w:rPr>
                  </w:pPr>
                  <w:r>
                    <w:rPr>
                      <w:rFonts w:hint="eastAsia"/>
                      <w:b w:val="0"/>
                      <w:bCs/>
                    </w:rPr>
                    <w:t>工业用水循环率≥90%；工业固体废物利用率≥100%。</w:t>
                  </w:r>
                </w:p>
                <w:p w14:paraId="2B56DA4F">
                  <w:pPr>
                    <w:pStyle w:val="57"/>
                    <w:wordWrap w:val="0"/>
                    <w:jc w:val="both"/>
                    <w:rPr>
                      <w:b w:val="0"/>
                      <w:bCs/>
                    </w:rPr>
                  </w:pPr>
                  <w:r>
                    <w:rPr>
                      <w:rFonts w:hint="eastAsia"/>
                      <w:b w:val="0"/>
                      <w:bCs/>
                      <w:lang w:val="en-US"/>
                    </w:rPr>
                    <w:t>2.</w:t>
                  </w:r>
                  <w:r>
                    <w:rPr>
                      <w:rFonts w:hint="eastAsia"/>
                      <w:b w:val="0"/>
                      <w:bCs/>
                    </w:rPr>
                    <w:t>执行宝鸡市生态环境要素分区总体准入清单中“5.13高污染燃料禁燃区的资源利用效率要求”。实施煤炭消费总量控制。煤炭消费总量控制以散煤削减为主，建立健全市县煤炭质量管理体系。推进太阳能利用规模化。有序推进风能、生物质及地热能开发利用，在宝鸡市北部山区适宜风电开发区域，大力发展集中式及分散式风电项目，加快推进生活垃圾焚烧发电工程建设。积极推动眉县等区域地热能开发利用。</w:t>
                  </w:r>
                </w:p>
              </w:tc>
              <w:tc>
                <w:tcPr>
                  <w:tcW w:w="1740" w:type="dxa"/>
                  <w:vAlign w:val="center"/>
                </w:tcPr>
                <w:p w14:paraId="3E01D221">
                  <w:pPr>
                    <w:pStyle w:val="57"/>
                    <w:wordWrap w:val="0"/>
                    <w:jc w:val="both"/>
                    <w:rPr>
                      <w:b w:val="0"/>
                      <w:bCs/>
                      <w:lang w:val="en-US"/>
                    </w:rPr>
                  </w:pPr>
                  <w:r>
                    <w:rPr>
                      <w:rFonts w:hint="eastAsia"/>
                      <w:b w:val="0"/>
                      <w:bCs/>
                      <w:lang w:val="en-US"/>
                    </w:rPr>
                    <w:t>1.项目软水制备排水直接排入园区污水管网；电解洗废水采用“钨回收系统”后排入园区污水管网。</w:t>
                  </w:r>
                </w:p>
                <w:p w14:paraId="66E71620">
                  <w:pPr>
                    <w:pStyle w:val="57"/>
                    <w:wordWrap w:val="0"/>
                    <w:jc w:val="both"/>
                    <w:rPr>
                      <w:b w:val="0"/>
                      <w:bCs/>
                    </w:rPr>
                  </w:pPr>
                  <w:r>
                    <w:rPr>
                      <w:rFonts w:hint="eastAsia"/>
                      <w:b w:val="0"/>
                      <w:bCs/>
                      <w:lang w:val="en-US"/>
                    </w:rPr>
                    <w:t>2.本项目使用电能及天然气，不涉及燃煤等</w:t>
                  </w:r>
                </w:p>
              </w:tc>
              <w:tc>
                <w:tcPr>
                  <w:tcW w:w="513" w:type="dxa"/>
                  <w:vAlign w:val="center"/>
                </w:tcPr>
                <w:p w14:paraId="4A48B72B">
                  <w:pPr>
                    <w:pStyle w:val="57"/>
                    <w:rPr>
                      <w:b w:val="0"/>
                      <w:bCs/>
                    </w:rPr>
                  </w:pPr>
                  <w:r>
                    <w:rPr>
                      <w:b w:val="0"/>
                      <w:bCs/>
                    </w:rPr>
                    <w:t>符合</w:t>
                  </w:r>
                </w:p>
              </w:tc>
            </w:tr>
          </w:tbl>
          <w:p w14:paraId="5CAB898D">
            <w:pPr>
              <w:pStyle w:val="111"/>
              <w:wordWrap w:val="0"/>
              <w:ind w:firstLine="482"/>
              <w:rPr>
                <w:rFonts w:hint="default"/>
                <w:b/>
                <w:bCs/>
                <w:color w:val="auto"/>
              </w:rPr>
            </w:pPr>
            <w:r>
              <w:rPr>
                <w:b/>
                <w:bCs/>
                <w:color w:val="auto"/>
              </w:rPr>
              <w:t>（3）“一说明”</w:t>
            </w:r>
          </w:p>
          <w:p w14:paraId="3BC8CA41">
            <w:pPr>
              <w:pStyle w:val="111"/>
              <w:wordWrap w:val="0"/>
              <w:rPr>
                <w:rFonts w:hint="default"/>
                <w:color w:val="auto"/>
              </w:rPr>
            </w:pPr>
            <w:r>
              <w:rPr>
                <w:color w:val="auto"/>
              </w:rPr>
              <w:t>项目位于环境管控重点管控单元，项目所在地不涉及生态红线，重点管控单元以提升资源利用效率、加强污染物减排治理和环境风险防控为重点，解决突出生态环境问题。本项目污染物排放量较小，且对产生的污染物企业均采取了相应的污染防治措施，可以有效降低项目生产过程中的污染物排放量，进而降低其对周围环境质量的影响，企业已具备完善的环境风险防范机制和风险防范措施及相应的物资配备，可有效防控环境风险。因此，项目符合宝鸡市人民政府关于印发《宝鸡市“三线一单”生态环境分区管控方案的通知》（宝政发〔2021〕19号）相关要求。</w:t>
            </w:r>
          </w:p>
          <w:p w14:paraId="2103E5E6">
            <w:pPr>
              <w:pStyle w:val="111"/>
              <w:numPr>
                <w:ilvl w:val="0"/>
                <w:numId w:val="20"/>
              </w:numPr>
              <w:wordWrap w:val="0"/>
              <w:ind w:firstLine="482"/>
              <w:rPr>
                <w:rFonts w:hint="default"/>
                <w:b/>
                <w:bCs/>
                <w:color w:val="auto"/>
              </w:rPr>
            </w:pPr>
            <w:r>
              <w:rPr>
                <w:b/>
                <w:bCs/>
                <w:color w:val="auto"/>
              </w:rPr>
              <w:t>项目与相关环保政策相符性分析</w:t>
            </w:r>
          </w:p>
          <w:p w14:paraId="2D976A91">
            <w:pPr>
              <w:pStyle w:val="57"/>
              <w:rPr>
                <w:lang w:val="en-US"/>
              </w:rPr>
            </w:pPr>
            <w:r>
              <w:rPr>
                <w:rFonts w:hint="eastAsia"/>
                <w:lang w:val="en-US"/>
              </w:rPr>
              <w:t>表1-4项目与相关环保政策相符性分析</w:t>
            </w:r>
          </w:p>
          <w:tbl>
            <w:tblPr>
              <w:tblStyle w:val="96"/>
              <w:tblW w:w="780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1021"/>
              <w:gridCol w:w="3113"/>
              <w:gridCol w:w="3041"/>
              <w:gridCol w:w="625"/>
            </w:tblGrid>
            <w:tr w14:paraId="2D00BC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Align w:val="center"/>
                </w:tcPr>
                <w:p w14:paraId="24E0177E">
                  <w:pPr>
                    <w:pStyle w:val="57"/>
                    <w:wordWrap w:val="0"/>
                  </w:pPr>
                  <w:r>
                    <w:t>政策名称</w:t>
                  </w:r>
                </w:p>
              </w:tc>
              <w:tc>
                <w:tcPr>
                  <w:tcW w:w="3113" w:type="dxa"/>
                  <w:vAlign w:val="center"/>
                </w:tcPr>
                <w:p w14:paraId="43F1F5F2">
                  <w:pPr>
                    <w:pStyle w:val="57"/>
                    <w:wordWrap w:val="0"/>
                  </w:pPr>
                  <w:r>
                    <w:t>政策要求</w:t>
                  </w:r>
                </w:p>
              </w:tc>
              <w:tc>
                <w:tcPr>
                  <w:tcW w:w="3041" w:type="dxa"/>
                  <w:vAlign w:val="center"/>
                </w:tcPr>
                <w:p w14:paraId="34750F18">
                  <w:pPr>
                    <w:pStyle w:val="57"/>
                    <w:wordWrap w:val="0"/>
                  </w:pPr>
                  <w:r>
                    <w:t>本项目</w:t>
                  </w:r>
                </w:p>
              </w:tc>
              <w:tc>
                <w:tcPr>
                  <w:tcW w:w="625" w:type="dxa"/>
                  <w:vAlign w:val="center"/>
                </w:tcPr>
                <w:p w14:paraId="09D0DED1">
                  <w:pPr>
                    <w:pStyle w:val="57"/>
                    <w:wordWrap w:val="0"/>
                  </w:pPr>
                  <w:r>
                    <w:t>符合性</w:t>
                  </w:r>
                </w:p>
              </w:tc>
            </w:tr>
            <w:tr w14:paraId="582DC1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Merge w:val="restart"/>
                  <w:vAlign w:val="center"/>
                </w:tcPr>
                <w:p w14:paraId="104322FF">
                  <w:pPr>
                    <w:jc w:val="center"/>
                    <w:rPr>
                      <w:bCs/>
                      <w:szCs w:val="21"/>
                    </w:rPr>
                  </w:pPr>
                  <w:r>
                    <w:rPr>
                      <w:rFonts w:hint="eastAsia"/>
                      <w:bCs/>
                      <w:szCs w:val="21"/>
                    </w:rPr>
                    <w:t>《工业炉窑大气污染综合治理方案》环大气</w:t>
                  </w:r>
                </w:p>
                <w:p w14:paraId="7AA23D24">
                  <w:pPr>
                    <w:rPr>
                      <w:bCs/>
                    </w:rPr>
                  </w:pPr>
                  <w:r>
                    <w:rPr>
                      <w:rFonts w:hint="eastAsia"/>
                      <w:bCs/>
                      <w:szCs w:val="21"/>
                    </w:rPr>
                    <w:t>〔2019〕56号</w:t>
                  </w:r>
                </w:p>
              </w:tc>
              <w:tc>
                <w:tcPr>
                  <w:tcW w:w="3113" w:type="dxa"/>
                  <w:vAlign w:val="center"/>
                </w:tcPr>
                <w:p w14:paraId="3D108A3C">
                  <w:pPr>
                    <w:rPr>
                      <w:bCs/>
                      <w:szCs w:val="21"/>
                    </w:rPr>
                  </w:pPr>
                  <w:r>
                    <w:rPr>
                      <w:rFonts w:hint="eastAsia"/>
                      <w:bCs/>
                      <w:szCs w:val="21"/>
                    </w:rPr>
                    <w:t>重点区域严格控制涉工业炉窑建设项目，严禁新增钢铁、焦化、电解铝、铸造、水泥和平板玻璃等产能</w:t>
                  </w:r>
                </w:p>
              </w:tc>
              <w:tc>
                <w:tcPr>
                  <w:tcW w:w="3041" w:type="dxa"/>
                  <w:vAlign w:val="center"/>
                </w:tcPr>
                <w:p w14:paraId="3E93F8E3">
                  <w:pPr>
                    <w:rPr>
                      <w:bCs/>
                      <w:szCs w:val="21"/>
                    </w:rPr>
                  </w:pPr>
                  <w:r>
                    <w:rPr>
                      <w:rFonts w:hint="eastAsia"/>
                      <w:bCs/>
                      <w:szCs w:val="21"/>
                    </w:rPr>
                    <w:t>本项目不属于钢铁、焦化、电解铝、铸造、水泥和平板玻璃等行业。</w:t>
                  </w:r>
                </w:p>
              </w:tc>
              <w:tc>
                <w:tcPr>
                  <w:tcW w:w="625" w:type="dxa"/>
                  <w:vAlign w:val="center"/>
                </w:tcPr>
                <w:p w14:paraId="4DBFF52E">
                  <w:pPr>
                    <w:wordWrap w:val="0"/>
                    <w:jc w:val="center"/>
                    <w:rPr>
                      <w:bCs/>
                    </w:rPr>
                  </w:pPr>
                  <w:r>
                    <w:rPr>
                      <w:bCs/>
                    </w:rPr>
                    <w:t>符合</w:t>
                  </w:r>
                </w:p>
              </w:tc>
            </w:tr>
            <w:tr w14:paraId="12469D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Merge w:val="continue"/>
                  <w:vAlign w:val="center"/>
                </w:tcPr>
                <w:p w14:paraId="6E7651C1">
                  <w:pPr>
                    <w:pStyle w:val="57"/>
                    <w:wordWrap w:val="0"/>
                    <w:rPr>
                      <w:b w:val="0"/>
                      <w:bCs/>
                    </w:rPr>
                  </w:pPr>
                </w:p>
              </w:tc>
              <w:tc>
                <w:tcPr>
                  <w:tcW w:w="3113" w:type="dxa"/>
                  <w:vAlign w:val="center"/>
                </w:tcPr>
                <w:p w14:paraId="4C2B4815">
                  <w:pPr>
                    <w:rPr>
                      <w:bCs/>
                      <w:szCs w:val="21"/>
                    </w:rPr>
                  </w:pPr>
                  <w:r>
                    <w:rPr>
                      <w:rFonts w:hint="eastAsia"/>
                      <w:bCs/>
                      <w:szCs w:val="21"/>
                    </w:rPr>
                    <w:t>加快淘汰燃煤工业炉窑。重点区域取缔燃煤热风炉，基本淘汰热电联产供热管网覆盖范围内的燃煤加热、烘干炉（窑）。</w:t>
                  </w:r>
                </w:p>
              </w:tc>
              <w:tc>
                <w:tcPr>
                  <w:tcW w:w="3041" w:type="dxa"/>
                  <w:vAlign w:val="center"/>
                </w:tcPr>
                <w:p w14:paraId="337927EB">
                  <w:pPr>
                    <w:rPr>
                      <w:bCs/>
                      <w:szCs w:val="21"/>
                    </w:rPr>
                  </w:pPr>
                  <w:r>
                    <w:rPr>
                      <w:rFonts w:hint="eastAsia"/>
                      <w:bCs/>
                      <w:szCs w:val="21"/>
                    </w:rPr>
                    <w:t>本项目采用电加热及天然气加热方式，不涉及燃煤。</w:t>
                  </w:r>
                </w:p>
              </w:tc>
              <w:tc>
                <w:tcPr>
                  <w:tcW w:w="625" w:type="dxa"/>
                  <w:vAlign w:val="center"/>
                </w:tcPr>
                <w:p w14:paraId="49FD377D">
                  <w:pPr>
                    <w:wordWrap w:val="0"/>
                    <w:jc w:val="center"/>
                    <w:rPr>
                      <w:bCs/>
                    </w:rPr>
                  </w:pPr>
                  <w:r>
                    <w:rPr>
                      <w:bCs/>
                    </w:rPr>
                    <w:t>符合</w:t>
                  </w:r>
                </w:p>
              </w:tc>
            </w:tr>
            <w:tr w14:paraId="2C6C7F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Merge w:val="continue"/>
                  <w:vAlign w:val="center"/>
                </w:tcPr>
                <w:p w14:paraId="3A12A229">
                  <w:pPr>
                    <w:pStyle w:val="57"/>
                    <w:wordWrap w:val="0"/>
                    <w:rPr>
                      <w:b w:val="0"/>
                      <w:bCs/>
                    </w:rPr>
                  </w:pPr>
                </w:p>
              </w:tc>
              <w:tc>
                <w:tcPr>
                  <w:tcW w:w="3113" w:type="dxa"/>
                  <w:vAlign w:val="center"/>
                </w:tcPr>
                <w:p w14:paraId="77E3DBE1">
                  <w:pPr>
                    <w:rPr>
                      <w:bCs/>
                      <w:szCs w:val="21"/>
                    </w:rPr>
                  </w:pPr>
                  <w:r>
                    <w:rPr>
                      <w:rFonts w:hint="eastAsia"/>
                      <w:bCs/>
                      <w:szCs w:val="21"/>
                    </w:rPr>
                    <w:t>新建涉工业炉窑的建设项目，原则上要入园区，配套建设高效环境治理设施</w:t>
                  </w:r>
                </w:p>
              </w:tc>
              <w:tc>
                <w:tcPr>
                  <w:tcW w:w="3041" w:type="dxa"/>
                  <w:vAlign w:val="center"/>
                </w:tcPr>
                <w:p w14:paraId="7B773089">
                  <w:pPr>
                    <w:rPr>
                      <w:bCs/>
                      <w:szCs w:val="21"/>
                    </w:rPr>
                  </w:pPr>
                  <w:r>
                    <w:rPr>
                      <w:rFonts w:hint="eastAsia"/>
                      <w:bCs/>
                      <w:szCs w:val="21"/>
                    </w:rPr>
                    <w:t>本项目位于蔡家坡镇百万平米厂房，属于蔡家坡经济技术开发区总体规划范围内</w:t>
                  </w:r>
                </w:p>
              </w:tc>
              <w:tc>
                <w:tcPr>
                  <w:tcW w:w="625" w:type="dxa"/>
                  <w:vAlign w:val="center"/>
                </w:tcPr>
                <w:p w14:paraId="268DE3E5">
                  <w:pPr>
                    <w:wordWrap w:val="0"/>
                    <w:jc w:val="center"/>
                    <w:rPr>
                      <w:bCs/>
                    </w:rPr>
                  </w:pPr>
                  <w:r>
                    <w:rPr>
                      <w:bCs/>
                    </w:rPr>
                    <w:t>符合</w:t>
                  </w:r>
                </w:p>
              </w:tc>
            </w:tr>
            <w:tr w14:paraId="174714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Align w:val="center"/>
                </w:tcPr>
                <w:p w14:paraId="5972198D">
                  <w:pPr>
                    <w:pStyle w:val="57"/>
                    <w:wordWrap w:val="0"/>
                    <w:rPr>
                      <w:b w:val="0"/>
                      <w:bCs/>
                    </w:rPr>
                  </w:pPr>
                  <w:r>
                    <w:rPr>
                      <w:b w:val="0"/>
                      <w:bCs/>
                    </w:rPr>
                    <w:t>《宝鸡市大气污染治理专项行动方案（2023—2027年）》</w:t>
                  </w:r>
                </w:p>
              </w:tc>
              <w:tc>
                <w:tcPr>
                  <w:tcW w:w="3113" w:type="dxa"/>
                  <w:vAlign w:val="center"/>
                </w:tcPr>
                <w:p w14:paraId="094B0F04">
                  <w:pPr>
                    <w:pStyle w:val="57"/>
                    <w:wordWrap w:val="0"/>
                    <w:jc w:val="both"/>
                    <w:rPr>
                      <w:b w:val="0"/>
                      <w:bCs/>
                    </w:rPr>
                  </w:pPr>
                  <w:r>
                    <w:rPr>
                      <w:b w:val="0"/>
                      <w:bCs/>
                    </w:rPr>
                    <w:t>3.产业发展结构调整。严禁新增钢铁、焦化、水泥熟料、平板玻璃、电解铝、氧化铝、煤化工产能，合理控制煤制气产能规模，严控新增炼油产能。</w:t>
                  </w:r>
                </w:p>
                <w:p w14:paraId="1F8BC94C">
                  <w:pPr>
                    <w:pStyle w:val="57"/>
                    <w:wordWrap w:val="0"/>
                    <w:jc w:val="both"/>
                    <w:rPr>
                      <w:b w:val="0"/>
                      <w:bCs/>
                    </w:rPr>
                  </w:pPr>
                  <w:r>
                    <w:rPr>
                      <w:b w:val="0"/>
                      <w:bCs/>
                    </w:rPr>
                    <w:t>市辖区及开发区新、改、扩建涉气重点行业企业应达到环保绩效A级、绩效引领性水平。</w:t>
                  </w:r>
                </w:p>
              </w:tc>
              <w:tc>
                <w:tcPr>
                  <w:tcW w:w="3041" w:type="dxa"/>
                  <w:vAlign w:val="center"/>
                </w:tcPr>
                <w:p w14:paraId="50B62EF7">
                  <w:pPr>
                    <w:pStyle w:val="57"/>
                    <w:wordWrap w:val="0"/>
                    <w:rPr>
                      <w:b w:val="0"/>
                      <w:bCs/>
                    </w:rPr>
                  </w:pPr>
                  <w:r>
                    <w:rPr>
                      <w:b w:val="0"/>
                      <w:bCs/>
                    </w:rPr>
                    <w:t>项目不属于新增钢铁、焦化、水泥熟料、平板玻璃、电解铝、氧化铝、煤化工产能。项目对照《关于印发〈重污染天气重点行业应急减排措施制定技术指南（2020年修订版）〉的函》（环办大气函〔2020〕340号）</w:t>
                  </w:r>
                  <w:r>
                    <w:rPr>
                      <w:rFonts w:hint="eastAsia"/>
                      <w:b w:val="0"/>
                      <w:bCs/>
                      <w:lang w:val="en-US"/>
                    </w:rPr>
                    <w:t>本项目不属于指南要求的重点行业</w:t>
                  </w:r>
                  <w:r>
                    <w:rPr>
                      <w:b w:val="0"/>
                      <w:bCs/>
                    </w:rPr>
                    <w:t>。</w:t>
                  </w:r>
                </w:p>
              </w:tc>
              <w:tc>
                <w:tcPr>
                  <w:tcW w:w="625" w:type="dxa"/>
                  <w:vAlign w:val="center"/>
                </w:tcPr>
                <w:p w14:paraId="7834A912">
                  <w:pPr>
                    <w:pStyle w:val="57"/>
                    <w:wordWrap w:val="0"/>
                    <w:rPr>
                      <w:b w:val="0"/>
                      <w:bCs/>
                    </w:rPr>
                  </w:pPr>
                  <w:r>
                    <w:rPr>
                      <w:b w:val="0"/>
                      <w:bCs/>
                    </w:rPr>
                    <w:t>符合</w:t>
                  </w:r>
                </w:p>
              </w:tc>
            </w:tr>
            <w:tr w14:paraId="7809E01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Align w:val="center"/>
                </w:tcPr>
                <w:p w14:paraId="1CEDEB34">
                  <w:pPr>
                    <w:pStyle w:val="57"/>
                    <w:wordWrap w:val="0"/>
                    <w:rPr>
                      <w:b w:val="0"/>
                      <w:bCs/>
                    </w:rPr>
                  </w:pPr>
                  <w:r>
                    <w:rPr>
                      <w:b w:val="0"/>
                      <w:bCs/>
                    </w:rPr>
                    <w:t>《</w:t>
                  </w:r>
                  <w:r>
                    <w:rPr>
                      <w:rFonts w:hint="eastAsia"/>
                      <w:b w:val="0"/>
                      <w:bCs/>
                      <w:lang w:val="en-US"/>
                    </w:rPr>
                    <w:t>岐山县</w:t>
                  </w:r>
                  <w:r>
                    <w:rPr>
                      <w:b w:val="0"/>
                      <w:bCs/>
                    </w:rPr>
                    <w:t>大气污染治理专项行动方案（2023—2027年）》</w:t>
                  </w:r>
                </w:p>
              </w:tc>
              <w:tc>
                <w:tcPr>
                  <w:tcW w:w="3113" w:type="dxa"/>
                  <w:vAlign w:val="center"/>
                </w:tcPr>
                <w:p w14:paraId="6E64F784">
                  <w:pPr>
                    <w:pStyle w:val="57"/>
                    <w:wordWrap w:val="0"/>
                    <w:jc w:val="both"/>
                    <w:rPr>
                      <w:b w:val="0"/>
                      <w:bCs/>
                    </w:rPr>
                  </w:pPr>
                  <w:r>
                    <w:rPr>
                      <w:b w:val="0"/>
                      <w:bCs/>
                    </w:rPr>
                    <w:t>产业发展结构调整。严禁新增钢铁、焦化、水泥熟料、平板玻璃、电解铝、氧化铝、煤化工产能。不得新增化工园区。严格执行《产业结构调整指导目录》，坚决遏制</w:t>
                  </w:r>
                  <w:r>
                    <w:rPr>
                      <w:rFonts w:hint="eastAsia"/>
                      <w:b w:val="0"/>
                      <w:bCs/>
                    </w:rPr>
                    <w:t>“</w:t>
                  </w:r>
                  <w:r>
                    <w:rPr>
                      <w:b w:val="0"/>
                      <w:bCs/>
                    </w:rPr>
                    <w:t>两高</w:t>
                  </w:r>
                  <w:r>
                    <w:rPr>
                      <w:rFonts w:hint="eastAsia"/>
                      <w:b w:val="0"/>
                      <w:bCs/>
                    </w:rPr>
                    <w:t>”</w:t>
                  </w:r>
                  <w:r>
                    <w:rPr>
                      <w:b w:val="0"/>
                      <w:bCs/>
                    </w:rPr>
                    <w:t>项目盲目发展，严格落实国家产业规划、产业政策、</w:t>
                  </w:r>
                  <w:r>
                    <w:rPr>
                      <w:rFonts w:hint="eastAsia"/>
                      <w:b w:val="0"/>
                      <w:bCs/>
                    </w:rPr>
                    <w:t>“</w:t>
                  </w:r>
                  <w:r>
                    <w:rPr>
                      <w:b w:val="0"/>
                      <w:bCs/>
                    </w:rPr>
                    <w:t>三线一单</w:t>
                  </w:r>
                  <w:r>
                    <w:rPr>
                      <w:rFonts w:hint="eastAsia"/>
                      <w:b w:val="0"/>
                      <w:bCs/>
                    </w:rPr>
                    <w:t>”</w:t>
                  </w:r>
                  <w:r>
                    <w:rPr>
                      <w:b w:val="0"/>
                      <w:bCs/>
                    </w:rPr>
                    <w:t>、规划环评以及产能置换、煤炭消费减量替代、区域污染物削减等要求，严禁不符合规定的项目建设。</w:t>
                  </w:r>
                </w:p>
              </w:tc>
              <w:tc>
                <w:tcPr>
                  <w:tcW w:w="3041" w:type="dxa"/>
                  <w:vAlign w:val="center"/>
                </w:tcPr>
                <w:p w14:paraId="327863B0">
                  <w:pPr>
                    <w:pStyle w:val="57"/>
                    <w:wordWrap w:val="0"/>
                    <w:rPr>
                      <w:b w:val="0"/>
                      <w:bCs/>
                    </w:rPr>
                  </w:pPr>
                  <w:r>
                    <w:rPr>
                      <w:b w:val="0"/>
                      <w:bCs/>
                    </w:rPr>
                    <w:t>项目不属于钢铁、焦化、水泥熟料、平板玻璃、电解铝、氧化铝、煤化工</w:t>
                  </w:r>
                  <w:r>
                    <w:rPr>
                      <w:rFonts w:hint="eastAsia"/>
                      <w:b w:val="0"/>
                      <w:bCs/>
                    </w:rPr>
                    <w:t>；本项目不属于《市场准入负面清单》（2022版）中“禁止准入类”，项目建设符合宝鸡</w:t>
                  </w:r>
                </w:p>
                <w:p w14:paraId="4F951D98">
                  <w:pPr>
                    <w:pStyle w:val="57"/>
                    <w:wordWrap w:val="0"/>
                    <w:rPr>
                      <w:b w:val="0"/>
                      <w:bCs/>
                    </w:rPr>
                  </w:pPr>
                  <w:r>
                    <w:rPr>
                      <w:rFonts w:hint="eastAsia"/>
                      <w:b w:val="0"/>
                      <w:bCs/>
                    </w:rPr>
                    <w:t>市“三线一单”生态环境分区管控方案要求</w:t>
                  </w:r>
                  <w:r>
                    <w:rPr>
                      <w:b w:val="0"/>
                      <w:bCs/>
                    </w:rPr>
                    <w:t>。</w:t>
                  </w:r>
                </w:p>
              </w:tc>
              <w:tc>
                <w:tcPr>
                  <w:tcW w:w="625" w:type="dxa"/>
                  <w:vAlign w:val="center"/>
                </w:tcPr>
                <w:p w14:paraId="269D3513">
                  <w:pPr>
                    <w:pStyle w:val="57"/>
                    <w:wordWrap w:val="0"/>
                    <w:rPr>
                      <w:b w:val="0"/>
                      <w:bCs/>
                    </w:rPr>
                  </w:pPr>
                  <w:r>
                    <w:rPr>
                      <w:b w:val="0"/>
                      <w:bCs/>
                    </w:rPr>
                    <w:t>符合</w:t>
                  </w:r>
                </w:p>
              </w:tc>
            </w:tr>
            <w:tr w14:paraId="1E0DAA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Merge w:val="restart"/>
                  <w:vAlign w:val="center"/>
                </w:tcPr>
                <w:p w14:paraId="2DE77395">
                  <w:pPr>
                    <w:pStyle w:val="57"/>
                    <w:wordWrap w:val="0"/>
                    <w:rPr>
                      <w:b w:val="0"/>
                      <w:bCs/>
                    </w:rPr>
                  </w:pPr>
                  <w:r>
                    <w:rPr>
                      <w:b w:val="0"/>
                      <w:bCs/>
                    </w:rPr>
                    <w:t>《</w:t>
                  </w:r>
                  <w:r>
                    <w:rPr>
                      <w:rFonts w:hint="eastAsia"/>
                      <w:b w:val="0"/>
                      <w:bCs/>
                    </w:rPr>
                    <w:t>“</w:t>
                  </w:r>
                  <w:r>
                    <w:rPr>
                      <w:b w:val="0"/>
                      <w:bCs/>
                    </w:rPr>
                    <w:t>十四五</w:t>
                  </w:r>
                  <w:r>
                    <w:rPr>
                      <w:rFonts w:hint="eastAsia"/>
                      <w:b w:val="0"/>
                      <w:bCs/>
                    </w:rPr>
                    <w:t>”</w:t>
                  </w:r>
                  <w:r>
                    <w:rPr>
                      <w:b w:val="0"/>
                      <w:bCs/>
                    </w:rPr>
                    <w:t>噪声污染防治行动计划》</w:t>
                  </w:r>
                </w:p>
              </w:tc>
              <w:tc>
                <w:tcPr>
                  <w:tcW w:w="3113" w:type="dxa"/>
                  <w:vAlign w:val="center"/>
                </w:tcPr>
                <w:p w14:paraId="2349D3B4">
                  <w:pPr>
                    <w:pStyle w:val="57"/>
                    <w:wordWrap w:val="0"/>
                    <w:rPr>
                      <w:b w:val="0"/>
                      <w:bCs/>
                    </w:rPr>
                  </w:pPr>
                  <w:r>
                    <w:rPr>
                      <w:b w:val="0"/>
                      <w:bCs/>
                    </w:rPr>
                    <w:t>8.严格落实噪声污染防治要求。制定修改相关规划、建设对环境有影响的项目时，应依法开展环评，对可能产生噪声与振动的影响进行分析、预测和评估，积极采取噪声污染防治对策措施。建设项目的噪声污染防治设施应当与主体工程同时设计、同时施工、同时投产使用。</w:t>
                  </w:r>
                </w:p>
              </w:tc>
              <w:tc>
                <w:tcPr>
                  <w:tcW w:w="3041" w:type="dxa"/>
                  <w:vAlign w:val="center"/>
                </w:tcPr>
                <w:p w14:paraId="624B592F">
                  <w:pPr>
                    <w:pStyle w:val="57"/>
                    <w:wordWrap w:val="0"/>
                    <w:rPr>
                      <w:b w:val="0"/>
                      <w:bCs/>
                    </w:rPr>
                  </w:pPr>
                  <w:r>
                    <w:rPr>
                      <w:b w:val="0"/>
                      <w:bCs/>
                    </w:rPr>
                    <w:t>项目环评正在办理中，项目噪声防治措施与主体工程同时设计、同时施工、同时投产使用。</w:t>
                  </w:r>
                </w:p>
              </w:tc>
              <w:tc>
                <w:tcPr>
                  <w:tcW w:w="625" w:type="dxa"/>
                  <w:vAlign w:val="center"/>
                </w:tcPr>
                <w:p w14:paraId="7FA95422">
                  <w:pPr>
                    <w:pStyle w:val="57"/>
                    <w:wordWrap w:val="0"/>
                    <w:rPr>
                      <w:b w:val="0"/>
                      <w:bCs/>
                    </w:rPr>
                  </w:pPr>
                  <w:r>
                    <w:rPr>
                      <w:b w:val="0"/>
                      <w:bCs/>
                    </w:rPr>
                    <w:t>符合</w:t>
                  </w:r>
                </w:p>
              </w:tc>
            </w:tr>
            <w:tr w14:paraId="775886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Merge w:val="continue"/>
                  <w:vAlign w:val="center"/>
                </w:tcPr>
                <w:p w14:paraId="0D4F8D56">
                  <w:pPr>
                    <w:pStyle w:val="57"/>
                    <w:wordWrap w:val="0"/>
                    <w:rPr>
                      <w:b w:val="0"/>
                      <w:bCs/>
                    </w:rPr>
                  </w:pPr>
                </w:p>
              </w:tc>
              <w:tc>
                <w:tcPr>
                  <w:tcW w:w="3113" w:type="dxa"/>
                  <w:vAlign w:val="center"/>
                </w:tcPr>
                <w:p w14:paraId="3FEDD424">
                  <w:pPr>
                    <w:pStyle w:val="57"/>
                    <w:wordWrap w:val="0"/>
                    <w:rPr>
                      <w:b w:val="0"/>
                      <w:bCs/>
                    </w:rPr>
                  </w:pPr>
                  <w:r>
                    <w:rPr>
                      <w:b w:val="0"/>
                      <w:bCs/>
                    </w:rPr>
                    <w:t>排放噪声的工业企业应切实采取减振降噪措施，加强厂区内固定设备、运输工具、货物装卸等噪声源管理，同时避免突发噪声扰民。鼓励企业采用先进治理技术，打造行业噪声污染治理示范典型。</w:t>
                  </w:r>
                </w:p>
              </w:tc>
              <w:tc>
                <w:tcPr>
                  <w:tcW w:w="3041" w:type="dxa"/>
                  <w:vAlign w:val="center"/>
                </w:tcPr>
                <w:p w14:paraId="21F02FE3">
                  <w:pPr>
                    <w:pStyle w:val="57"/>
                    <w:wordWrap w:val="0"/>
                    <w:rPr>
                      <w:b w:val="0"/>
                      <w:bCs/>
                    </w:rPr>
                  </w:pPr>
                  <w:r>
                    <w:rPr>
                      <w:b w:val="0"/>
                      <w:bCs/>
                    </w:rPr>
                    <w:t>项目产生噪声的设备布置在室内，风机等高噪声设备基础进行减振，风机进出口采用软连接，设置单独风机隔声间等措施。</w:t>
                  </w:r>
                </w:p>
              </w:tc>
              <w:tc>
                <w:tcPr>
                  <w:tcW w:w="625" w:type="dxa"/>
                  <w:vAlign w:val="center"/>
                </w:tcPr>
                <w:p w14:paraId="1669E3E5">
                  <w:pPr>
                    <w:pStyle w:val="57"/>
                    <w:wordWrap w:val="0"/>
                    <w:rPr>
                      <w:b w:val="0"/>
                      <w:bCs/>
                    </w:rPr>
                  </w:pPr>
                  <w:r>
                    <w:rPr>
                      <w:b w:val="0"/>
                      <w:bCs/>
                    </w:rPr>
                    <w:t>符合</w:t>
                  </w:r>
                </w:p>
              </w:tc>
            </w:tr>
            <w:tr w14:paraId="1863D0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Merge w:val="restart"/>
                  <w:vAlign w:val="center"/>
                </w:tcPr>
                <w:p w14:paraId="1A1F8EB1">
                  <w:pPr>
                    <w:pStyle w:val="57"/>
                    <w:wordWrap w:val="0"/>
                    <w:rPr>
                      <w:b w:val="0"/>
                      <w:bCs/>
                    </w:rPr>
                  </w:pPr>
                  <w:r>
                    <w:rPr>
                      <w:b w:val="0"/>
                      <w:bCs/>
                    </w:rPr>
                    <w:t>《陕西省噪声污染防治行动计划》</w:t>
                  </w:r>
                </w:p>
                <w:p w14:paraId="47B1CDFA">
                  <w:pPr>
                    <w:pStyle w:val="57"/>
                    <w:wordWrap w:val="0"/>
                    <w:rPr>
                      <w:b w:val="0"/>
                      <w:bCs/>
                    </w:rPr>
                  </w:pPr>
                  <w:r>
                    <w:rPr>
                      <w:b w:val="0"/>
                      <w:bCs/>
                    </w:rPr>
                    <w:t>（2023—2025年）</w:t>
                  </w:r>
                </w:p>
              </w:tc>
              <w:tc>
                <w:tcPr>
                  <w:tcW w:w="3113" w:type="dxa"/>
                  <w:vAlign w:val="center"/>
                </w:tcPr>
                <w:p w14:paraId="0B37DA12">
                  <w:pPr>
                    <w:pStyle w:val="57"/>
                    <w:wordWrap w:val="0"/>
                    <w:rPr>
                      <w:b w:val="0"/>
                      <w:bCs/>
                    </w:rPr>
                  </w:pPr>
                  <w:r>
                    <w:rPr>
                      <w:b w:val="0"/>
                      <w:bCs/>
                    </w:rPr>
                    <w:t>8.严格落实噪声污染防治要求。可能产生噪声污染的新改扩建项目应当依法开展环评，符合相关规划环评管控要求。建设项目的噪声污染防治设施应当与主体工程同时设计、同时施工、同时投产使用。</w:t>
                  </w:r>
                </w:p>
              </w:tc>
              <w:tc>
                <w:tcPr>
                  <w:tcW w:w="3041" w:type="dxa"/>
                  <w:vAlign w:val="center"/>
                </w:tcPr>
                <w:p w14:paraId="78B5ADBE">
                  <w:pPr>
                    <w:pStyle w:val="57"/>
                    <w:wordWrap w:val="0"/>
                    <w:rPr>
                      <w:b w:val="0"/>
                      <w:bCs/>
                    </w:rPr>
                  </w:pPr>
                  <w:r>
                    <w:rPr>
                      <w:b w:val="0"/>
                      <w:bCs/>
                    </w:rPr>
                    <w:t>项目环评正在办理中，项目噪声防治措施与主体工程同时设计、同时施工、同时投产使用。</w:t>
                  </w:r>
                </w:p>
              </w:tc>
              <w:tc>
                <w:tcPr>
                  <w:tcW w:w="625" w:type="dxa"/>
                  <w:vAlign w:val="center"/>
                </w:tcPr>
                <w:p w14:paraId="6CD73D9E">
                  <w:pPr>
                    <w:pStyle w:val="57"/>
                    <w:wordWrap w:val="0"/>
                    <w:rPr>
                      <w:b w:val="0"/>
                      <w:bCs/>
                    </w:rPr>
                  </w:pPr>
                  <w:r>
                    <w:rPr>
                      <w:b w:val="0"/>
                      <w:bCs/>
                    </w:rPr>
                    <w:t>符合</w:t>
                  </w:r>
                </w:p>
              </w:tc>
            </w:tr>
            <w:tr w14:paraId="7F219C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Merge w:val="continue"/>
                  <w:vAlign w:val="center"/>
                </w:tcPr>
                <w:p w14:paraId="483B2E8E">
                  <w:pPr>
                    <w:pStyle w:val="57"/>
                    <w:wordWrap w:val="0"/>
                    <w:rPr>
                      <w:b w:val="0"/>
                      <w:bCs/>
                    </w:rPr>
                  </w:pPr>
                </w:p>
              </w:tc>
              <w:tc>
                <w:tcPr>
                  <w:tcW w:w="3113" w:type="dxa"/>
                  <w:vAlign w:val="center"/>
                </w:tcPr>
                <w:p w14:paraId="2175DED8">
                  <w:pPr>
                    <w:pStyle w:val="57"/>
                    <w:wordWrap w:val="0"/>
                    <w:rPr>
                      <w:b w:val="0"/>
                      <w:bCs/>
                    </w:rPr>
                  </w:pPr>
                  <w:r>
                    <w:rPr>
                      <w:b w:val="0"/>
                      <w:bCs/>
                    </w:rPr>
                    <w:t>11.落实工业噪声过程控制。噪声排放工业企业切实落实噪声污染防治措施，开展工业噪声达标专项整治，严肃查处工业企业噪声超标排放行为，加强厂区内固定设备、运输工具、货物装卸和试车线等声源噪声管理，避免突发噪声扰民。</w:t>
                  </w:r>
                </w:p>
              </w:tc>
              <w:tc>
                <w:tcPr>
                  <w:tcW w:w="3041" w:type="dxa"/>
                  <w:vAlign w:val="center"/>
                </w:tcPr>
                <w:p w14:paraId="41F2D577">
                  <w:pPr>
                    <w:pStyle w:val="57"/>
                    <w:wordWrap w:val="0"/>
                    <w:rPr>
                      <w:b w:val="0"/>
                      <w:bCs/>
                    </w:rPr>
                  </w:pPr>
                  <w:r>
                    <w:rPr>
                      <w:b w:val="0"/>
                      <w:bCs/>
                    </w:rPr>
                    <w:t>项目建设过</w:t>
                  </w:r>
                  <w:r>
                    <w:rPr>
                      <w:rFonts w:hint="eastAsia"/>
                      <w:b w:val="0"/>
                      <w:bCs/>
                      <w:lang w:eastAsia="zh-CN"/>
                    </w:rPr>
                    <w:t>程中</w:t>
                  </w:r>
                  <w:r>
                    <w:rPr>
                      <w:b w:val="0"/>
                      <w:bCs/>
                    </w:rPr>
                    <w:t>落实噪声防治措施，运行期加强厂区噪声管理，项目落实噪声防治措施，经厂房隔声和距离衰减后影响不大。</w:t>
                  </w:r>
                </w:p>
              </w:tc>
              <w:tc>
                <w:tcPr>
                  <w:tcW w:w="625" w:type="dxa"/>
                  <w:vAlign w:val="center"/>
                </w:tcPr>
                <w:p w14:paraId="1BF41DA2">
                  <w:pPr>
                    <w:pStyle w:val="57"/>
                    <w:wordWrap w:val="0"/>
                    <w:rPr>
                      <w:b w:val="0"/>
                      <w:bCs/>
                    </w:rPr>
                  </w:pPr>
                  <w:r>
                    <w:rPr>
                      <w:b w:val="0"/>
                      <w:bCs/>
                    </w:rPr>
                    <w:t>符合</w:t>
                  </w:r>
                </w:p>
              </w:tc>
            </w:tr>
            <w:tr w14:paraId="715B761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021" w:type="dxa"/>
                  <w:vMerge w:val="continue"/>
                  <w:vAlign w:val="center"/>
                </w:tcPr>
                <w:p w14:paraId="47895337">
                  <w:pPr>
                    <w:pStyle w:val="57"/>
                    <w:wordWrap w:val="0"/>
                    <w:rPr>
                      <w:b w:val="0"/>
                      <w:bCs/>
                    </w:rPr>
                  </w:pPr>
                </w:p>
              </w:tc>
              <w:tc>
                <w:tcPr>
                  <w:tcW w:w="3113" w:type="dxa"/>
                  <w:vAlign w:val="center"/>
                </w:tcPr>
                <w:p w14:paraId="7A4A50CD">
                  <w:pPr>
                    <w:pStyle w:val="57"/>
                    <w:wordWrap w:val="0"/>
                    <w:rPr>
                      <w:b w:val="0"/>
                      <w:bCs/>
                    </w:rPr>
                  </w:pPr>
                  <w:r>
                    <w:rPr>
                      <w:b w:val="0"/>
                      <w:bCs/>
                    </w:rPr>
                    <w:t>19.加严噪声敏感建筑物集中区域施工要求。噪声敏感建筑物集中区域的施工场地应优先使用低噪声施工工艺和设备，采取减振降噪措施，加强进出场地运输车辆管理。建设单位应根据国家规定设置噪声自动监测系统，与监督管理部门联网。20.加强夜间施工噪声管控。严格夜间施工噪声管控，完善夜间施工证明申报、审核、时限及施工管理要求，并依法进行公示公告。鼓励各市探索实施重点项目昼间通行保障措施，减少夜间施工扰民。开展夜间施工噪声专项执法整治，建立施工噪声投诉、违法处罚情况日常考核制度和定期通报制度，实施信用扣分。</w:t>
                  </w:r>
                </w:p>
              </w:tc>
              <w:tc>
                <w:tcPr>
                  <w:tcW w:w="3041" w:type="dxa"/>
                  <w:vAlign w:val="center"/>
                </w:tcPr>
                <w:p w14:paraId="100AB0ED">
                  <w:pPr>
                    <w:pStyle w:val="57"/>
                    <w:wordWrap w:val="0"/>
                    <w:rPr>
                      <w:b w:val="0"/>
                      <w:bCs/>
                    </w:rPr>
                  </w:pPr>
                  <w:r>
                    <w:rPr>
                      <w:b w:val="0"/>
                      <w:bCs/>
                    </w:rPr>
                    <w:t>项目施工期禁止22:00以后施工，同时高噪声设备尽量布置在厂区西侧，加强施工期运输车辆管理，不会对周边敏感点产生大的噪声影响。</w:t>
                  </w:r>
                </w:p>
              </w:tc>
              <w:tc>
                <w:tcPr>
                  <w:tcW w:w="625" w:type="dxa"/>
                  <w:vAlign w:val="center"/>
                </w:tcPr>
                <w:p w14:paraId="05322FAB">
                  <w:pPr>
                    <w:pStyle w:val="57"/>
                    <w:wordWrap w:val="0"/>
                    <w:rPr>
                      <w:b w:val="0"/>
                      <w:bCs/>
                    </w:rPr>
                  </w:pPr>
                  <w:r>
                    <w:rPr>
                      <w:b w:val="0"/>
                      <w:bCs/>
                    </w:rPr>
                    <w:t>符合</w:t>
                  </w:r>
                </w:p>
              </w:tc>
            </w:tr>
          </w:tbl>
          <w:p w14:paraId="5CCED27B">
            <w:pPr>
              <w:pStyle w:val="111"/>
              <w:wordWrap w:val="0"/>
              <w:ind w:firstLine="0" w:firstLineChars="0"/>
              <w:rPr>
                <w:rFonts w:hint="default"/>
                <w:b/>
                <w:bCs/>
                <w:color w:val="auto"/>
              </w:rPr>
            </w:pPr>
            <w:r>
              <w:rPr>
                <w:rFonts w:hint="eastAsia"/>
                <w:b/>
                <w:bCs/>
                <w:color w:val="auto"/>
                <w:lang w:eastAsia="zh-CN"/>
              </w:rPr>
              <w:t>3.</w:t>
            </w:r>
            <w:r>
              <w:rPr>
                <w:b/>
                <w:bCs/>
                <w:color w:val="auto"/>
              </w:rPr>
              <w:t>项目与环境保护规划相符性分析</w:t>
            </w:r>
          </w:p>
          <w:p w14:paraId="056DAF73">
            <w:pPr>
              <w:pStyle w:val="57"/>
              <w:wordWrap w:val="0"/>
            </w:pPr>
            <w:r>
              <w:rPr>
                <w:rFonts w:hint="eastAsia"/>
              </w:rPr>
              <w:t>表1</w:t>
            </w:r>
            <w:r>
              <w:rPr>
                <w:rFonts w:hint="eastAsia"/>
                <w:lang w:val="en-US"/>
              </w:rPr>
              <w:t>-5</w:t>
            </w:r>
            <w:r>
              <w:rPr>
                <w:rFonts w:hint="eastAsia"/>
              </w:rPr>
              <w:t>项目与环境保护规划相符性分析表</w:t>
            </w:r>
          </w:p>
          <w:tbl>
            <w:tblPr>
              <w:tblStyle w:val="3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4161"/>
              <w:gridCol w:w="1973"/>
              <w:gridCol w:w="658"/>
            </w:tblGrid>
            <w:tr w14:paraId="22ABE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 w:type="pct"/>
                  <w:vAlign w:val="center"/>
                </w:tcPr>
                <w:p w14:paraId="5BF07E6E">
                  <w:pPr>
                    <w:pStyle w:val="57"/>
                    <w:wordWrap w:val="0"/>
                  </w:pPr>
                  <w:r>
                    <w:t>名称</w:t>
                  </w:r>
                </w:p>
              </w:tc>
              <w:tc>
                <w:tcPr>
                  <w:tcW w:w="2674" w:type="pct"/>
                  <w:vAlign w:val="center"/>
                </w:tcPr>
                <w:p w14:paraId="342F2FE2">
                  <w:pPr>
                    <w:pStyle w:val="57"/>
                    <w:wordWrap w:val="0"/>
                  </w:pPr>
                  <w:r>
                    <w:t>规划内容</w:t>
                  </w:r>
                </w:p>
              </w:tc>
              <w:tc>
                <w:tcPr>
                  <w:tcW w:w="1267" w:type="pct"/>
                  <w:vAlign w:val="center"/>
                </w:tcPr>
                <w:p w14:paraId="114CB67D">
                  <w:pPr>
                    <w:pStyle w:val="57"/>
                    <w:wordWrap w:val="0"/>
                  </w:pPr>
                  <w:r>
                    <w:t>与本项目相符性</w:t>
                  </w:r>
                </w:p>
              </w:tc>
              <w:tc>
                <w:tcPr>
                  <w:tcW w:w="423" w:type="pct"/>
                  <w:vAlign w:val="center"/>
                </w:tcPr>
                <w:p w14:paraId="47019487">
                  <w:pPr>
                    <w:pStyle w:val="57"/>
                    <w:wordWrap w:val="0"/>
                  </w:pPr>
                  <w:r>
                    <w:rPr>
                      <w:rFonts w:hint="eastAsia"/>
                    </w:rPr>
                    <w:t>符合性</w:t>
                  </w:r>
                </w:p>
              </w:tc>
            </w:tr>
            <w:tr w14:paraId="7DA5E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 w:type="pct"/>
                  <w:vMerge w:val="restart"/>
                  <w:vAlign w:val="center"/>
                </w:tcPr>
                <w:p w14:paraId="377AF2F4">
                  <w:pPr>
                    <w:pStyle w:val="57"/>
                    <w:wordWrap w:val="0"/>
                    <w:rPr>
                      <w:b w:val="0"/>
                      <w:bCs/>
                    </w:rPr>
                  </w:pPr>
                  <w:r>
                    <w:rPr>
                      <w:b w:val="0"/>
                      <w:bCs/>
                    </w:rPr>
                    <w:t>《陕西省</w:t>
                  </w:r>
                  <w:r>
                    <w:rPr>
                      <w:rFonts w:hint="eastAsia"/>
                      <w:b w:val="0"/>
                      <w:bCs/>
                    </w:rPr>
                    <w:t>“</w:t>
                  </w:r>
                  <w:r>
                    <w:rPr>
                      <w:b w:val="0"/>
                      <w:bCs/>
                    </w:rPr>
                    <w:t>十四五</w:t>
                  </w:r>
                  <w:r>
                    <w:rPr>
                      <w:rFonts w:hint="eastAsia"/>
                      <w:b w:val="0"/>
                      <w:bCs/>
                    </w:rPr>
                    <w:t>”</w:t>
                  </w:r>
                  <w:r>
                    <w:rPr>
                      <w:b w:val="0"/>
                      <w:bCs/>
                    </w:rPr>
                    <w:t>生态环境保护规划》</w:t>
                  </w:r>
                </w:p>
              </w:tc>
              <w:tc>
                <w:tcPr>
                  <w:tcW w:w="2674" w:type="pct"/>
                  <w:vAlign w:val="center"/>
                </w:tcPr>
                <w:p w14:paraId="02C748B8">
                  <w:pPr>
                    <w:pStyle w:val="57"/>
                    <w:wordWrap w:val="0"/>
                    <w:rPr>
                      <w:b w:val="0"/>
                      <w:bCs/>
                    </w:rPr>
                  </w:pPr>
                  <w:r>
                    <w:rPr>
                      <w:rFonts w:hint="eastAsia"/>
                      <w:b w:val="0"/>
                      <w:bCs/>
                      <w:lang w:val="en-US"/>
                    </w:rPr>
                    <w:t>（—）产业绿色转型升级。</w:t>
                  </w:r>
                  <w:r>
                    <w:rPr>
                      <w:b w:val="0"/>
                      <w:bCs/>
                      <w:lang w:val="en-US"/>
                    </w:rPr>
                    <w:t>1.</w:t>
                  </w:r>
                  <w:r>
                    <w:rPr>
                      <w:rFonts w:hint="eastAsia"/>
                      <w:b w:val="0"/>
                      <w:bCs/>
                      <w:lang w:val="en-US"/>
                    </w:rPr>
                    <w:t>淘汰落后产能。重点淘汰未完成超低排放改造的火电、钢铁、建材行业产能。</w:t>
                  </w:r>
                </w:p>
              </w:tc>
              <w:tc>
                <w:tcPr>
                  <w:tcW w:w="1267" w:type="pct"/>
                  <w:vAlign w:val="center"/>
                </w:tcPr>
                <w:p w14:paraId="323D78A9">
                  <w:pPr>
                    <w:pStyle w:val="57"/>
                    <w:wordWrap w:val="0"/>
                    <w:rPr>
                      <w:b w:val="0"/>
                      <w:bCs/>
                    </w:rPr>
                  </w:pPr>
                  <w:r>
                    <w:rPr>
                      <w:rFonts w:hint="eastAsia"/>
                      <w:b w:val="0"/>
                      <w:bCs/>
                    </w:rPr>
                    <w:t>本项目不属于火电、钢铁、建材行业产能。</w:t>
                  </w:r>
                </w:p>
              </w:tc>
              <w:tc>
                <w:tcPr>
                  <w:tcW w:w="423" w:type="pct"/>
                  <w:vAlign w:val="center"/>
                </w:tcPr>
                <w:p w14:paraId="7B4ABF9D">
                  <w:pPr>
                    <w:pStyle w:val="57"/>
                    <w:wordWrap w:val="0"/>
                    <w:rPr>
                      <w:b w:val="0"/>
                      <w:bCs/>
                      <w:lang w:val="en-US"/>
                    </w:rPr>
                  </w:pPr>
                  <w:r>
                    <w:rPr>
                      <w:rFonts w:hint="eastAsia"/>
                      <w:b w:val="0"/>
                      <w:bCs/>
                      <w:lang w:val="en-US"/>
                    </w:rPr>
                    <w:t>符合</w:t>
                  </w:r>
                </w:p>
              </w:tc>
            </w:tr>
            <w:tr w14:paraId="12A8F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 w:type="pct"/>
                  <w:vMerge w:val="continue"/>
                  <w:vAlign w:val="center"/>
                </w:tcPr>
                <w:p w14:paraId="5FBC27A1">
                  <w:pPr>
                    <w:pStyle w:val="57"/>
                    <w:wordWrap w:val="0"/>
                    <w:rPr>
                      <w:b w:val="0"/>
                      <w:bCs/>
                    </w:rPr>
                  </w:pPr>
                </w:p>
              </w:tc>
              <w:tc>
                <w:tcPr>
                  <w:tcW w:w="2674" w:type="pct"/>
                  <w:vAlign w:val="center"/>
                </w:tcPr>
                <w:p w14:paraId="504932D0">
                  <w:pPr>
                    <w:pStyle w:val="57"/>
                    <w:wordWrap w:val="0"/>
                    <w:rPr>
                      <w:b w:val="0"/>
                      <w:bCs/>
                    </w:rPr>
                  </w:pPr>
                  <w:r>
                    <w:rPr>
                      <w:rFonts w:hint="eastAsia"/>
                      <w:b w:val="0"/>
                      <w:bCs/>
                    </w:rPr>
                    <w:t>严格执行重点行业主要大气污染物排放标准，倒逼相关企业对烟粉尘、二氧化硫、氮氧化物等主要污染物治理设施进行提标改造。加强焦化、石化、水泥等行业无组织排放监督管理，采取高效扬尘管控措施，有效防止起尘</w:t>
                  </w:r>
                </w:p>
              </w:tc>
              <w:tc>
                <w:tcPr>
                  <w:tcW w:w="1267" w:type="pct"/>
                  <w:vAlign w:val="center"/>
                </w:tcPr>
                <w:p w14:paraId="232F41E9">
                  <w:pPr>
                    <w:pStyle w:val="57"/>
                    <w:wordWrap w:val="0"/>
                    <w:rPr>
                      <w:b w:val="0"/>
                      <w:bCs/>
                      <w:lang w:val="en-US"/>
                    </w:rPr>
                  </w:pPr>
                  <w:r>
                    <w:rPr>
                      <w:rFonts w:hint="eastAsia"/>
                      <w:b w:val="0"/>
                      <w:bCs/>
                      <w:lang w:val="en-US"/>
                    </w:rPr>
                    <w:t>本项目使用清洁能源天然气，天然气燃烧废气经收集后有组织排放</w:t>
                  </w:r>
                </w:p>
              </w:tc>
              <w:tc>
                <w:tcPr>
                  <w:tcW w:w="423" w:type="pct"/>
                  <w:vAlign w:val="center"/>
                </w:tcPr>
                <w:p w14:paraId="67005425">
                  <w:pPr>
                    <w:wordWrap w:val="0"/>
                    <w:jc w:val="center"/>
                    <w:rPr>
                      <w:bCs/>
                    </w:rPr>
                  </w:pPr>
                  <w:r>
                    <w:rPr>
                      <w:rFonts w:hint="eastAsia"/>
                      <w:bCs/>
                    </w:rPr>
                    <w:t>符合</w:t>
                  </w:r>
                </w:p>
              </w:tc>
            </w:tr>
            <w:tr w14:paraId="479C8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 w:type="pct"/>
                  <w:vMerge w:val="continue"/>
                  <w:vAlign w:val="center"/>
                </w:tcPr>
                <w:p w14:paraId="77A802B1">
                  <w:pPr>
                    <w:pStyle w:val="57"/>
                    <w:wordWrap w:val="0"/>
                    <w:rPr>
                      <w:b w:val="0"/>
                      <w:bCs/>
                    </w:rPr>
                  </w:pPr>
                </w:p>
              </w:tc>
              <w:tc>
                <w:tcPr>
                  <w:tcW w:w="2674" w:type="pct"/>
                  <w:vAlign w:val="center"/>
                </w:tcPr>
                <w:p w14:paraId="037C3EEF">
                  <w:pPr>
                    <w:pStyle w:val="57"/>
                    <w:wordWrap w:val="0"/>
                    <w:rPr>
                      <w:b w:val="0"/>
                      <w:bCs/>
                    </w:rPr>
                  </w:pPr>
                  <w:r>
                    <w:rPr>
                      <w:rFonts w:hint="eastAsia"/>
                      <w:b w:val="0"/>
                      <w:bCs/>
                    </w:rPr>
                    <w:t>深入推进大宗固体废物污染防治。加强固体废物源头减量和资源化利用，推广固体废物资源化、无害化处理处置新技术，创新大宗固体废物协同利用机制，最大限度减少填埋量。</w:t>
                  </w:r>
                </w:p>
              </w:tc>
              <w:tc>
                <w:tcPr>
                  <w:tcW w:w="1267" w:type="pct"/>
                  <w:vAlign w:val="center"/>
                </w:tcPr>
                <w:p w14:paraId="50870966">
                  <w:pPr>
                    <w:pStyle w:val="57"/>
                    <w:wordWrap w:val="0"/>
                    <w:rPr>
                      <w:b w:val="0"/>
                      <w:bCs/>
                    </w:rPr>
                  </w:pPr>
                  <w:r>
                    <w:rPr>
                      <w:rFonts w:hint="eastAsia"/>
                      <w:b w:val="0"/>
                      <w:bCs/>
                    </w:rPr>
                    <w:t>本项目一般固废出售利用，实现资源化处置。</w:t>
                  </w:r>
                </w:p>
              </w:tc>
              <w:tc>
                <w:tcPr>
                  <w:tcW w:w="423" w:type="pct"/>
                  <w:vAlign w:val="center"/>
                </w:tcPr>
                <w:p w14:paraId="67807F32">
                  <w:pPr>
                    <w:wordWrap w:val="0"/>
                    <w:jc w:val="center"/>
                    <w:rPr>
                      <w:bCs/>
                    </w:rPr>
                  </w:pPr>
                  <w:r>
                    <w:rPr>
                      <w:rFonts w:hint="eastAsia"/>
                      <w:bCs/>
                    </w:rPr>
                    <w:t>符合</w:t>
                  </w:r>
                </w:p>
              </w:tc>
            </w:tr>
            <w:tr w14:paraId="35456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 w:type="pct"/>
                  <w:vAlign w:val="center"/>
                </w:tcPr>
                <w:p w14:paraId="5ABFD4AB">
                  <w:pPr>
                    <w:pStyle w:val="57"/>
                    <w:wordWrap w:val="0"/>
                    <w:rPr>
                      <w:b w:val="0"/>
                      <w:bCs/>
                    </w:rPr>
                  </w:pPr>
                  <w:r>
                    <w:rPr>
                      <w:rFonts w:hint="eastAsia"/>
                      <w:b w:val="0"/>
                      <w:bCs/>
                    </w:rPr>
                    <w:t>《宝鸡</w:t>
                  </w:r>
                </w:p>
                <w:p w14:paraId="0C4E9A23">
                  <w:pPr>
                    <w:pStyle w:val="57"/>
                    <w:wordWrap w:val="0"/>
                    <w:rPr>
                      <w:b w:val="0"/>
                      <w:bCs/>
                    </w:rPr>
                  </w:pPr>
                  <w:r>
                    <w:rPr>
                      <w:rFonts w:hint="eastAsia"/>
                      <w:b w:val="0"/>
                      <w:bCs/>
                    </w:rPr>
                    <w:t>市“十四</w:t>
                  </w:r>
                </w:p>
                <w:p w14:paraId="3E7BE76A">
                  <w:pPr>
                    <w:pStyle w:val="57"/>
                    <w:wordWrap w:val="0"/>
                    <w:rPr>
                      <w:b w:val="0"/>
                      <w:bCs/>
                    </w:rPr>
                  </w:pPr>
                  <w:r>
                    <w:rPr>
                      <w:rFonts w:hint="eastAsia"/>
                      <w:b w:val="0"/>
                      <w:bCs/>
                    </w:rPr>
                    <w:t>五”生态</w:t>
                  </w:r>
                </w:p>
                <w:p w14:paraId="326997EA">
                  <w:pPr>
                    <w:pStyle w:val="57"/>
                    <w:wordWrap w:val="0"/>
                    <w:rPr>
                      <w:b w:val="0"/>
                      <w:bCs/>
                    </w:rPr>
                  </w:pPr>
                  <w:r>
                    <w:rPr>
                      <w:rFonts w:hint="eastAsia"/>
                      <w:b w:val="0"/>
                      <w:bCs/>
                    </w:rPr>
                    <w:t>环境保</w:t>
                  </w:r>
                </w:p>
                <w:p w14:paraId="17F5ADA6">
                  <w:pPr>
                    <w:pStyle w:val="57"/>
                    <w:wordWrap w:val="0"/>
                    <w:rPr>
                      <w:b w:val="0"/>
                      <w:bCs/>
                    </w:rPr>
                  </w:pPr>
                  <w:r>
                    <w:rPr>
                      <w:rFonts w:hint="eastAsia"/>
                      <w:b w:val="0"/>
                      <w:bCs/>
                    </w:rPr>
                    <w:t>护规划》</w:t>
                  </w:r>
                </w:p>
              </w:tc>
              <w:tc>
                <w:tcPr>
                  <w:tcW w:w="2674" w:type="pct"/>
                  <w:vAlign w:val="center"/>
                </w:tcPr>
                <w:p w14:paraId="47137147">
                  <w:pPr>
                    <w:pStyle w:val="57"/>
                    <w:wordWrap w:val="0"/>
                    <w:rPr>
                      <w:b w:val="0"/>
                      <w:bCs/>
                    </w:rPr>
                  </w:pPr>
                  <w:r>
                    <w:rPr>
                      <w:rFonts w:hint="eastAsia"/>
                      <w:b w:val="0"/>
                      <w:bCs/>
                    </w:rPr>
                    <w:t>持续实施重点行业提标改造。降低电力、水泥、玻璃、石油、化工、有色金属、纺织印染、建材等行业大气污染排放。实施宝鸡鸿瑞建材有限公司等6家工业企业污染源治理、千阳县非煤矿山无组织排放治理和工业企业扬尘源无组织排放治理等项目。严格执行重点行业主要大气污染物排放标准，倒逼相关企业对烟粉尘、二氧化硫、氮氧化物等主要污染物治理设施进行提标改造。加强焦化、石化、水泥等行业无组织排放监督管理，采取高效扬尘管控措施，有效防止起尘。</w:t>
                  </w:r>
                </w:p>
              </w:tc>
              <w:tc>
                <w:tcPr>
                  <w:tcW w:w="1267" w:type="pct"/>
                  <w:vAlign w:val="center"/>
                </w:tcPr>
                <w:p w14:paraId="4FED7E91">
                  <w:pPr>
                    <w:pStyle w:val="57"/>
                    <w:wordWrap w:val="0"/>
                    <w:rPr>
                      <w:b w:val="0"/>
                      <w:bCs/>
                    </w:rPr>
                  </w:pPr>
                  <w:r>
                    <w:rPr>
                      <w:rFonts w:hint="eastAsia"/>
                      <w:b w:val="0"/>
                      <w:bCs/>
                    </w:rPr>
                    <w:t>本项目</w:t>
                  </w:r>
                  <w:r>
                    <w:rPr>
                      <w:rFonts w:hint="eastAsia"/>
                      <w:b w:val="0"/>
                      <w:bCs/>
                      <w:lang w:val="en-US"/>
                    </w:rPr>
                    <w:t>属于有色金属压延加工，对照《关于印发〈重污染天气重点行业应急减排措施制定技术指南（2020年修订版）〉的函》（环办大气函〔2020〕340号）其中的“有色金属压延”适用于铜压延加工和铝压延加工的工业企业，故本项目不属于指南要求的重点行业。</w:t>
                  </w:r>
                  <w:r>
                    <w:rPr>
                      <w:rFonts w:hint="eastAsia"/>
                      <w:b w:val="0"/>
                      <w:bCs/>
                    </w:rPr>
                    <w:t>项目废气经</w:t>
                  </w:r>
                  <w:r>
                    <w:rPr>
                      <w:rFonts w:hint="eastAsia"/>
                      <w:b w:val="0"/>
                      <w:bCs/>
                      <w:lang w:val="en-US"/>
                    </w:rPr>
                    <w:t>收集处理后均有组织排放</w:t>
                  </w:r>
                  <w:r>
                    <w:rPr>
                      <w:rFonts w:hint="eastAsia"/>
                      <w:b w:val="0"/>
                      <w:bCs/>
                    </w:rPr>
                    <w:t>。</w:t>
                  </w:r>
                </w:p>
              </w:tc>
              <w:tc>
                <w:tcPr>
                  <w:tcW w:w="423" w:type="pct"/>
                  <w:vAlign w:val="center"/>
                </w:tcPr>
                <w:p w14:paraId="651D6F58">
                  <w:pPr>
                    <w:wordWrap w:val="0"/>
                    <w:jc w:val="center"/>
                    <w:rPr>
                      <w:bCs/>
                    </w:rPr>
                  </w:pPr>
                  <w:r>
                    <w:rPr>
                      <w:rFonts w:hint="eastAsia"/>
                      <w:bCs/>
                    </w:rPr>
                    <w:t>符合</w:t>
                  </w:r>
                </w:p>
              </w:tc>
            </w:tr>
          </w:tbl>
          <w:p w14:paraId="42A7101E">
            <w:pPr>
              <w:pStyle w:val="111"/>
              <w:wordWrap w:val="0"/>
              <w:ind w:firstLine="482"/>
              <w:rPr>
                <w:rFonts w:hint="default"/>
                <w:b/>
                <w:bCs/>
                <w:color w:val="auto"/>
              </w:rPr>
            </w:pPr>
            <w:r>
              <w:rPr>
                <w:rFonts w:hint="eastAsia"/>
                <w:b/>
                <w:bCs/>
                <w:color w:val="auto"/>
                <w:lang w:eastAsia="zh-CN"/>
              </w:rPr>
              <w:t>4.</w:t>
            </w:r>
            <w:r>
              <w:rPr>
                <w:b/>
                <w:bCs/>
                <w:color w:val="auto"/>
              </w:rPr>
              <w:t>选址合理性分析</w:t>
            </w:r>
          </w:p>
          <w:p w14:paraId="1E22388D">
            <w:pPr>
              <w:pStyle w:val="111"/>
              <w:wordWrap w:val="0"/>
              <w:rPr>
                <w:rFonts w:hint="default"/>
                <w:color w:val="auto"/>
              </w:rPr>
            </w:pPr>
            <w:r>
              <w:rPr>
                <w:color w:val="auto"/>
              </w:rPr>
              <w:t>（1）项目用地：本项目选址位于陕西省宝鸡市岐山县蔡家坡经济技术开发区百万平米标准化厂房产业园，项目用地为规划工业用地，符合项目建设用地要求。</w:t>
            </w:r>
          </w:p>
          <w:p w14:paraId="21E0310C">
            <w:pPr>
              <w:pStyle w:val="111"/>
              <w:wordWrap w:val="0"/>
              <w:rPr>
                <w:rFonts w:hint="default"/>
                <w:color w:val="auto"/>
              </w:rPr>
            </w:pPr>
            <w:r>
              <w:rPr>
                <w:color w:val="auto"/>
              </w:rPr>
              <w:t>（2）环境敏感性：项目所在区域不属于自然保护区、森林公园、风景名胜区、世界文化自然遗产、地质公园等禁止开发的生态红线区、重点保护生态红线区以及脆弱生态保护红线区内，项目建设不会占用生态红线保护区。</w:t>
            </w:r>
          </w:p>
          <w:p w14:paraId="30C65933">
            <w:pPr>
              <w:pStyle w:val="111"/>
              <w:wordWrap w:val="0"/>
              <w:rPr>
                <w:rFonts w:hint="default"/>
                <w:color w:val="auto"/>
              </w:rPr>
            </w:pPr>
            <w:r>
              <w:rPr>
                <w:color w:val="auto"/>
              </w:rPr>
              <w:t>（3）环境区划功能符合性：项目所在地不属于水源保护区；项目所在区域环境空气质量、地表水环境质量、声环境均符合规划功能要求。</w:t>
            </w:r>
          </w:p>
          <w:p w14:paraId="4458CA13">
            <w:pPr>
              <w:pStyle w:val="111"/>
              <w:wordWrap w:val="0"/>
              <w:rPr>
                <w:rFonts w:hint="default"/>
                <w:color w:val="auto"/>
              </w:rPr>
            </w:pPr>
            <w:r>
              <w:rPr>
                <w:color w:val="auto"/>
              </w:rPr>
              <w:t>（4）环境影响可接受性：项目各工序污染源采取相应的污染控制措施后，均可实现达标排放，不会对区域环境产生明显影响。项目运营期污染物均能做到达标排放，不会改变评价区现有环境功能，对周边环境影响可以接受。</w:t>
            </w:r>
          </w:p>
          <w:p w14:paraId="489055E3">
            <w:pPr>
              <w:pStyle w:val="111"/>
              <w:wordWrap w:val="0"/>
              <w:rPr>
                <w:rFonts w:hint="eastAsia" w:eastAsia="宋体"/>
                <w:color w:val="auto"/>
                <w:lang w:eastAsia="zh-CN"/>
              </w:rPr>
            </w:pPr>
            <w:r>
              <w:rPr>
                <w:color w:val="auto"/>
              </w:rPr>
              <w:t>综上所述，本项目符合宝鸡市岐山县土地利用总体规划、区域环境功能规划相关要求，从环境保护角度分析，本项目选址合理可行</w:t>
            </w:r>
            <w:r>
              <w:rPr>
                <w:rFonts w:hint="eastAsia"/>
                <w:color w:val="auto"/>
                <w:lang w:eastAsia="zh-CN"/>
              </w:rPr>
              <w:t>。</w:t>
            </w:r>
          </w:p>
          <w:p w14:paraId="70A2CF53">
            <w:pPr>
              <w:pStyle w:val="111"/>
              <w:wordWrap w:val="0"/>
              <w:rPr>
                <w:color w:val="auto"/>
              </w:rPr>
            </w:pPr>
          </w:p>
          <w:p w14:paraId="02B69D72">
            <w:pPr>
              <w:pStyle w:val="111"/>
              <w:wordWrap w:val="0"/>
              <w:rPr>
                <w:color w:val="auto"/>
              </w:rPr>
            </w:pPr>
          </w:p>
          <w:p w14:paraId="4B8A7149">
            <w:pPr>
              <w:pStyle w:val="111"/>
              <w:wordWrap w:val="0"/>
              <w:rPr>
                <w:color w:val="auto"/>
              </w:rPr>
            </w:pPr>
          </w:p>
          <w:p w14:paraId="1A250AA9">
            <w:pPr>
              <w:pStyle w:val="111"/>
              <w:wordWrap w:val="0"/>
              <w:rPr>
                <w:color w:val="auto"/>
              </w:rPr>
            </w:pPr>
          </w:p>
          <w:p w14:paraId="38C4F36E">
            <w:pPr>
              <w:pStyle w:val="111"/>
              <w:wordWrap w:val="0"/>
              <w:rPr>
                <w:color w:val="auto"/>
              </w:rPr>
            </w:pPr>
          </w:p>
          <w:p w14:paraId="627D3057">
            <w:pPr>
              <w:pStyle w:val="111"/>
              <w:wordWrap w:val="0"/>
              <w:rPr>
                <w:color w:val="auto"/>
              </w:rPr>
            </w:pPr>
          </w:p>
          <w:p w14:paraId="13AF024D">
            <w:pPr>
              <w:pStyle w:val="111"/>
              <w:wordWrap w:val="0"/>
              <w:rPr>
                <w:color w:val="auto"/>
              </w:rPr>
            </w:pPr>
          </w:p>
          <w:p w14:paraId="2F3B0171">
            <w:pPr>
              <w:pStyle w:val="111"/>
              <w:wordWrap w:val="0"/>
              <w:rPr>
                <w:color w:val="auto"/>
              </w:rPr>
            </w:pPr>
          </w:p>
          <w:p w14:paraId="296967CA">
            <w:pPr>
              <w:pStyle w:val="111"/>
              <w:wordWrap w:val="0"/>
              <w:rPr>
                <w:color w:val="auto"/>
              </w:rPr>
            </w:pPr>
          </w:p>
          <w:p w14:paraId="725A9B4C">
            <w:pPr>
              <w:pStyle w:val="111"/>
              <w:wordWrap w:val="0"/>
              <w:rPr>
                <w:color w:val="auto"/>
              </w:rPr>
            </w:pPr>
          </w:p>
          <w:p w14:paraId="6BCF5846">
            <w:pPr>
              <w:pStyle w:val="111"/>
              <w:wordWrap w:val="0"/>
              <w:rPr>
                <w:color w:val="auto"/>
              </w:rPr>
            </w:pPr>
          </w:p>
          <w:p w14:paraId="1D4D1EDC">
            <w:pPr>
              <w:pStyle w:val="111"/>
              <w:wordWrap w:val="0"/>
              <w:ind w:left="0" w:leftChars="0" w:firstLine="0" w:firstLineChars="0"/>
              <w:rPr>
                <w:rFonts w:hint="default"/>
                <w:color w:val="auto"/>
              </w:rPr>
            </w:pPr>
          </w:p>
        </w:tc>
      </w:tr>
    </w:tbl>
    <w:p w14:paraId="168DF34C">
      <w:pPr>
        <w:wordWrap w:val="0"/>
        <w:spacing w:line="360" w:lineRule="auto"/>
        <w:rPr>
          <w:rFonts w:eastAsia="黑体"/>
          <w:sz w:val="30"/>
        </w:rPr>
        <w:sectPr>
          <w:headerReference r:id="rId6" w:type="default"/>
          <w:footerReference r:id="rId7" w:type="default"/>
          <w:pgSz w:w="11906" w:h="16838"/>
          <w:pgMar w:top="1440" w:right="1080" w:bottom="1440" w:left="1080" w:header="851" w:footer="1077" w:gutter="0"/>
          <w:pgNumType w:start="1"/>
          <w:cols w:space="720" w:num="1"/>
          <w:docGrid w:linePitch="312" w:charSpace="0"/>
        </w:sectPr>
      </w:pPr>
    </w:p>
    <w:p w14:paraId="5EBB5EAF">
      <w:pPr>
        <w:pStyle w:val="31"/>
        <w:wordWrap w:val="0"/>
        <w:spacing w:before="0" w:beforeAutospacing="0" w:after="0" w:afterAutospacing="0"/>
        <w:jc w:val="center"/>
        <w:outlineLvl w:val="0"/>
        <w:rPr>
          <w:rFonts w:ascii="Times New Roman" w:hAnsi="Times New Roman" w:eastAsia="黑体"/>
          <w:snapToGrid w:val="0"/>
          <w:sz w:val="30"/>
          <w:szCs w:val="30"/>
        </w:rPr>
      </w:pPr>
      <w:bookmarkStart w:id="8" w:name="_Toc8857"/>
      <w:bookmarkStart w:id="9" w:name="_Toc6638"/>
      <w:bookmarkStart w:id="10" w:name="_Toc32452"/>
      <w:r>
        <w:rPr>
          <w:rFonts w:hint="eastAsia" w:ascii="Times New Roman" w:hAnsi="Times New Roman" w:eastAsia="黑体"/>
          <w:snapToGrid w:val="0"/>
          <w:sz w:val="30"/>
          <w:szCs w:val="30"/>
        </w:rPr>
        <w:t>二、建设项目工程分析</w:t>
      </w:r>
      <w:bookmarkEnd w:id="8"/>
      <w:bookmarkEnd w:id="9"/>
      <w:bookmarkEnd w:id="10"/>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5"/>
        <w:gridCol w:w="9147"/>
      </w:tblGrid>
      <w:tr w14:paraId="476F72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735" w:type="dxa"/>
            <w:vAlign w:val="center"/>
          </w:tcPr>
          <w:p w14:paraId="552C42A1">
            <w:pPr>
              <w:wordWrap w:val="0"/>
              <w:spacing w:line="360" w:lineRule="auto"/>
              <w:jc w:val="center"/>
              <w:rPr>
                <w:rFonts w:cs="宋体"/>
                <w:sz w:val="24"/>
              </w:rPr>
            </w:pPr>
            <w:r>
              <w:rPr>
                <w:rFonts w:hint="eastAsia" w:cs="宋体"/>
                <w:b/>
                <w:bCs/>
                <w:sz w:val="24"/>
              </w:rPr>
              <w:t>建设内容</w:t>
            </w:r>
          </w:p>
        </w:tc>
        <w:tc>
          <w:tcPr>
            <w:tcW w:w="8249" w:type="dxa"/>
          </w:tcPr>
          <w:p w14:paraId="1E04F946">
            <w:pPr>
              <w:pStyle w:val="111"/>
              <w:wordWrap w:val="0"/>
              <w:ind w:firstLine="482"/>
              <w:rPr>
                <w:rFonts w:hint="default"/>
                <w:b/>
                <w:bCs/>
                <w:color w:val="auto"/>
              </w:rPr>
            </w:pPr>
            <w:r>
              <w:rPr>
                <w:rFonts w:hint="eastAsia"/>
                <w:b/>
                <w:bCs/>
                <w:color w:val="auto"/>
                <w:lang w:eastAsia="zh-CN"/>
              </w:rPr>
              <w:t>1.</w:t>
            </w:r>
            <w:r>
              <w:rPr>
                <w:b/>
                <w:bCs/>
                <w:color w:val="auto"/>
              </w:rPr>
              <w:t>项目由来</w:t>
            </w:r>
          </w:p>
          <w:p w14:paraId="3FDBC3A7">
            <w:pPr>
              <w:pStyle w:val="111"/>
              <w:wordWrap w:val="0"/>
              <w:rPr>
                <w:rFonts w:hint="default"/>
                <w:color w:val="auto"/>
              </w:rPr>
            </w:pPr>
            <w:r>
              <w:rPr>
                <w:color w:val="auto"/>
              </w:rPr>
              <w:t>陕西美畅钨材料科技有限公司（以下简称“建设单位”）位于陕西省宝鸡市岐山县蔡家坡经济技术开发区百万平米标准化厂房产业园，主要从事金属丝绳及其制品的生产与销售。其核心产品钨丝金刚线广泛应用于光伏晶硅、蓝宝石、半导体材料、磁性材料等硬脆材料的切割加工。</w:t>
            </w:r>
          </w:p>
          <w:p w14:paraId="6CEDB39C">
            <w:pPr>
              <w:pStyle w:val="111"/>
              <w:wordWrap w:val="0"/>
              <w:rPr>
                <w:rFonts w:hint="default"/>
                <w:color w:val="auto"/>
              </w:rPr>
            </w:pPr>
            <w:r>
              <w:rPr>
                <w:color w:val="auto"/>
              </w:rPr>
              <w:t>2022年至2024年间，建设单位通过租赁2-8#、4-20#、4-22#标准厂房，逐步建成了年产1200万公里钨丝金刚线的生产能力。</w:t>
            </w:r>
          </w:p>
          <w:p w14:paraId="76104E9F">
            <w:pPr>
              <w:pStyle w:val="111"/>
              <w:wordWrap w:val="0"/>
              <w:rPr>
                <w:rFonts w:hint="default"/>
                <w:color w:val="auto"/>
              </w:rPr>
            </w:pPr>
            <w:r>
              <w:rPr>
                <w:color w:val="auto"/>
              </w:rPr>
              <w:t>为顺应市场需求与发展趋势，建设单位于2024年11月启动扩建项目“超强超细钨丝新材料生产项目（二期）”，计划新增年产2400万公里钨丝金刚线产品。该项目已于前期取得《关于陕西美畅钨材料科技有限公司超强超细钨丝新材料生产项目（二期）环境影响报告表的批复》（宝环岐函〔2025〕2号）。</w:t>
            </w:r>
          </w:p>
          <w:p w14:paraId="6AA519C7">
            <w:pPr>
              <w:pStyle w:val="111"/>
              <w:wordWrap w:val="0"/>
              <w:rPr>
                <w:rFonts w:hint="default"/>
                <w:color w:val="auto"/>
              </w:rPr>
            </w:pPr>
            <w:r>
              <w:rPr>
                <w:color w:val="auto"/>
              </w:rPr>
              <w:t>在二期项目建设过程中，建设单位于2025年8月对原工艺方案作出调整，取消末端“成品拉丝”工序，产品规格由原定的φ30μm~φ40μm调整为φ40μm~φ80μm，产能相应由2400万公里/年（528吨/年）调整为1350万公里/年（792吨/年）。调整后，全厂总产能为1800万公里/年（1056吨/年）。该变动已履行环评手续，并取得《关于陕西美畅钨材料科技有限公司超强超细钨丝新材料生产项目（二期）（重大变动）项目环境影响报告表的批复》（宝环岐函〔2025〕52号）。目前该项目仍在建设中。</w:t>
            </w:r>
          </w:p>
          <w:p w14:paraId="5ADAD669">
            <w:pPr>
              <w:pStyle w:val="111"/>
              <w:wordWrap w:val="0"/>
              <w:rPr>
                <w:rFonts w:hint="default"/>
                <w:color w:val="auto"/>
              </w:rPr>
            </w:pPr>
            <w:r>
              <w:rPr>
                <w:color w:val="auto"/>
              </w:rPr>
              <w:t>为延伸产业链、提升产品附加值，建设单位拟进一步实施“超强超细钨丝新材料产品延伸加工项目”。该项目拟利用现有2-8#车间内3000平方米闲置区域，新建37条钨丝洗白生产线及相关配套设施，建成后预计可年产1800万公里白钨丝（产品规格为φ40μm~φ80μm）。</w:t>
            </w:r>
          </w:p>
          <w:p w14:paraId="1860624C">
            <w:pPr>
              <w:wordWrap w:val="0"/>
              <w:spacing w:line="360" w:lineRule="auto"/>
              <w:ind w:firstLine="480" w:firstLineChars="200"/>
              <w:rPr>
                <w:rFonts w:cs="宋体"/>
                <w:sz w:val="24"/>
              </w:rPr>
            </w:pPr>
            <w:r>
              <w:rPr>
                <w:rFonts w:hint="eastAsia" w:cs="宋体"/>
                <w:sz w:val="24"/>
              </w:rPr>
              <w:t>根据《中华人民共和国环境影响评价法》、《建设项目环境保护管理条例》及《建设项目环境影响评价分类管理名录》（2021年版，生态环境部令第16号），本扩建项目需编制环境影响报告表，具体分类见下表。</w:t>
            </w:r>
          </w:p>
          <w:p w14:paraId="44A7C384">
            <w:pPr>
              <w:pStyle w:val="57"/>
              <w:wordWrap w:val="0"/>
              <w:rPr>
                <w:rFonts w:cs="宋体"/>
                <w:bCs/>
                <w:kern w:val="2"/>
                <w:szCs w:val="21"/>
                <w:lang w:val="en-US"/>
              </w:rPr>
            </w:pPr>
            <w:r>
              <w:rPr>
                <w:rFonts w:hint="eastAsia" w:cs="宋体"/>
                <w:bCs/>
                <w:kern w:val="2"/>
                <w:szCs w:val="21"/>
                <w:lang w:val="en-US"/>
              </w:rPr>
              <w:t>表2-</w:t>
            </w:r>
            <w:r>
              <w:rPr>
                <w:rFonts w:hint="eastAsia" w:cs="宋体"/>
                <w:bCs/>
                <w:kern w:val="2"/>
                <w:szCs w:val="21"/>
                <w:lang w:val="en-US" w:eastAsia="zh-CN"/>
              </w:rPr>
              <w:t>1</w:t>
            </w:r>
            <w:r>
              <w:rPr>
                <w:rFonts w:hint="eastAsia" w:cs="宋体"/>
                <w:bCs/>
                <w:kern w:val="2"/>
                <w:szCs w:val="21"/>
                <w:lang w:val="en-US"/>
              </w:rPr>
              <w:t>建设项目环境影响评价分类管理名录（摘录）</w:t>
            </w:r>
          </w:p>
          <w:tbl>
            <w:tblPr>
              <w:tblStyle w:val="35"/>
              <w:tblW w:w="5000" w:type="pct"/>
              <w:jc w:val="center"/>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
            <w:tblGrid>
              <w:gridCol w:w="472"/>
              <w:gridCol w:w="1148"/>
              <w:gridCol w:w="2298"/>
              <w:gridCol w:w="1171"/>
              <w:gridCol w:w="909"/>
              <w:gridCol w:w="2923"/>
            </w:tblGrid>
            <w:tr w14:paraId="71C02997">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1619" w:type="dxa"/>
                  <w:gridSpan w:val="2"/>
                  <w:tcBorders>
                    <w:bottom w:val="single" w:color="000000" w:sz="4" w:space="0"/>
                    <w:right w:val="single" w:color="000000" w:sz="4" w:space="0"/>
                  </w:tcBorders>
                  <w:vAlign w:val="center"/>
                </w:tcPr>
                <w:p w14:paraId="73048AD9">
                  <w:pPr>
                    <w:pStyle w:val="57"/>
                    <w:wordWrap w:val="0"/>
                  </w:pPr>
                  <w:r>
                    <w:t>类别</w:t>
                  </w:r>
                </w:p>
              </w:tc>
              <w:tc>
                <w:tcPr>
                  <w:tcW w:w="2299" w:type="dxa"/>
                  <w:tcBorders>
                    <w:left w:val="single" w:color="000000" w:sz="4" w:space="0"/>
                    <w:bottom w:val="single" w:color="000000" w:sz="4" w:space="0"/>
                    <w:right w:val="single" w:color="000000" w:sz="4" w:space="0"/>
                  </w:tcBorders>
                  <w:vAlign w:val="center"/>
                </w:tcPr>
                <w:p w14:paraId="104F9641">
                  <w:pPr>
                    <w:pStyle w:val="57"/>
                    <w:wordWrap w:val="0"/>
                  </w:pPr>
                  <w:r>
                    <w:t>报告书</w:t>
                  </w:r>
                </w:p>
              </w:tc>
              <w:tc>
                <w:tcPr>
                  <w:tcW w:w="1170" w:type="dxa"/>
                  <w:tcBorders>
                    <w:left w:val="single" w:color="000000" w:sz="4" w:space="0"/>
                    <w:bottom w:val="single" w:color="000000" w:sz="4" w:space="0"/>
                    <w:right w:val="single" w:color="000000" w:sz="4" w:space="0"/>
                  </w:tcBorders>
                  <w:vAlign w:val="center"/>
                </w:tcPr>
                <w:p w14:paraId="5843F2FC">
                  <w:pPr>
                    <w:pStyle w:val="57"/>
                    <w:wordWrap w:val="0"/>
                  </w:pPr>
                  <w:r>
                    <w:t>报告表</w:t>
                  </w:r>
                </w:p>
              </w:tc>
              <w:tc>
                <w:tcPr>
                  <w:tcW w:w="909" w:type="dxa"/>
                  <w:tcBorders>
                    <w:left w:val="single" w:color="000000" w:sz="4" w:space="0"/>
                    <w:bottom w:val="single" w:color="000000" w:sz="4" w:space="0"/>
                    <w:right w:val="single" w:color="000000" w:sz="4" w:space="0"/>
                  </w:tcBorders>
                  <w:vAlign w:val="center"/>
                </w:tcPr>
                <w:p w14:paraId="41CD904D">
                  <w:pPr>
                    <w:pStyle w:val="57"/>
                    <w:wordWrap w:val="0"/>
                  </w:pPr>
                  <w:r>
                    <w:t>登记表</w:t>
                  </w:r>
                </w:p>
              </w:tc>
              <w:tc>
                <w:tcPr>
                  <w:tcW w:w="2924" w:type="dxa"/>
                  <w:tcBorders>
                    <w:left w:val="single" w:color="000000" w:sz="4" w:space="0"/>
                    <w:bottom w:val="single" w:color="000000" w:sz="4" w:space="0"/>
                  </w:tcBorders>
                  <w:vAlign w:val="center"/>
                </w:tcPr>
                <w:p w14:paraId="0625C340">
                  <w:pPr>
                    <w:pStyle w:val="57"/>
                    <w:wordWrap w:val="0"/>
                    <w:rPr>
                      <w:lang w:val="en-US"/>
                    </w:rPr>
                  </w:pPr>
                  <w:r>
                    <w:t>本</w:t>
                  </w:r>
                  <w:r>
                    <w:rPr>
                      <w:rFonts w:hint="eastAsia"/>
                    </w:rPr>
                    <w:t>项目概况</w:t>
                  </w:r>
                </w:p>
              </w:tc>
            </w:tr>
            <w:tr w14:paraId="053CC883">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8921" w:type="dxa"/>
                  <w:gridSpan w:val="6"/>
                  <w:tcBorders>
                    <w:top w:val="single" w:color="000000" w:sz="4" w:space="0"/>
                    <w:bottom w:val="single" w:color="000000" w:sz="4" w:space="0"/>
                  </w:tcBorders>
                  <w:vAlign w:val="center"/>
                </w:tcPr>
                <w:p w14:paraId="740880A9">
                  <w:pPr>
                    <w:pStyle w:val="57"/>
                    <w:wordWrap w:val="0"/>
                    <w:jc w:val="left"/>
                    <w:rPr>
                      <w:b w:val="0"/>
                      <w:bCs/>
                    </w:rPr>
                  </w:pPr>
                  <w:r>
                    <w:rPr>
                      <w:rFonts w:hint="eastAsia"/>
                      <w:b w:val="0"/>
                      <w:bCs/>
                    </w:rPr>
                    <w:t>三十、金属制品业33</w:t>
                  </w:r>
                </w:p>
              </w:tc>
            </w:tr>
            <w:tr w14:paraId="5F0199DC">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471" w:type="dxa"/>
                  <w:tcBorders>
                    <w:top w:val="single" w:color="000000" w:sz="4" w:space="0"/>
                    <w:bottom w:val="single" w:color="000000" w:sz="4" w:space="0"/>
                    <w:right w:val="single" w:color="000000" w:sz="4" w:space="0"/>
                  </w:tcBorders>
                  <w:vAlign w:val="center"/>
                </w:tcPr>
                <w:p w14:paraId="07E4F979">
                  <w:pPr>
                    <w:pStyle w:val="57"/>
                    <w:wordWrap w:val="0"/>
                    <w:rPr>
                      <w:b w:val="0"/>
                      <w:bCs/>
                      <w:lang w:val="en-US"/>
                    </w:rPr>
                  </w:pPr>
                  <w:r>
                    <w:rPr>
                      <w:rFonts w:hint="eastAsia"/>
                      <w:b w:val="0"/>
                      <w:bCs/>
                      <w:lang w:val="en-US"/>
                    </w:rPr>
                    <w:t>67</w:t>
                  </w:r>
                </w:p>
              </w:tc>
              <w:tc>
                <w:tcPr>
                  <w:tcW w:w="1148" w:type="dxa"/>
                  <w:tcBorders>
                    <w:top w:val="single" w:color="000000" w:sz="4" w:space="0"/>
                    <w:left w:val="single" w:color="000000" w:sz="4" w:space="0"/>
                    <w:bottom w:val="single" w:color="000000" w:sz="4" w:space="0"/>
                    <w:right w:val="single" w:color="000000" w:sz="4" w:space="0"/>
                  </w:tcBorders>
                  <w:vAlign w:val="center"/>
                </w:tcPr>
                <w:p w14:paraId="76434D0D">
                  <w:pPr>
                    <w:pStyle w:val="57"/>
                    <w:wordWrap w:val="0"/>
                    <w:rPr>
                      <w:b w:val="0"/>
                      <w:bCs/>
                    </w:rPr>
                  </w:pPr>
                  <w:r>
                    <w:rPr>
                      <w:rFonts w:hint="eastAsia"/>
                      <w:b w:val="0"/>
                      <w:bCs/>
                    </w:rPr>
                    <w:t>金属表面处理及热处理加工</w:t>
                  </w:r>
                </w:p>
              </w:tc>
              <w:tc>
                <w:tcPr>
                  <w:tcW w:w="2299" w:type="dxa"/>
                  <w:tcBorders>
                    <w:top w:val="single" w:color="000000" w:sz="4" w:space="0"/>
                    <w:left w:val="single" w:color="000000" w:sz="4" w:space="0"/>
                    <w:bottom w:val="single" w:color="000000" w:sz="4" w:space="0"/>
                    <w:right w:val="single" w:color="000000" w:sz="4" w:space="0"/>
                  </w:tcBorders>
                  <w:vAlign w:val="center"/>
                </w:tcPr>
                <w:p w14:paraId="0EEFF179">
                  <w:pPr>
                    <w:pStyle w:val="57"/>
                    <w:wordWrap w:val="0"/>
                    <w:rPr>
                      <w:b w:val="0"/>
                      <w:bCs/>
                    </w:rPr>
                  </w:pPr>
                  <w:r>
                    <w:rPr>
                      <w:rFonts w:hint="eastAsia"/>
                      <w:b w:val="0"/>
                      <w:bCs/>
                    </w:rPr>
                    <w:t>有电镀工艺的；有钝化工艺的热镀锌；使用有机涂层的（喷粉、喷塑、浸塑和电泳除外；年用溶剂型涂料（含稀释剂）10吨以下和用非溶剂型低VOCs含量涂料的除外）</w:t>
                  </w:r>
                </w:p>
                <w:p w14:paraId="260F6B47">
                  <w:pPr>
                    <w:pStyle w:val="57"/>
                    <w:wordWrap w:val="0"/>
                    <w:rPr>
                      <w:b w:val="0"/>
                      <w:bCs/>
                    </w:rPr>
                  </w:pPr>
                </w:p>
              </w:tc>
              <w:tc>
                <w:tcPr>
                  <w:tcW w:w="1170" w:type="dxa"/>
                  <w:tcBorders>
                    <w:top w:val="single" w:color="000000" w:sz="4" w:space="0"/>
                    <w:left w:val="single" w:color="000000" w:sz="4" w:space="0"/>
                    <w:bottom w:val="single" w:color="000000" w:sz="4" w:space="0"/>
                    <w:right w:val="single" w:color="000000" w:sz="4" w:space="0"/>
                  </w:tcBorders>
                  <w:vAlign w:val="center"/>
                </w:tcPr>
                <w:p w14:paraId="38933EBD">
                  <w:pPr>
                    <w:pStyle w:val="57"/>
                    <w:wordWrap w:val="0"/>
                    <w:rPr>
                      <w:b w:val="0"/>
                      <w:bCs/>
                    </w:rPr>
                  </w:pPr>
                  <w:r>
                    <w:rPr>
                      <w:rFonts w:hint="eastAsia"/>
                      <w:b w:val="0"/>
                      <w:bCs/>
                    </w:rPr>
                    <w:t>其他（年用非溶剂型低VOCs含量涂料10吨以下的除外）</w:t>
                  </w:r>
                </w:p>
              </w:tc>
              <w:tc>
                <w:tcPr>
                  <w:tcW w:w="909" w:type="dxa"/>
                  <w:tcBorders>
                    <w:top w:val="single" w:color="000000" w:sz="4" w:space="0"/>
                    <w:left w:val="single" w:color="000000" w:sz="4" w:space="0"/>
                    <w:bottom w:val="single" w:color="000000" w:sz="4" w:space="0"/>
                    <w:right w:val="single" w:color="000000" w:sz="4" w:space="0"/>
                  </w:tcBorders>
                  <w:vAlign w:val="center"/>
                </w:tcPr>
                <w:p w14:paraId="03DA9821">
                  <w:pPr>
                    <w:pStyle w:val="57"/>
                    <w:wordWrap w:val="0"/>
                    <w:rPr>
                      <w:b w:val="0"/>
                      <w:bCs/>
                      <w:lang w:val="en-US"/>
                    </w:rPr>
                  </w:pPr>
                  <w:r>
                    <w:rPr>
                      <w:rFonts w:hint="eastAsia"/>
                      <w:b w:val="0"/>
                      <w:bCs/>
                      <w:lang w:val="en-US"/>
                    </w:rPr>
                    <w:t>/</w:t>
                  </w:r>
                </w:p>
              </w:tc>
              <w:tc>
                <w:tcPr>
                  <w:tcW w:w="2924" w:type="dxa"/>
                  <w:tcBorders>
                    <w:top w:val="single" w:color="000000" w:sz="4" w:space="0"/>
                    <w:left w:val="single" w:color="000000" w:sz="4" w:space="0"/>
                    <w:bottom w:val="single" w:color="000000" w:sz="4" w:space="0"/>
                  </w:tcBorders>
                  <w:vAlign w:val="center"/>
                </w:tcPr>
                <w:p w14:paraId="740AD7B1">
                  <w:pPr>
                    <w:pStyle w:val="57"/>
                    <w:wordWrap w:val="0"/>
                    <w:rPr>
                      <w:b w:val="0"/>
                      <w:bCs/>
                      <w:lang w:val="en-US"/>
                    </w:rPr>
                  </w:pPr>
                  <w:r>
                    <w:rPr>
                      <w:rFonts w:hint="eastAsia"/>
                      <w:b w:val="0"/>
                      <w:bCs/>
                      <w:lang w:val="en-US"/>
                    </w:rPr>
                    <w:t>本项目主要对现有产品进行延伸加工，对产品钨丝刚线进行表面处理，其属于“金属表面处理及热处理加工”行业，无电镀、钝化、使用溶剂型涂料等情形，故应编制报告表</w:t>
                  </w:r>
                </w:p>
              </w:tc>
            </w:tr>
          </w:tbl>
          <w:p w14:paraId="5B7870CD">
            <w:pPr>
              <w:pStyle w:val="111"/>
              <w:wordWrap w:val="0"/>
              <w:ind w:firstLine="482"/>
              <w:rPr>
                <w:rFonts w:hint="default"/>
                <w:b/>
                <w:bCs/>
                <w:color w:val="auto"/>
              </w:rPr>
            </w:pPr>
            <w:r>
              <w:rPr>
                <w:rFonts w:hint="eastAsia"/>
                <w:b/>
                <w:bCs/>
                <w:color w:val="auto"/>
                <w:lang w:eastAsia="zh-CN"/>
              </w:rPr>
              <w:t>2.</w:t>
            </w:r>
            <w:r>
              <w:rPr>
                <w:b/>
                <w:bCs/>
                <w:color w:val="auto"/>
              </w:rPr>
              <w:t>项目工程组成</w:t>
            </w:r>
          </w:p>
          <w:p w14:paraId="368C472F">
            <w:pPr>
              <w:pStyle w:val="111"/>
              <w:wordWrap w:val="0"/>
              <w:rPr>
                <w:rFonts w:hint="default"/>
                <w:color w:val="auto"/>
              </w:rPr>
            </w:pPr>
            <w:r>
              <w:rPr>
                <w:color w:val="auto"/>
              </w:rPr>
              <w:t>本项目主要建设内容见表2-</w:t>
            </w:r>
            <w:r>
              <w:rPr>
                <w:rFonts w:hint="eastAsia"/>
                <w:color w:val="auto"/>
                <w:lang w:val="en-US" w:eastAsia="zh-CN"/>
              </w:rPr>
              <w:t>2</w:t>
            </w:r>
            <w:r>
              <w:rPr>
                <w:color w:val="auto"/>
              </w:rPr>
              <w:t>。</w:t>
            </w:r>
          </w:p>
          <w:p w14:paraId="3E93A054">
            <w:pPr>
              <w:pStyle w:val="57"/>
              <w:wordWrap w:val="0"/>
              <w:rPr>
                <w:lang w:val="en-US"/>
              </w:rPr>
            </w:pPr>
            <w:r>
              <w:rPr>
                <w:rFonts w:hint="eastAsia"/>
                <w:lang w:val="en-US"/>
              </w:rPr>
              <w:t>表2-</w:t>
            </w:r>
            <w:r>
              <w:rPr>
                <w:rFonts w:hint="eastAsia"/>
                <w:lang w:val="en-US" w:eastAsia="zh-CN"/>
              </w:rPr>
              <w:t>2</w:t>
            </w:r>
            <w:r>
              <w:rPr>
                <w:rFonts w:hint="eastAsia"/>
                <w:lang w:val="en-US"/>
              </w:rPr>
              <w:t>建设项目主要工程内容组成</w:t>
            </w:r>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99"/>
              <w:gridCol w:w="1301"/>
              <w:gridCol w:w="5782"/>
              <w:gridCol w:w="929"/>
            </w:tblGrid>
            <w:tr w14:paraId="693B4C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Align w:val="center"/>
                </w:tcPr>
                <w:p w14:paraId="407A9094">
                  <w:pPr>
                    <w:wordWrap w:val="0"/>
                    <w:adjustRightInd w:val="0"/>
                    <w:snapToGrid w:val="0"/>
                    <w:jc w:val="center"/>
                    <w:rPr>
                      <w:b/>
                      <w:bCs/>
                      <w:szCs w:val="21"/>
                    </w:rPr>
                  </w:pPr>
                  <w:r>
                    <w:rPr>
                      <w:b/>
                      <w:bCs/>
                      <w:szCs w:val="21"/>
                    </w:rPr>
                    <w:t>名称</w:t>
                  </w:r>
                </w:p>
              </w:tc>
              <w:tc>
                <w:tcPr>
                  <w:tcW w:w="1301" w:type="dxa"/>
                  <w:vAlign w:val="center"/>
                </w:tcPr>
                <w:p w14:paraId="39096458">
                  <w:pPr>
                    <w:wordWrap w:val="0"/>
                    <w:adjustRightInd w:val="0"/>
                    <w:snapToGrid w:val="0"/>
                    <w:jc w:val="center"/>
                    <w:rPr>
                      <w:b/>
                      <w:bCs/>
                      <w:szCs w:val="21"/>
                    </w:rPr>
                  </w:pPr>
                  <w:r>
                    <w:rPr>
                      <w:b/>
                      <w:bCs/>
                      <w:szCs w:val="21"/>
                    </w:rPr>
                    <w:t>工程类别</w:t>
                  </w:r>
                </w:p>
              </w:tc>
              <w:tc>
                <w:tcPr>
                  <w:tcW w:w="5784" w:type="dxa"/>
                  <w:vAlign w:val="center"/>
                </w:tcPr>
                <w:p w14:paraId="385B50FF">
                  <w:pPr>
                    <w:wordWrap w:val="0"/>
                    <w:adjustRightInd w:val="0"/>
                    <w:snapToGrid w:val="0"/>
                    <w:jc w:val="center"/>
                    <w:rPr>
                      <w:b/>
                      <w:bCs/>
                      <w:szCs w:val="21"/>
                    </w:rPr>
                  </w:pPr>
                  <w:r>
                    <w:rPr>
                      <w:rFonts w:hint="eastAsia"/>
                      <w:b/>
                      <w:bCs/>
                      <w:szCs w:val="21"/>
                    </w:rPr>
                    <w:t>工程内容</w:t>
                  </w:r>
                </w:p>
              </w:tc>
              <w:tc>
                <w:tcPr>
                  <w:tcW w:w="928" w:type="dxa"/>
                  <w:vAlign w:val="center"/>
                </w:tcPr>
                <w:p w14:paraId="223F15FD">
                  <w:pPr>
                    <w:wordWrap w:val="0"/>
                    <w:adjustRightInd w:val="0"/>
                    <w:snapToGrid w:val="0"/>
                    <w:jc w:val="center"/>
                    <w:rPr>
                      <w:b/>
                      <w:bCs/>
                      <w:szCs w:val="21"/>
                    </w:rPr>
                  </w:pPr>
                  <w:r>
                    <w:rPr>
                      <w:rFonts w:hint="eastAsia"/>
                      <w:b/>
                      <w:bCs/>
                      <w:szCs w:val="21"/>
                    </w:rPr>
                    <w:t>备注</w:t>
                  </w:r>
                </w:p>
              </w:tc>
            </w:tr>
            <w:tr w14:paraId="604A28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Align w:val="center"/>
                </w:tcPr>
                <w:p w14:paraId="22E335F9">
                  <w:pPr>
                    <w:wordWrap w:val="0"/>
                    <w:adjustRightInd w:val="0"/>
                    <w:snapToGrid w:val="0"/>
                    <w:jc w:val="center"/>
                    <w:rPr>
                      <w:szCs w:val="21"/>
                    </w:rPr>
                  </w:pPr>
                  <w:r>
                    <w:rPr>
                      <w:szCs w:val="21"/>
                    </w:rPr>
                    <w:t>主体工程</w:t>
                  </w:r>
                </w:p>
              </w:tc>
              <w:tc>
                <w:tcPr>
                  <w:tcW w:w="1301" w:type="dxa"/>
                  <w:vAlign w:val="center"/>
                </w:tcPr>
                <w:p w14:paraId="019A519A">
                  <w:pPr>
                    <w:wordWrap w:val="0"/>
                    <w:adjustRightInd w:val="0"/>
                    <w:snapToGrid w:val="0"/>
                    <w:jc w:val="center"/>
                    <w:rPr>
                      <w:szCs w:val="21"/>
                    </w:rPr>
                  </w:pPr>
                  <w:r>
                    <w:rPr>
                      <w:bCs/>
                    </w:rPr>
                    <w:t>2-8#厂房</w:t>
                  </w:r>
                </w:p>
              </w:tc>
              <w:tc>
                <w:tcPr>
                  <w:tcW w:w="5784" w:type="dxa"/>
                  <w:shd w:val="clear" w:color="auto" w:fill="auto"/>
                  <w:vAlign w:val="center"/>
                </w:tcPr>
                <w:p w14:paraId="183920A5">
                  <w:pPr>
                    <w:pStyle w:val="128"/>
                    <w:wordWrap w:val="0"/>
                    <w:jc w:val="left"/>
                    <w:rPr>
                      <w:b w:val="0"/>
                      <w:bCs/>
                    </w:rPr>
                  </w:pPr>
                  <w:r>
                    <w:rPr>
                      <w:b w:val="0"/>
                      <w:bCs/>
                    </w:rPr>
                    <w:t>3F</w:t>
                  </w:r>
                  <w:r>
                    <w:rPr>
                      <w:rFonts w:hint="eastAsia"/>
                      <w:b w:val="0"/>
                      <w:bCs/>
                    </w:rPr>
                    <w:t>：钢筋混凝土框架结构</w:t>
                  </w:r>
                  <w:r>
                    <w:rPr>
                      <w:b w:val="0"/>
                      <w:bCs/>
                    </w:rPr>
                    <w:t>，层高4米，面积</w:t>
                  </w:r>
                  <w:r>
                    <w:rPr>
                      <w:rFonts w:hint="eastAsia"/>
                      <w:b w:val="0"/>
                      <w:bCs/>
                    </w:rPr>
                    <w:t>3000</w:t>
                  </w:r>
                  <w:r>
                    <w:rPr>
                      <w:b w:val="0"/>
                      <w:bCs/>
                    </w:rPr>
                    <w:t>m²</w:t>
                  </w:r>
                </w:p>
                <w:p w14:paraId="62A6070C">
                  <w:pPr>
                    <w:wordWrap w:val="0"/>
                    <w:adjustRightInd w:val="0"/>
                    <w:snapToGrid w:val="0"/>
                    <w:jc w:val="left"/>
                    <w:rPr>
                      <w:szCs w:val="21"/>
                    </w:rPr>
                  </w:pPr>
                  <w:r>
                    <w:rPr>
                      <w:rFonts w:hint="eastAsia"/>
                      <w:szCs w:val="21"/>
                    </w:rPr>
                    <w:t>新建37条钨丝洗白生产线及相关配套设施</w:t>
                  </w:r>
                </w:p>
              </w:tc>
              <w:tc>
                <w:tcPr>
                  <w:tcW w:w="928" w:type="dxa"/>
                  <w:vAlign w:val="center"/>
                </w:tcPr>
                <w:p w14:paraId="16694A0A">
                  <w:pPr>
                    <w:wordWrap w:val="0"/>
                    <w:adjustRightInd w:val="0"/>
                    <w:snapToGrid w:val="0"/>
                    <w:jc w:val="center"/>
                    <w:rPr>
                      <w:szCs w:val="21"/>
                    </w:rPr>
                  </w:pPr>
                  <w:r>
                    <w:rPr>
                      <w:rFonts w:hint="eastAsia"/>
                      <w:szCs w:val="21"/>
                    </w:rPr>
                    <w:t>依托闲置区域，新增设备</w:t>
                  </w:r>
                </w:p>
              </w:tc>
            </w:tr>
            <w:tr w14:paraId="0D233A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Align w:val="center"/>
                </w:tcPr>
                <w:p w14:paraId="17FB639C">
                  <w:pPr>
                    <w:wordWrap w:val="0"/>
                    <w:adjustRightInd w:val="0"/>
                    <w:snapToGrid w:val="0"/>
                    <w:jc w:val="center"/>
                    <w:rPr>
                      <w:szCs w:val="21"/>
                    </w:rPr>
                  </w:pPr>
                  <w:r>
                    <w:rPr>
                      <w:szCs w:val="21"/>
                    </w:rPr>
                    <w:t>辅助工程</w:t>
                  </w:r>
                </w:p>
              </w:tc>
              <w:tc>
                <w:tcPr>
                  <w:tcW w:w="1301" w:type="dxa"/>
                  <w:vAlign w:val="center"/>
                </w:tcPr>
                <w:p w14:paraId="222919C3">
                  <w:pPr>
                    <w:wordWrap w:val="0"/>
                    <w:adjustRightInd w:val="0"/>
                    <w:snapToGrid w:val="0"/>
                    <w:jc w:val="center"/>
                    <w:rPr>
                      <w:szCs w:val="21"/>
                    </w:rPr>
                  </w:pPr>
                  <w:r>
                    <w:rPr>
                      <w:szCs w:val="21"/>
                    </w:rPr>
                    <w:t>办公室</w:t>
                  </w:r>
                </w:p>
              </w:tc>
              <w:tc>
                <w:tcPr>
                  <w:tcW w:w="5784" w:type="dxa"/>
                  <w:shd w:val="clear" w:color="auto" w:fill="auto"/>
                  <w:vAlign w:val="center"/>
                </w:tcPr>
                <w:p w14:paraId="1DCE0943">
                  <w:pPr>
                    <w:wordWrap w:val="0"/>
                    <w:adjustRightInd w:val="0"/>
                    <w:snapToGrid w:val="0"/>
                    <w:jc w:val="left"/>
                    <w:rPr>
                      <w:szCs w:val="21"/>
                    </w:rPr>
                  </w:pPr>
                  <w:r>
                    <w:rPr>
                      <w:szCs w:val="21"/>
                    </w:rPr>
                    <w:t>2F办公楼，位于4-2</w:t>
                  </w:r>
                  <w:r>
                    <w:rPr>
                      <w:rFonts w:hint="eastAsia"/>
                      <w:szCs w:val="21"/>
                    </w:rPr>
                    <w:t>0</w:t>
                  </w:r>
                  <w:r>
                    <w:rPr>
                      <w:szCs w:val="21"/>
                    </w:rPr>
                    <w:t>＃、4-2</w:t>
                  </w:r>
                  <w:r>
                    <w:rPr>
                      <w:rFonts w:hint="eastAsia"/>
                      <w:szCs w:val="21"/>
                    </w:rPr>
                    <w:t>2</w:t>
                  </w:r>
                  <w:r>
                    <w:rPr>
                      <w:szCs w:val="21"/>
                    </w:rPr>
                    <w:t>＃厂房东排，</w:t>
                  </w:r>
                  <w:r>
                    <w:rPr>
                      <w:rFonts w:hint="eastAsia"/>
                      <w:szCs w:val="21"/>
                    </w:rPr>
                    <w:t>2-8#5楼南侧厂房，</w:t>
                  </w:r>
                  <w:r>
                    <w:rPr>
                      <w:szCs w:val="21"/>
                    </w:rPr>
                    <w:t>包括卫生间区域，主要进行员工的日常办公，面积400m</w:t>
                  </w:r>
                  <w:r>
                    <w:rPr>
                      <w:szCs w:val="21"/>
                      <w:vertAlign w:val="superscript"/>
                    </w:rPr>
                    <w:t>2</w:t>
                  </w:r>
                </w:p>
              </w:tc>
              <w:tc>
                <w:tcPr>
                  <w:tcW w:w="928" w:type="dxa"/>
                  <w:vAlign w:val="center"/>
                </w:tcPr>
                <w:p w14:paraId="04460465">
                  <w:pPr>
                    <w:wordWrap w:val="0"/>
                    <w:adjustRightInd w:val="0"/>
                    <w:snapToGrid w:val="0"/>
                    <w:jc w:val="center"/>
                    <w:rPr>
                      <w:szCs w:val="21"/>
                    </w:rPr>
                  </w:pPr>
                  <w:r>
                    <w:rPr>
                      <w:rFonts w:hint="eastAsia"/>
                      <w:szCs w:val="21"/>
                    </w:rPr>
                    <w:t>依托</w:t>
                  </w:r>
                </w:p>
              </w:tc>
            </w:tr>
            <w:tr w14:paraId="143BED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Merge w:val="restart"/>
                  <w:vAlign w:val="center"/>
                </w:tcPr>
                <w:p w14:paraId="1B96BFAE">
                  <w:pPr>
                    <w:wordWrap w:val="0"/>
                    <w:adjustRightInd w:val="0"/>
                    <w:snapToGrid w:val="0"/>
                    <w:jc w:val="center"/>
                    <w:rPr>
                      <w:szCs w:val="21"/>
                    </w:rPr>
                  </w:pPr>
                  <w:r>
                    <w:rPr>
                      <w:szCs w:val="21"/>
                    </w:rPr>
                    <w:t>储运工程</w:t>
                  </w:r>
                </w:p>
              </w:tc>
              <w:tc>
                <w:tcPr>
                  <w:tcW w:w="1301" w:type="dxa"/>
                  <w:shd w:val="clear" w:color="auto" w:fill="auto"/>
                  <w:vAlign w:val="center"/>
                </w:tcPr>
                <w:p w14:paraId="014425F2">
                  <w:pPr>
                    <w:wordWrap w:val="0"/>
                    <w:adjustRightInd w:val="0"/>
                    <w:snapToGrid w:val="0"/>
                    <w:jc w:val="center"/>
                    <w:rPr>
                      <w:szCs w:val="21"/>
                    </w:rPr>
                  </w:pPr>
                  <w:r>
                    <w:rPr>
                      <w:szCs w:val="21"/>
                    </w:rPr>
                    <w:t>成品库</w:t>
                  </w:r>
                </w:p>
              </w:tc>
              <w:tc>
                <w:tcPr>
                  <w:tcW w:w="5784" w:type="dxa"/>
                  <w:shd w:val="clear" w:color="auto" w:fill="auto"/>
                  <w:vAlign w:val="center"/>
                </w:tcPr>
                <w:p w14:paraId="2E705D14">
                  <w:pPr>
                    <w:wordWrap w:val="0"/>
                    <w:adjustRightInd w:val="0"/>
                    <w:snapToGrid w:val="0"/>
                    <w:jc w:val="left"/>
                    <w:rPr>
                      <w:szCs w:val="21"/>
                    </w:rPr>
                  </w:pPr>
                  <w:r>
                    <w:rPr>
                      <w:rFonts w:hint="eastAsia"/>
                    </w:rPr>
                    <w:t>库房位于2-8一楼中间区域，主要进行产品的储存，面积480²平方米</w:t>
                  </w:r>
                </w:p>
              </w:tc>
              <w:tc>
                <w:tcPr>
                  <w:tcW w:w="928" w:type="dxa"/>
                  <w:shd w:val="clear" w:color="auto" w:fill="auto"/>
                  <w:vAlign w:val="center"/>
                </w:tcPr>
                <w:p w14:paraId="27AF8988">
                  <w:pPr>
                    <w:wordWrap w:val="0"/>
                    <w:adjustRightInd w:val="0"/>
                    <w:snapToGrid w:val="0"/>
                    <w:jc w:val="center"/>
                    <w:rPr>
                      <w:szCs w:val="21"/>
                    </w:rPr>
                  </w:pPr>
                  <w:r>
                    <w:rPr>
                      <w:rFonts w:hint="eastAsia"/>
                      <w:szCs w:val="21"/>
                    </w:rPr>
                    <w:t>依托</w:t>
                  </w:r>
                </w:p>
              </w:tc>
            </w:tr>
            <w:tr w14:paraId="7B4E83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Merge w:val="continue"/>
                  <w:vAlign w:val="center"/>
                </w:tcPr>
                <w:p w14:paraId="5A0F5315">
                  <w:pPr>
                    <w:wordWrap w:val="0"/>
                    <w:adjustRightInd w:val="0"/>
                    <w:snapToGrid w:val="0"/>
                    <w:ind w:left="480" w:hanging="480"/>
                    <w:jc w:val="center"/>
                    <w:rPr>
                      <w:szCs w:val="21"/>
                    </w:rPr>
                  </w:pPr>
                </w:p>
              </w:tc>
              <w:tc>
                <w:tcPr>
                  <w:tcW w:w="1301" w:type="dxa"/>
                  <w:shd w:val="clear" w:color="auto" w:fill="auto"/>
                  <w:vAlign w:val="center"/>
                </w:tcPr>
                <w:p w14:paraId="18F339D7">
                  <w:pPr>
                    <w:wordWrap w:val="0"/>
                    <w:adjustRightInd w:val="0"/>
                    <w:snapToGrid w:val="0"/>
                    <w:jc w:val="center"/>
                    <w:rPr>
                      <w:szCs w:val="21"/>
                    </w:rPr>
                  </w:pPr>
                  <w:r>
                    <w:rPr>
                      <w:szCs w:val="21"/>
                    </w:rPr>
                    <w:t>危废暂存间</w:t>
                  </w:r>
                </w:p>
              </w:tc>
              <w:tc>
                <w:tcPr>
                  <w:tcW w:w="5784" w:type="dxa"/>
                  <w:shd w:val="clear" w:color="auto" w:fill="auto"/>
                  <w:vAlign w:val="center"/>
                </w:tcPr>
                <w:p w14:paraId="45FEA9CC">
                  <w:pPr>
                    <w:wordWrap w:val="0"/>
                    <w:adjustRightInd w:val="0"/>
                    <w:snapToGrid w:val="0"/>
                    <w:jc w:val="left"/>
                    <w:rPr>
                      <w:szCs w:val="21"/>
                    </w:rPr>
                  </w:pPr>
                  <w:r>
                    <w:rPr>
                      <w:szCs w:val="21"/>
                    </w:rPr>
                    <w:t>位于4-20＃厂房</w:t>
                  </w:r>
                  <w:r>
                    <w:rPr>
                      <w:rFonts w:hint="eastAsia"/>
                      <w:szCs w:val="21"/>
                    </w:rPr>
                    <w:t>外东北</w:t>
                  </w:r>
                  <w:r>
                    <w:rPr>
                      <w:szCs w:val="21"/>
                    </w:rPr>
                    <w:t>侧，占厂房面积</w:t>
                  </w:r>
                  <w:r>
                    <w:rPr>
                      <w:rFonts w:hint="eastAsia"/>
                      <w:szCs w:val="21"/>
                    </w:rPr>
                    <w:t>30</w:t>
                  </w:r>
                  <w:r>
                    <w:rPr>
                      <w:szCs w:val="21"/>
                    </w:rPr>
                    <w:t>平方米，主要储存生产厂区危险废物</w:t>
                  </w:r>
                </w:p>
              </w:tc>
              <w:tc>
                <w:tcPr>
                  <w:tcW w:w="928" w:type="dxa"/>
                  <w:shd w:val="clear" w:color="auto" w:fill="auto"/>
                  <w:vAlign w:val="center"/>
                </w:tcPr>
                <w:p w14:paraId="55C4D5E5">
                  <w:pPr>
                    <w:wordWrap w:val="0"/>
                    <w:adjustRightInd w:val="0"/>
                    <w:snapToGrid w:val="0"/>
                    <w:jc w:val="center"/>
                    <w:rPr>
                      <w:szCs w:val="21"/>
                    </w:rPr>
                  </w:pPr>
                  <w:r>
                    <w:rPr>
                      <w:rFonts w:hint="eastAsia"/>
                      <w:szCs w:val="21"/>
                    </w:rPr>
                    <w:t>依托</w:t>
                  </w:r>
                </w:p>
              </w:tc>
            </w:tr>
            <w:tr w14:paraId="66B5BA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Merge w:val="restart"/>
                  <w:vAlign w:val="center"/>
                </w:tcPr>
                <w:p w14:paraId="0E144F74">
                  <w:pPr>
                    <w:wordWrap w:val="0"/>
                    <w:adjustRightInd w:val="0"/>
                    <w:snapToGrid w:val="0"/>
                    <w:jc w:val="center"/>
                    <w:rPr>
                      <w:szCs w:val="21"/>
                    </w:rPr>
                  </w:pPr>
                  <w:r>
                    <w:rPr>
                      <w:szCs w:val="21"/>
                    </w:rPr>
                    <w:t>公用工程</w:t>
                  </w:r>
                </w:p>
              </w:tc>
              <w:tc>
                <w:tcPr>
                  <w:tcW w:w="1301" w:type="dxa"/>
                  <w:vAlign w:val="center"/>
                </w:tcPr>
                <w:p w14:paraId="3C38D5CE">
                  <w:pPr>
                    <w:wordWrap w:val="0"/>
                    <w:adjustRightInd w:val="0"/>
                    <w:snapToGrid w:val="0"/>
                    <w:jc w:val="center"/>
                    <w:rPr>
                      <w:szCs w:val="21"/>
                    </w:rPr>
                  </w:pPr>
                  <w:r>
                    <w:rPr>
                      <w:szCs w:val="21"/>
                    </w:rPr>
                    <w:t>供水系统</w:t>
                  </w:r>
                </w:p>
              </w:tc>
              <w:tc>
                <w:tcPr>
                  <w:tcW w:w="5784" w:type="dxa"/>
                  <w:shd w:val="clear" w:color="auto" w:fill="auto"/>
                  <w:vAlign w:val="center"/>
                </w:tcPr>
                <w:p w14:paraId="6B6F104E">
                  <w:pPr>
                    <w:wordWrap w:val="0"/>
                    <w:adjustRightInd w:val="0"/>
                    <w:snapToGrid w:val="0"/>
                    <w:jc w:val="left"/>
                    <w:rPr>
                      <w:szCs w:val="21"/>
                    </w:rPr>
                  </w:pPr>
                  <w:r>
                    <w:rPr>
                      <w:szCs w:val="21"/>
                    </w:rPr>
                    <w:t>本项目供水依托蔡家坡百万平米厂房工业园区市政供水管网，水源由五丈原水厂提供</w:t>
                  </w:r>
                </w:p>
              </w:tc>
              <w:tc>
                <w:tcPr>
                  <w:tcW w:w="928" w:type="dxa"/>
                  <w:vAlign w:val="center"/>
                </w:tcPr>
                <w:p w14:paraId="1ED183B0">
                  <w:pPr>
                    <w:wordWrap w:val="0"/>
                    <w:adjustRightInd w:val="0"/>
                    <w:snapToGrid w:val="0"/>
                    <w:jc w:val="center"/>
                    <w:rPr>
                      <w:szCs w:val="21"/>
                    </w:rPr>
                  </w:pPr>
                  <w:r>
                    <w:rPr>
                      <w:rFonts w:hint="eastAsia"/>
                      <w:szCs w:val="21"/>
                    </w:rPr>
                    <w:t>依托</w:t>
                  </w:r>
                </w:p>
              </w:tc>
            </w:tr>
            <w:tr w14:paraId="203E3E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Merge w:val="continue"/>
                  <w:vAlign w:val="center"/>
                </w:tcPr>
                <w:p w14:paraId="64BE9A81">
                  <w:pPr>
                    <w:wordWrap w:val="0"/>
                    <w:adjustRightInd w:val="0"/>
                    <w:snapToGrid w:val="0"/>
                    <w:ind w:left="480" w:hanging="480"/>
                    <w:jc w:val="center"/>
                    <w:rPr>
                      <w:szCs w:val="21"/>
                    </w:rPr>
                  </w:pPr>
                </w:p>
              </w:tc>
              <w:tc>
                <w:tcPr>
                  <w:tcW w:w="1301" w:type="dxa"/>
                  <w:vAlign w:val="center"/>
                </w:tcPr>
                <w:p w14:paraId="7F3A20B3">
                  <w:pPr>
                    <w:wordWrap w:val="0"/>
                    <w:adjustRightInd w:val="0"/>
                    <w:snapToGrid w:val="0"/>
                    <w:jc w:val="center"/>
                    <w:rPr>
                      <w:szCs w:val="21"/>
                    </w:rPr>
                  </w:pPr>
                  <w:r>
                    <w:rPr>
                      <w:szCs w:val="21"/>
                    </w:rPr>
                    <w:t>排水系统</w:t>
                  </w:r>
                </w:p>
              </w:tc>
              <w:tc>
                <w:tcPr>
                  <w:tcW w:w="5784" w:type="dxa"/>
                  <w:shd w:val="clear" w:color="auto" w:fill="auto"/>
                  <w:vAlign w:val="center"/>
                </w:tcPr>
                <w:p w14:paraId="74056B0F">
                  <w:pPr>
                    <w:pStyle w:val="57"/>
                    <w:wordWrap w:val="0"/>
                    <w:jc w:val="left"/>
                    <w:rPr>
                      <w:b w:val="0"/>
                      <w:bCs/>
                      <w:lang w:val="en-US"/>
                    </w:rPr>
                  </w:pPr>
                  <w:r>
                    <w:rPr>
                      <w:rFonts w:hint="eastAsia"/>
                      <w:b w:val="0"/>
                      <w:bCs/>
                      <w:lang w:val="en-US"/>
                    </w:rPr>
                    <w:t>依托百万平米厂房工业园区化粪池处理后进入污水管网排入五丈原污水处理厂处理。</w:t>
                  </w:r>
                </w:p>
              </w:tc>
              <w:tc>
                <w:tcPr>
                  <w:tcW w:w="928" w:type="dxa"/>
                  <w:vAlign w:val="center"/>
                </w:tcPr>
                <w:p w14:paraId="0EE91E5B">
                  <w:pPr>
                    <w:wordWrap w:val="0"/>
                    <w:adjustRightInd w:val="0"/>
                    <w:snapToGrid w:val="0"/>
                    <w:jc w:val="center"/>
                    <w:rPr>
                      <w:szCs w:val="21"/>
                    </w:rPr>
                  </w:pPr>
                  <w:r>
                    <w:rPr>
                      <w:rFonts w:hint="eastAsia"/>
                      <w:szCs w:val="21"/>
                    </w:rPr>
                    <w:t>依托</w:t>
                  </w:r>
                </w:p>
              </w:tc>
            </w:tr>
            <w:tr w14:paraId="6654F8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Merge w:val="continue"/>
                  <w:vAlign w:val="center"/>
                </w:tcPr>
                <w:p w14:paraId="0F01214E">
                  <w:pPr>
                    <w:wordWrap w:val="0"/>
                    <w:adjustRightInd w:val="0"/>
                    <w:snapToGrid w:val="0"/>
                    <w:ind w:left="480" w:hanging="480"/>
                    <w:jc w:val="center"/>
                    <w:rPr>
                      <w:szCs w:val="21"/>
                    </w:rPr>
                  </w:pPr>
                </w:p>
              </w:tc>
              <w:tc>
                <w:tcPr>
                  <w:tcW w:w="1301" w:type="dxa"/>
                  <w:vAlign w:val="center"/>
                </w:tcPr>
                <w:p w14:paraId="396775F1">
                  <w:pPr>
                    <w:wordWrap w:val="0"/>
                    <w:adjustRightInd w:val="0"/>
                    <w:snapToGrid w:val="0"/>
                    <w:jc w:val="center"/>
                    <w:rPr>
                      <w:szCs w:val="21"/>
                    </w:rPr>
                  </w:pPr>
                  <w:r>
                    <w:rPr>
                      <w:szCs w:val="21"/>
                    </w:rPr>
                    <w:t>供电系统</w:t>
                  </w:r>
                </w:p>
              </w:tc>
              <w:tc>
                <w:tcPr>
                  <w:tcW w:w="5784" w:type="dxa"/>
                  <w:shd w:val="clear" w:color="auto" w:fill="auto"/>
                  <w:vAlign w:val="center"/>
                </w:tcPr>
                <w:p w14:paraId="512478C4">
                  <w:pPr>
                    <w:wordWrap w:val="0"/>
                    <w:adjustRightInd w:val="0"/>
                    <w:snapToGrid w:val="0"/>
                    <w:jc w:val="left"/>
                    <w:rPr>
                      <w:szCs w:val="21"/>
                    </w:rPr>
                  </w:pPr>
                  <w:r>
                    <w:rPr>
                      <w:szCs w:val="21"/>
                    </w:rPr>
                    <w:t>由</w:t>
                  </w:r>
                  <w:r>
                    <w:rPr>
                      <w:rFonts w:hint="eastAsia"/>
                      <w:szCs w:val="21"/>
                    </w:rPr>
                    <w:t>红星110KV变电站专线供电</w:t>
                  </w:r>
                </w:p>
              </w:tc>
              <w:tc>
                <w:tcPr>
                  <w:tcW w:w="928" w:type="dxa"/>
                  <w:vAlign w:val="center"/>
                </w:tcPr>
                <w:p w14:paraId="7F39C55A">
                  <w:pPr>
                    <w:wordWrap w:val="0"/>
                    <w:adjustRightInd w:val="0"/>
                    <w:snapToGrid w:val="0"/>
                    <w:jc w:val="center"/>
                    <w:rPr>
                      <w:szCs w:val="21"/>
                    </w:rPr>
                  </w:pPr>
                  <w:r>
                    <w:rPr>
                      <w:rFonts w:hint="eastAsia"/>
                      <w:szCs w:val="21"/>
                    </w:rPr>
                    <w:t>依托</w:t>
                  </w:r>
                </w:p>
              </w:tc>
            </w:tr>
            <w:tr w14:paraId="7DA4F8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Merge w:val="continue"/>
                  <w:vAlign w:val="center"/>
                </w:tcPr>
                <w:p w14:paraId="64DB46B7">
                  <w:pPr>
                    <w:wordWrap w:val="0"/>
                    <w:adjustRightInd w:val="0"/>
                    <w:snapToGrid w:val="0"/>
                    <w:ind w:left="480" w:hanging="480"/>
                    <w:jc w:val="center"/>
                    <w:rPr>
                      <w:szCs w:val="21"/>
                    </w:rPr>
                  </w:pPr>
                </w:p>
              </w:tc>
              <w:tc>
                <w:tcPr>
                  <w:tcW w:w="1301" w:type="dxa"/>
                  <w:vAlign w:val="center"/>
                </w:tcPr>
                <w:p w14:paraId="4B34C8ED">
                  <w:pPr>
                    <w:wordWrap w:val="0"/>
                    <w:jc w:val="center"/>
                    <w:rPr>
                      <w:szCs w:val="21"/>
                    </w:rPr>
                  </w:pPr>
                  <w:r>
                    <w:rPr>
                      <w:bCs/>
                    </w:rPr>
                    <w:t>供暖、制冷工程</w:t>
                  </w:r>
                </w:p>
              </w:tc>
              <w:tc>
                <w:tcPr>
                  <w:tcW w:w="5784" w:type="dxa"/>
                  <w:shd w:val="clear" w:color="auto" w:fill="auto"/>
                  <w:vAlign w:val="center"/>
                </w:tcPr>
                <w:p w14:paraId="430CFBE5">
                  <w:pPr>
                    <w:wordWrap w:val="0"/>
                    <w:jc w:val="left"/>
                    <w:rPr>
                      <w:szCs w:val="21"/>
                    </w:rPr>
                  </w:pPr>
                  <w:r>
                    <w:rPr>
                      <w:bCs/>
                    </w:rPr>
                    <w:t>办公室采用空调供暖和制冷，生产车间不采取供暖、制冷</w:t>
                  </w:r>
                </w:p>
              </w:tc>
              <w:tc>
                <w:tcPr>
                  <w:tcW w:w="928" w:type="dxa"/>
                  <w:vAlign w:val="center"/>
                </w:tcPr>
                <w:p w14:paraId="64286B30">
                  <w:pPr>
                    <w:wordWrap w:val="0"/>
                    <w:adjustRightInd w:val="0"/>
                    <w:snapToGrid w:val="0"/>
                    <w:jc w:val="center"/>
                    <w:rPr>
                      <w:szCs w:val="21"/>
                    </w:rPr>
                  </w:pPr>
                  <w:r>
                    <w:rPr>
                      <w:rFonts w:hint="eastAsia"/>
                      <w:szCs w:val="21"/>
                    </w:rPr>
                    <w:t>依托</w:t>
                  </w:r>
                </w:p>
              </w:tc>
            </w:tr>
            <w:tr w14:paraId="181038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Merge w:val="restart"/>
                  <w:vAlign w:val="center"/>
                </w:tcPr>
                <w:p w14:paraId="3CEFDE1E">
                  <w:pPr>
                    <w:wordWrap w:val="0"/>
                    <w:adjustRightInd w:val="0"/>
                    <w:snapToGrid w:val="0"/>
                    <w:jc w:val="center"/>
                    <w:rPr>
                      <w:szCs w:val="21"/>
                    </w:rPr>
                  </w:pPr>
                  <w:r>
                    <w:rPr>
                      <w:szCs w:val="21"/>
                    </w:rPr>
                    <w:t>环保工程</w:t>
                  </w:r>
                </w:p>
              </w:tc>
              <w:tc>
                <w:tcPr>
                  <w:tcW w:w="1301" w:type="dxa"/>
                  <w:vAlign w:val="center"/>
                </w:tcPr>
                <w:p w14:paraId="5928FC57">
                  <w:pPr>
                    <w:wordWrap w:val="0"/>
                    <w:adjustRightInd w:val="0"/>
                    <w:snapToGrid w:val="0"/>
                    <w:jc w:val="center"/>
                    <w:rPr>
                      <w:szCs w:val="21"/>
                    </w:rPr>
                  </w:pPr>
                  <w:r>
                    <w:rPr>
                      <w:szCs w:val="21"/>
                    </w:rPr>
                    <w:t>废气</w:t>
                  </w:r>
                </w:p>
                <w:p w14:paraId="14656E79">
                  <w:pPr>
                    <w:wordWrap w:val="0"/>
                    <w:adjustRightInd w:val="0"/>
                    <w:snapToGrid w:val="0"/>
                    <w:jc w:val="center"/>
                    <w:rPr>
                      <w:szCs w:val="21"/>
                    </w:rPr>
                  </w:pPr>
                  <w:r>
                    <w:rPr>
                      <w:szCs w:val="21"/>
                    </w:rPr>
                    <w:t>处理</w:t>
                  </w:r>
                </w:p>
              </w:tc>
              <w:tc>
                <w:tcPr>
                  <w:tcW w:w="5784" w:type="dxa"/>
                  <w:shd w:val="clear" w:color="auto" w:fill="auto"/>
                  <w:vAlign w:val="center"/>
                </w:tcPr>
                <w:p w14:paraId="124BDBC5">
                  <w:pPr>
                    <w:pStyle w:val="57"/>
                    <w:wordWrap w:val="0"/>
                    <w:jc w:val="left"/>
                    <w:rPr>
                      <w:b w:val="0"/>
                      <w:bCs/>
                      <w:lang w:val="en-US"/>
                    </w:rPr>
                  </w:pPr>
                  <w:r>
                    <w:rPr>
                      <w:rFonts w:hint="eastAsia"/>
                      <w:b w:val="0"/>
                      <w:bCs/>
                      <w:lang w:val="en-US"/>
                    </w:rPr>
                    <w:t>①电解清洗过程中碱雾通过集气罩+喷淋塔处理后由27m高排气筒（</w:t>
                  </w:r>
                  <w:r>
                    <w:rPr>
                      <w:rFonts w:hint="eastAsia"/>
                      <w:b w:val="0"/>
                      <w:bCs/>
                      <w:lang w:val="en-US" w:eastAsia="zh-CN"/>
                    </w:rPr>
                    <w:t>1#</w:t>
                  </w:r>
                  <w:r>
                    <w:rPr>
                      <w:rFonts w:hint="eastAsia"/>
                      <w:b w:val="0"/>
                      <w:bCs/>
                      <w:lang w:val="en-US"/>
                    </w:rPr>
                    <w:t>）排放；</w:t>
                  </w:r>
                </w:p>
                <w:p w14:paraId="033AD6CF">
                  <w:pPr>
                    <w:wordWrap w:val="0"/>
                    <w:adjustRightInd w:val="0"/>
                    <w:snapToGrid w:val="0"/>
                    <w:jc w:val="left"/>
                    <w:rPr>
                      <w:szCs w:val="21"/>
                    </w:rPr>
                  </w:pPr>
                  <w:r>
                    <w:rPr>
                      <w:rFonts w:hint="eastAsia"/>
                      <w:bCs/>
                    </w:rPr>
                    <w:t>②废水采用“钨回收系统”处理过程中蒸发产生的水蒸气、碱雾及天然气燃烧废气经集气罩+冷凝+喷淋塔处理后由27m高排气筒（</w:t>
                  </w:r>
                  <w:r>
                    <w:rPr>
                      <w:rFonts w:hint="eastAsia"/>
                      <w:bCs/>
                      <w:lang w:eastAsia="zh-CN"/>
                    </w:rPr>
                    <w:t>1#</w:t>
                  </w:r>
                  <w:r>
                    <w:rPr>
                      <w:rFonts w:hint="eastAsia"/>
                      <w:bCs/>
                    </w:rPr>
                    <w:t>）排放；</w:t>
                  </w:r>
                </w:p>
              </w:tc>
              <w:tc>
                <w:tcPr>
                  <w:tcW w:w="928" w:type="dxa"/>
                  <w:vAlign w:val="center"/>
                </w:tcPr>
                <w:p w14:paraId="034F6632">
                  <w:pPr>
                    <w:wordWrap w:val="0"/>
                    <w:adjustRightInd w:val="0"/>
                    <w:snapToGrid w:val="0"/>
                    <w:jc w:val="center"/>
                    <w:rPr>
                      <w:szCs w:val="21"/>
                    </w:rPr>
                  </w:pPr>
                  <w:r>
                    <w:rPr>
                      <w:rFonts w:hint="eastAsia"/>
                      <w:szCs w:val="21"/>
                    </w:rPr>
                    <w:t>新建</w:t>
                  </w:r>
                </w:p>
              </w:tc>
            </w:tr>
            <w:tr w14:paraId="666066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58" w:hRule="atLeast"/>
                <w:jc w:val="center"/>
              </w:trPr>
              <w:tc>
                <w:tcPr>
                  <w:tcW w:w="898" w:type="dxa"/>
                  <w:vMerge w:val="continue"/>
                  <w:vAlign w:val="center"/>
                </w:tcPr>
                <w:p w14:paraId="41668AC2">
                  <w:pPr>
                    <w:wordWrap w:val="0"/>
                    <w:adjustRightInd w:val="0"/>
                    <w:snapToGrid w:val="0"/>
                    <w:ind w:left="480" w:hanging="480"/>
                    <w:jc w:val="center"/>
                    <w:rPr>
                      <w:szCs w:val="21"/>
                    </w:rPr>
                  </w:pPr>
                </w:p>
              </w:tc>
              <w:tc>
                <w:tcPr>
                  <w:tcW w:w="1301" w:type="dxa"/>
                  <w:vAlign w:val="center"/>
                </w:tcPr>
                <w:p w14:paraId="15E612AF">
                  <w:pPr>
                    <w:wordWrap w:val="0"/>
                    <w:adjustRightInd w:val="0"/>
                    <w:snapToGrid w:val="0"/>
                    <w:jc w:val="center"/>
                    <w:rPr>
                      <w:szCs w:val="21"/>
                    </w:rPr>
                  </w:pPr>
                  <w:r>
                    <w:rPr>
                      <w:szCs w:val="21"/>
                    </w:rPr>
                    <w:t>废水</w:t>
                  </w:r>
                </w:p>
                <w:p w14:paraId="36677B8C">
                  <w:pPr>
                    <w:wordWrap w:val="0"/>
                    <w:adjustRightInd w:val="0"/>
                    <w:snapToGrid w:val="0"/>
                    <w:jc w:val="center"/>
                    <w:rPr>
                      <w:szCs w:val="21"/>
                    </w:rPr>
                  </w:pPr>
                  <w:r>
                    <w:rPr>
                      <w:szCs w:val="21"/>
                    </w:rPr>
                    <w:t>治理</w:t>
                  </w:r>
                </w:p>
              </w:tc>
              <w:tc>
                <w:tcPr>
                  <w:tcW w:w="5784" w:type="dxa"/>
                  <w:shd w:val="clear" w:color="auto" w:fill="auto"/>
                  <w:vAlign w:val="center"/>
                </w:tcPr>
                <w:p w14:paraId="3AFB77A3">
                  <w:pPr>
                    <w:pStyle w:val="57"/>
                    <w:wordWrap w:val="0"/>
                    <w:jc w:val="left"/>
                    <w:rPr>
                      <w:b w:val="0"/>
                      <w:bCs/>
                      <w:lang w:val="en-US"/>
                    </w:rPr>
                  </w:pPr>
                  <w:r>
                    <w:rPr>
                      <w:rFonts w:hint="eastAsia"/>
                      <w:b w:val="0"/>
                      <w:bCs/>
                      <w:lang w:val="en-US"/>
                    </w:rPr>
                    <w:t>①项目软水制备排水直接排入园区污水管网；</w:t>
                  </w:r>
                </w:p>
                <w:p w14:paraId="5C297085">
                  <w:pPr>
                    <w:pStyle w:val="57"/>
                    <w:wordWrap w:val="0"/>
                    <w:jc w:val="left"/>
                    <w:rPr>
                      <w:b w:val="0"/>
                      <w:bCs/>
                      <w:lang w:val="en-US"/>
                    </w:rPr>
                  </w:pPr>
                  <w:r>
                    <w:rPr>
                      <w:rFonts w:hint="eastAsia"/>
                      <w:b w:val="0"/>
                      <w:bCs/>
                      <w:lang w:val="en-US"/>
                    </w:rPr>
                    <w:t>②电解洗废水采用“钨回收系统”处理，主要采用“蒸发+冷凝”工艺，蒸干后的干化物外售物资回收公司，蒸发冷凝水排入园区污水管网；</w:t>
                  </w:r>
                </w:p>
                <w:p w14:paraId="3CCE8305">
                  <w:pPr>
                    <w:pStyle w:val="57"/>
                    <w:wordWrap w:val="0"/>
                    <w:jc w:val="left"/>
                    <w:rPr>
                      <w:b w:val="0"/>
                      <w:bCs/>
                      <w:lang w:val="en-US"/>
                    </w:rPr>
                  </w:pPr>
                  <w:r>
                    <w:rPr>
                      <w:rFonts w:hint="eastAsia"/>
                      <w:b w:val="0"/>
                      <w:bCs/>
                      <w:lang w:val="en-US"/>
                    </w:rPr>
                    <w:t>③水洗废水部分用作电解碱液配置，部分进入“钨回收系统”处理。</w:t>
                  </w:r>
                </w:p>
              </w:tc>
              <w:tc>
                <w:tcPr>
                  <w:tcW w:w="928" w:type="dxa"/>
                  <w:vAlign w:val="center"/>
                </w:tcPr>
                <w:p w14:paraId="59853573">
                  <w:pPr>
                    <w:wordWrap w:val="0"/>
                    <w:adjustRightInd w:val="0"/>
                    <w:snapToGrid w:val="0"/>
                    <w:jc w:val="center"/>
                    <w:rPr>
                      <w:szCs w:val="21"/>
                    </w:rPr>
                  </w:pPr>
                  <w:r>
                    <w:rPr>
                      <w:rFonts w:hint="eastAsia"/>
                      <w:szCs w:val="21"/>
                    </w:rPr>
                    <w:t>新建</w:t>
                  </w:r>
                </w:p>
              </w:tc>
            </w:tr>
            <w:tr w14:paraId="3A12A8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Merge w:val="continue"/>
                  <w:vAlign w:val="center"/>
                </w:tcPr>
                <w:p w14:paraId="1B4641C9">
                  <w:pPr>
                    <w:wordWrap w:val="0"/>
                    <w:adjustRightInd w:val="0"/>
                    <w:snapToGrid w:val="0"/>
                    <w:ind w:left="480" w:hanging="480"/>
                    <w:jc w:val="center"/>
                    <w:rPr>
                      <w:szCs w:val="21"/>
                    </w:rPr>
                  </w:pPr>
                </w:p>
              </w:tc>
              <w:tc>
                <w:tcPr>
                  <w:tcW w:w="1301" w:type="dxa"/>
                  <w:vAlign w:val="center"/>
                </w:tcPr>
                <w:p w14:paraId="71567BDB">
                  <w:pPr>
                    <w:wordWrap w:val="0"/>
                    <w:adjustRightInd w:val="0"/>
                    <w:snapToGrid w:val="0"/>
                    <w:jc w:val="center"/>
                    <w:rPr>
                      <w:szCs w:val="21"/>
                    </w:rPr>
                  </w:pPr>
                  <w:r>
                    <w:rPr>
                      <w:szCs w:val="21"/>
                    </w:rPr>
                    <w:t>噪声</w:t>
                  </w:r>
                </w:p>
                <w:p w14:paraId="1DDA7779">
                  <w:pPr>
                    <w:wordWrap w:val="0"/>
                    <w:adjustRightInd w:val="0"/>
                    <w:snapToGrid w:val="0"/>
                    <w:jc w:val="center"/>
                    <w:rPr>
                      <w:szCs w:val="21"/>
                    </w:rPr>
                  </w:pPr>
                  <w:r>
                    <w:rPr>
                      <w:szCs w:val="21"/>
                    </w:rPr>
                    <w:t>治理</w:t>
                  </w:r>
                </w:p>
              </w:tc>
              <w:tc>
                <w:tcPr>
                  <w:tcW w:w="5784" w:type="dxa"/>
                  <w:shd w:val="clear" w:color="auto" w:fill="auto"/>
                  <w:vAlign w:val="center"/>
                </w:tcPr>
                <w:p w14:paraId="61261A9F">
                  <w:pPr>
                    <w:wordWrap w:val="0"/>
                    <w:adjustRightInd w:val="0"/>
                    <w:snapToGrid w:val="0"/>
                    <w:jc w:val="left"/>
                    <w:rPr>
                      <w:szCs w:val="21"/>
                    </w:rPr>
                  </w:pPr>
                  <w:r>
                    <w:rPr>
                      <w:szCs w:val="21"/>
                    </w:rPr>
                    <w:t>设置减振弹簧和橡皮垫、厂房隔声等减振降噪措施</w:t>
                  </w:r>
                </w:p>
              </w:tc>
              <w:tc>
                <w:tcPr>
                  <w:tcW w:w="928" w:type="dxa"/>
                  <w:vAlign w:val="center"/>
                </w:tcPr>
                <w:p w14:paraId="0DD83269">
                  <w:pPr>
                    <w:wordWrap w:val="0"/>
                    <w:adjustRightInd w:val="0"/>
                    <w:snapToGrid w:val="0"/>
                    <w:jc w:val="center"/>
                    <w:rPr>
                      <w:szCs w:val="21"/>
                    </w:rPr>
                  </w:pPr>
                  <w:r>
                    <w:rPr>
                      <w:rFonts w:hint="eastAsia"/>
                      <w:szCs w:val="21"/>
                    </w:rPr>
                    <w:t>新建</w:t>
                  </w:r>
                </w:p>
              </w:tc>
            </w:tr>
            <w:tr w14:paraId="0D32CA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8" w:type="dxa"/>
                  <w:vMerge w:val="continue"/>
                  <w:vAlign w:val="center"/>
                </w:tcPr>
                <w:p w14:paraId="78C9E157">
                  <w:pPr>
                    <w:wordWrap w:val="0"/>
                    <w:adjustRightInd w:val="0"/>
                    <w:snapToGrid w:val="0"/>
                    <w:ind w:left="480" w:hanging="480"/>
                    <w:jc w:val="center"/>
                    <w:rPr>
                      <w:szCs w:val="21"/>
                    </w:rPr>
                  </w:pPr>
                </w:p>
              </w:tc>
              <w:tc>
                <w:tcPr>
                  <w:tcW w:w="1301" w:type="dxa"/>
                  <w:vAlign w:val="center"/>
                </w:tcPr>
                <w:p w14:paraId="73D6CC80">
                  <w:pPr>
                    <w:pStyle w:val="57"/>
                    <w:wordWrap w:val="0"/>
                    <w:rPr>
                      <w:b w:val="0"/>
                      <w:bCs/>
                    </w:rPr>
                  </w:pPr>
                  <w:r>
                    <w:rPr>
                      <w:b w:val="0"/>
                      <w:bCs/>
                    </w:rPr>
                    <w:t>固废</w:t>
                  </w:r>
                </w:p>
                <w:p w14:paraId="12703B1F">
                  <w:pPr>
                    <w:pStyle w:val="57"/>
                    <w:wordWrap w:val="0"/>
                    <w:rPr>
                      <w:b w:val="0"/>
                      <w:bCs/>
                    </w:rPr>
                  </w:pPr>
                  <w:r>
                    <w:rPr>
                      <w:b w:val="0"/>
                      <w:bCs/>
                    </w:rPr>
                    <w:t>治理</w:t>
                  </w:r>
                </w:p>
              </w:tc>
              <w:tc>
                <w:tcPr>
                  <w:tcW w:w="5784" w:type="dxa"/>
                  <w:shd w:val="clear" w:color="auto" w:fill="auto"/>
                  <w:vAlign w:val="center"/>
                </w:tcPr>
                <w:p w14:paraId="7698C809">
                  <w:pPr>
                    <w:pStyle w:val="57"/>
                    <w:wordWrap w:val="0"/>
                    <w:jc w:val="left"/>
                    <w:rPr>
                      <w:b w:val="0"/>
                      <w:bCs/>
                    </w:rPr>
                  </w:pPr>
                  <w:r>
                    <w:rPr>
                      <w:b w:val="0"/>
                      <w:bCs/>
                    </w:rPr>
                    <w:t>一般固体废物</w:t>
                  </w:r>
                  <w:r>
                    <w:rPr>
                      <w:rFonts w:hint="eastAsia"/>
                      <w:b w:val="0"/>
                      <w:bCs/>
                    </w:rPr>
                    <w:t>：</w:t>
                  </w:r>
                  <w:r>
                    <w:rPr>
                      <w:rFonts w:hint="eastAsia"/>
                      <w:b w:val="0"/>
                      <w:bCs/>
                      <w:lang w:val="en-US"/>
                    </w:rPr>
                    <w:t>蒸发干化物等一般固废暂存区暂存后外售物资回收公司</w:t>
                  </w:r>
                  <w:r>
                    <w:rPr>
                      <w:b w:val="0"/>
                      <w:bCs/>
                    </w:rPr>
                    <w:t>；</w:t>
                  </w:r>
                </w:p>
                <w:p w14:paraId="5E3EEED0">
                  <w:pPr>
                    <w:pStyle w:val="57"/>
                    <w:wordWrap w:val="0"/>
                    <w:jc w:val="left"/>
                    <w:rPr>
                      <w:b w:val="0"/>
                      <w:bCs/>
                    </w:rPr>
                  </w:pPr>
                  <w:r>
                    <w:rPr>
                      <w:b w:val="0"/>
                      <w:bCs/>
                    </w:rPr>
                    <w:t>危险废物</w:t>
                  </w:r>
                  <w:r>
                    <w:rPr>
                      <w:rFonts w:hint="eastAsia"/>
                      <w:b w:val="0"/>
                      <w:bCs/>
                    </w:rPr>
                    <w:t>：</w:t>
                  </w:r>
                  <w:r>
                    <w:rPr>
                      <w:rFonts w:hint="eastAsia"/>
                      <w:b w:val="0"/>
                      <w:bCs/>
                      <w:lang w:val="en-US"/>
                    </w:rPr>
                    <w:t>废海绵、废滤芯</w:t>
                  </w:r>
                  <w:r>
                    <w:rPr>
                      <w:rFonts w:hint="eastAsia"/>
                      <w:b w:val="0"/>
                      <w:bCs/>
                    </w:rPr>
                    <w:t>、废含油手套抹布</w:t>
                  </w:r>
                  <w:r>
                    <w:rPr>
                      <w:rFonts w:hint="eastAsia"/>
                      <w:b w:val="0"/>
                      <w:bCs/>
                      <w:lang w:val="en-US"/>
                    </w:rPr>
                    <w:t>等</w:t>
                  </w:r>
                  <w:r>
                    <w:rPr>
                      <w:b w:val="0"/>
                      <w:bCs/>
                    </w:rPr>
                    <w:t>集中收集后暂存于危废暂存间定期交于资质单位处理处置</w:t>
                  </w:r>
                </w:p>
              </w:tc>
              <w:tc>
                <w:tcPr>
                  <w:tcW w:w="928" w:type="dxa"/>
                  <w:vAlign w:val="center"/>
                </w:tcPr>
                <w:p w14:paraId="2F5C90FB">
                  <w:pPr>
                    <w:wordWrap w:val="0"/>
                    <w:adjustRightInd w:val="0"/>
                    <w:snapToGrid w:val="0"/>
                    <w:jc w:val="center"/>
                    <w:rPr>
                      <w:szCs w:val="21"/>
                    </w:rPr>
                  </w:pPr>
                  <w:r>
                    <w:rPr>
                      <w:rFonts w:hint="eastAsia"/>
                      <w:szCs w:val="21"/>
                    </w:rPr>
                    <w:t>依托</w:t>
                  </w:r>
                </w:p>
              </w:tc>
            </w:tr>
          </w:tbl>
          <w:p w14:paraId="709C9C41">
            <w:pPr>
              <w:pStyle w:val="111"/>
              <w:wordWrap w:val="0"/>
              <w:ind w:firstLine="482"/>
              <w:rPr>
                <w:rFonts w:hint="default"/>
                <w:b/>
                <w:bCs/>
                <w:color w:val="auto"/>
              </w:rPr>
            </w:pPr>
            <w:r>
              <w:rPr>
                <w:rFonts w:hint="eastAsia"/>
                <w:b/>
                <w:bCs/>
                <w:color w:val="auto"/>
                <w:lang w:eastAsia="zh-CN"/>
              </w:rPr>
              <w:t>4.</w:t>
            </w:r>
            <w:r>
              <w:rPr>
                <w:b/>
                <w:bCs/>
                <w:color w:val="auto"/>
              </w:rPr>
              <w:t>项目产品方案</w:t>
            </w:r>
          </w:p>
          <w:p w14:paraId="43235702">
            <w:pPr>
              <w:pStyle w:val="111"/>
              <w:wordWrap w:val="0"/>
              <w:rPr>
                <w:rFonts w:hint="default"/>
                <w:color w:val="auto"/>
              </w:rPr>
            </w:pPr>
            <w:r>
              <w:rPr>
                <w:color w:val="auto"/>
              </w:rPr>
              <w:t>项目产品方案见下表。</w:t>
            </w:r>
          </w:p>
          <w:p w14:paraId="3DCDC90F">
            <w:pPr>
              <w:pStyle w:val="57"/>
              <w:wordWrap w:val="0"/>
              <w:rPr>
                <w:lang w:val="en-US"/>
              </w:rPr>
            </w:pPr>
            <w:r>
              <w:rPr>
                <w:rFonts w:hint="eastAsia"/>
                <w:lang w:val="en-US"/>
              </w:rPr>
              <w:t>表2-</w:t>
            </w:r>
            <w:r>
              <w:rPr>
                <w:rFonts w:hint="eastAsia"/>
                <w:lang w:val="en-US" w:eastAsia="zh-CN"/>
              </w:rPr>
              <w:t>3</w:t>
            </w:r>
            <w:r>
              <w:rPr>
                <w:rFonts w:hint="eastAsia"/>
                <w:lang w:val="en-US"/>
              </w:rPr>
              <w:t>产品方案表</w:t>
            </w:r>
          </w:p>
          <w:tbl>
            <w:tblPr>
              <w:tblStyle w:val="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96"/>
              <w:gridCol w:w="1210"/>
              <w:gridCol w:w="1163"/>
              <w:gridCol w:w="1329"/>
              <w:gridCol w:w="1329"/>
              <w:gridCol w:w="1127"/>
              <w:gridCol w:w="1368"/>
            </w:tblGrid>
            <w:tr w14:paraId="46769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6" w:type="dxa"/>
                  <w:shd w:val="clear" w:color="auto" w:fill="auto"/>
                  <w:vAlign w:val="center"/>
                </w:tcPr>
                <w:p w14:paraId="1AA71C6B">
                  <w:pPr>
                    <w:wordWrap w:val="0"/>
                    <w:jc w:val="center"/>
                    <w:rPr>
                      <w:b/>
                      <w:szCs w:val="21"/>
                    </w:rPr>
                  </w:pPr>
                  <w:r>
                    <w:rPr>
                      <w:rFonts w:hint="eastAsia"/>
                      <w:b/>
                      <w:szCs w:val="21"/>
                    </w:rPr>
                    <w:t>产品名称</w:t>
                  </w:r>
                </w:p>
              </w:tc>
              <w:tc>
                <w:tcPr>
                  <w:tcW w:w="1210" w:type="dxa"/>
                  <w:shd w:val="clear" w:color="auto" w:fill="auto"/>
                  <w:vAlign w:val="center"/>
                </w:tcPr>
                <w:p w14:paraId="17F9F1CA">
                  <w:pPr>
                    <w:wordWrap w:val="0"/>
                    <w:jc w:val="center"/>
                    <w:rPr>
                      <w:b/>
                      <w:szCs w:val="21"/>
                    </w:rPr>
                  </w:pPr>
                  <w:r>
                    <w:rPr>
                      <w:rFonts w:hint="eastAsia"/>
                      <w:b/>
                      <w:szCs w:val="21"/>
                    </w:rPr>
                    <w:t>规格</w:t>
                  </w:r>
                </w:p>
              </w:tc>
              <w:tc>
                <w:tcPr>
                  <w:tcW w:w="1163" w:type="dxa"/>
                  <w:shd w:val="clear" w:color="auto" w:fill="auto"/>
                  <w:vAlign w:val="center"/>
                </w:tcPr>
                <w:p w14:paraId="6ABD9FB5">
                  <w:pPr>
                    <w:wordWrap w:val="0"/>
                    <w:jc w:val="center"/>
                    <w:rPr>
                      <w:b/>
                      <w:szCs w:val="21"/>
                    </w:rPr>
                  </w:pPr>
                  <w:r>
                    <w:rPr>
                      <w:rFonts w:hint="eastAsia"/>
                      <w:b/>
                      <w:szCs w:val="21"/>
                    </w:rPr>
                    <w:t>现有产能</w:t>
                  </w:r>
                </w:p>
              </w:tc>
              <w:tc>
                <w:tcPr>
                  <w:tcW w:w="1329" w:type="dxa"/>
                  <w:shd w:val="clear" w:color="auto" w:fill="auto"/>
                  <w:vAlign w:val="center"/>
                </w:tcPr>
                <w:p w14:paraId="07A4CDFB">
                  <w:pPr>
                    <w:wordWrap w:val="0"/>
                    <w:jc w:val="center"/>
                    <w:rPr>
                      <w:b/>
                      <w:szCs w:val="21"/>
                    </w:rPr>
                  </w:pPr>
                  <w:r>
                    <w:rPr>
                      <w:rFonts w:hint="eastAsia"/>
                      <w:b/>
                      <w:szCs w:val="21"/>
                    </w:rPr>
                    <w:t>在建项目产能</w:t>
                  </w:r>
                </w:p>
              </w:tc>
              <w:tc>
                <w:tcPr>
                  <w:tcW w:w="1329" w:type="dxa"/>
                  <w:shd w:val="clear" w:color="auto" w:fill="auto"/>
                  <w:vAlign w:val="center"/>
                </w:tcPr>
                <w:p w14:paraId="587EC6E3">
                  <w:pPr>
                    <w:wordWrap w:val="0"/>
                    <w:jc w:val="center"/>
                    <w:rPr>
                      <w:b/>
                      <w:szCs w:val="21"/>
                    </w:rPr>
                  </w:pPr>
                  <w:r>
                    <w:rPr>
                      <w:rFonts w:hint="eastAsia"/>
                      <w:b/>
                      <w:szCs w:val="21"/>
                    </w:rPr>
                    <w:t>本次扩建项目产能</w:t>
                  </w:r>
                </w:p>
              </w:tc>
              <w:tc>
                <w:tcPr>
                  <w:tcW w:w="1126" w:type="dxa"/>
                  <w:shd w:val="clear" w:color="auto" w:fill="auto"/>
                  <w:vAlign w:val="center"/>
                </w:tcPr>
                <w:p w14:paraId="12A0CEDB">
                  <w:pPr>
                    <w:wordWrap w:val="0"/>
                    <w:jc w:val="center"/>
                    <w:rPr>
                      <w:b/>
                      <w:szCs w:val="21"/>
                    </w:rPr>
                  </w:pPr>
                  <w:r>
                    <w:rPr>
                      <w:rFonts w:hint="eastAsia"/>
                      <w:b/>
                      <w:szCs w:val="21"/>
                    </w:rPr>
                    <w:t>建成后全厂产能</w:t>
                  </w:r>
                </w:p>
              </w:tc>
              <w:tc>
                <w:tcPr>
                  <w:tcW w:w="1368" w:type="dxa"/>
                  <w:shd w:val="clear" w:color="auto" w:fill="auto"/>
                  <w:vAlign w:val="center"/>
                </w:tcPr>
                <w:p w14:paraId="3E2C599C">
                  <w:pPr>
                    <w:wordWrap w:val="0"/>
                    <w:jc w:val="center"/>
                    <w:rPr>
                      <w:b/>
                      <w:szCs w:val="21"/>
                    </w:rPr>
                  </w:pPr>
                  <w:r>
                    <w:rPr>
                      <w:rFonts w:hint="eastAsia"/>
                      <w:b/>
                      <w:szCs w:val="21"/>
                    </w:rPr>
                    <w:t>备注</w:t>
                  </w:r>
                </w:p>
              </w:tc>
            </w:tr>
            <w:tr w14:paraId="6AF34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6" w:type="dxa"/>
                  <w:shd w:val="clear" w:color="auto" w:fill="auto"/>
                  <w:vAlign w:val="center"/>
                </w:tcPr>
                <w:p w14:paraId="4F5AD004">
                  <w:pPr>
                    <w:wordWrap w:val="0"/>
                    <w:jc w:val="center"/>
                    <w:rPr>
                      <w:bCs/>
                      <w:szCs w:val="21"/>
                    </w:rPr>
                  </w:pPr>
                  <w:r>
                    <w:rPr>
                      <w:rFonts w:hint="eastAsia"/>
                      <w:bCs/>
                      <w:szCs w:val="21"/>
                    </w:rPr>
                    <w:t>钨丝刚线</w:t>
                  </w:r>
                </w:p>
              </w:tc>
              <w:tc>
                <w:tcPr>
                  <w:tcW w:w="1210" w:type="dxa"/>
                  <w:shd w:val="clear" w:color="auto" w:fill="auto"/>
                  <w:vAlign w:val="center"/>
                </w:tcPr>
                <w:p w14:paraId="69EB16EC">
                  <w:pPr>
                    <w:wordWrap w:val="0"/>
                    <w:jc w:val="center"/>
                    <w:rPr>
                      <w:bCs/>
                      <w:szCs w:val="21"/>
                    </w:rPr>
                  </w:pPr>
                  <w:r>
                    <w:rPr>
                      <w:rFonts w:hint="eastAsia"/>
                      <w:bCs/>
                      <w:szCs w:val="21"/>
                    </w:rPr>
                    <w:t>规格φ40μm~φ80μm</w:t>
                  </w:r>
                </w:p>
              </w:tc>
              <w:tc>
                <w:tcPr>
                  <w:tcW w:w="1163" w:type="dxa"/>
                  <w:shd w:val="clear" w:color="auto" w:fill="auto"/>
                  <w:vAlign w:val="center"/>
                </w:tcPr>
                <w:p w14:paraId="7ADB4408">
                  <w:pPr>
                    <w:wordWrap w:val="0"/>
                    <w:jc w:val="center"/>
                    <w:rPr>
                      <w:bCs/>
                      <w:szCs w:val="21"/>
                    </w:rPr>
                  </w:pPr>
                  <w:r>
                    <w:rPr>
                      <w:rFonts w:hint="eastAsia"/>
                      <w:bCs/>
                      <w:szCs w:val="21"/>
                    </w:rPr>
                    <w:t>450万公里/年（264t/a）</w:t>
                  </w:r>
                </w:p>
              </w:tc>
              <w:tc>
                <w:tcPr>
                  <w:tcW w:w="1329" w:type="dxa"/>
                  <w:shd w:val="clear" w:color="auto" w:fill="auto"/>
                  <w:vAlign w:val="center"/>
                </w:tcPr>
                <w:p w14:paraId="48CDE11D">
                  <w:pPr>
                    <w:wordWrap w:val="0"/>
                    <w:jc w:val="center"/>
                    <w:rPr>
                      <w:bCs/>
                      <w:szCs w:val="21"/>
                    </w:rPr>
                  </w:pPr>
                  <w:r>
                    <w:rPr>
                      <w:rFonts w:hint="eastAsia"/>
                      <w:bCs/>
                      <w:szCs w:val="21"/>
                    </w:rPr>
                    <w:t>1350万公里/年（792t/a）</w:t>
                  </w:r>
                </w:p>
              </w:tc>
              <w:tc>
                <w:tcPr>
                  <w:tcW w:w="1329" w:type="dxa"/>
                  <w:shd w:val="clear" w:color="auto" w:fill="auto"/>
                  <w:vAlign w:val="center"/>
                </w:tcPr>
                <w:p w14:paraId="1D41F944">
                  <w:pPr>
                    <w:wordWrap w:val="0"/>
                    <w:jc w:val="center"/>
                  </w:pPr>
                  <w:r>
                    <w:rPr>
                      <w:rFonts w:hint="eastAsia"/>
                    </w:rPr>
                    <w:t>/</w:t>
                  </w:r>
                </w:p>
              </w:tc>
              <w:tc>
                <w:tcPr>
                  <w:tcW w:w="1126" w:type="dxa"/>
                  <w:shd w:val="clear" w:color="auto" w:fill="auto"/>
                  <w:vAlign w:val="center"/>
                </w:tcPr>
                <w:p w14:paraId="0704767B">
                  <w:pPr>
                    <w:wordWrap w:val="0"/>
                    <w:jc w:val="center"/>
                    <w:rPr>
                      <w:bCs/>
                      <w:szCs w:val="21"/>
                    </w:rPr>
                  </w:pPr>
                  <w:r>
                    <w:rPr>
                      <w:rFonts w:hint="eastAsia"/>
                      <w:bCs/>
                      <w:szCs w:val="21"/>
                    </w:rPr>
                    <w:t>0</w:t>
                  </w:r>
                </w:p>
              </w:tc>
              <w:tc>
                <w:tcPr>
                  <w:tcW w:w="1368" w:type="dxa"/>
                  <w:shd w:val="clear" w:color="auto" w:fill="auto"/>
                  <w:vAlign w:val="center"/>
                </w:tcPr>
                <w:p w14:paraId="5141F8D1">
                  <w:pPr>
                    <w:wordWrap w:val="0"/>
                    <w:jc w:val="center"/>
                    <w:rPr>
                      <w:bCs/>
                      <w:szCs w:val="21"/>
                    </w:rPr>
                  </w:pPr>
                  <w:r>
                    <w:rPr>
                      <w:rFonts w:hint="eastAsia"/>
                      <w:bCs/>
                      <w:szCs w:val="21"/>
                    </w:rPr>
                    <w:t>现有及在建工程建成后1800万公里/年（1056t/a）钨丝刚线产品全部进入本次扩建项目生产线进行洗白</w:t>
                  </w:r>
                </w:p>
              </w:tc>
            </w:tr>
            <w:tr w14:paraId="11308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6" w:type="dxa"/>
                  <w:shd w:val="clear" w:color="auto" w:fill="auto"/>
                  <w:vAlign w:val="center"/>
                </w:tcPr>
                <w:p w14:paraId="116768C9">
                  <w:pPr>
                    <w:wordWrap w:val="0"/>
                    <w:jc w:val="center"/>
                    <w:rPr>
                      <w:bCs/>
                      <w:color w:val="auto"/>
                      <w:szCs w:val="21"/>
                    </w:rPr>
                  </w:pPr>
                  <w:r>
                    <w:rPr>
                      <w:rFonts w:hint="eastAsia"/>
                      <w:bCs/>
                      <w:color w:val="auto"/>
                      <w:szCs w:val="21"/>
                    </w:rPr>
                    <w:t>钨丝刚线B级品</w:t>
                  </w:r>
                </w:p>
              </w:tc>
              <w:tc>
                <w:tcPr>
                  <w:tcW w:w="1210" w:type="dxa"/>
                  <w:shd w:val="clear" w:color="auto" w:fill="auto"/>
                  <w:vAlign w:val="center"/>
                </w:tcPr>
                <w:p w14:paraId="472B909B">
                  <w:pPr>
                    <w:wordWrap w:val="0"/>
                    <w:jc w:val="center"/>
                    <w:rPr>
                      <w:bCs/>
                      <w:color w:val="auto"/>
                      <w:szCs w:val="21"/>
                    </w:rPr>
                  </w:pPr>
                  <w:r>
                    <w:rPr>
                      <w:rFonts w:hint="eastAsia"/>
                      <w:bCs/>
                      <w:color w:val="auto"/>
                      <w:szCs w:val="21"/>
                    </w:rPr>
                    <w:t>规格φ80μm~φ90μm</w:t>
                  </w:r>
                </w:p>
              </w:tc>
              <w:tc>
                <w:tcPr>
                  <w:tcW w:w="1163" w:type="dxa"/>
                  <w:shd w:val="clear" w:color="auto" w:fill="auto"/>
                  <w:vAlign w:val="center"/>
                </w:tcPr>
                <w:p w14:paraId="6D575CE1">
                  <w:pPr>
                    <w:wordWrap w:val="0"/>
                    <w:jc w:val="center"/>
                    <w:rPr>
                      <w:bCs/>
                      <w:color w:val="auto"/>
                      <w:szCs w:val="21"/>
                    </w:rPr>
                  </w:pPr>
                  <w:r>
                    <w:rPr>
                      <w:rFonts w:hint="eastAsia"/>
                      <w:bCs/>
                      <w:color w:val="auto"/>
                      <w:szCs w:val="21"/>
                    </w:rPr>
                    <w:t>100t/a</w:t>
                  </w:r>
                </w:p>
              </w:tc>
              <w:tc>
                <w:tcPr>
                  <w:tcW w:w="1329" w:type="dxa"/>
                  <w:shd w:val="clear" w:color="auto" w:fill="auto"/>
                  <w:vAlign w:val="center"/>
                </w:tcPr>
                <w:p w14:paraId="4B930405">
                  <w:pPr>
                    <w:wordWrap w:val="0"/>
                    <w:jc w:val="center"/>
                    <w:rPr>
                      <w:bCs/>
                      <w:color w:val="auto"/>
                      <w:szCs w:val="21"/>
                    </w:rPr>
                  </w:pPr>
                  <w:r>
                    <w:rPr>
                      <w:rFonts w:hint="eastAsia"/>
                      <w:color w:val="auto"/>
                    </w:rPr>
                    <w:t>284.912</w:t>
                  </w:r>
                  <w:r>
                    <w:rPr>
                      <w:rFonts w:hint="eastAsia"/>
                      <w:bCs/>
                      <w:color w:val="auto"/>
                      <w:szCs w:val="21"/>
                    </w:rPr>
                    <w:t>t/a</w:t>
                  </w:r>
                </w:p>
              </w:tc>
              <w:tc>
                <w:tcPr>
                  <w:tcW w:w="1329" w:type="dxa"/>
                  <w:shd w:val="clear" w:color="auto" w:fill="auto"/>
                  <w:vAlign w:val="center"/>
                </w:tcPr>
                <w:p w14:paraId="620E1D63">
                  <w:pPr>
                    <w:wordWrap w:val="0"/>
                    <w:jc w:val="center"/>
                    <w:rPr>
                      <w:bCs/>
                      <w:color w:val="auto"/>
                      <w:szCs w:val="21"/>
                    </w:rPr>
                  </w:pPr>
                  <w:r>
                    <w:rPr>
                      <w:rFonts w:hint="eastAsia"/>
                      <w:bCs/>
                      <w:color w:val="auto"/>
                      <w:szCs w:val="21"/>
                    </w:rPr>
                    <w:t>/</w:t>
                  </w:r>
                </w:p>
              </w:tc>
              <w:tc>
                <w:tcPr>
                  <w:tcW w:w="1126" w:type="dxa"/>
                  <w:shd w:val="clear" w:color="auto" w:fill="auto"/>
                  <w:vAlign w:val="center"/>
                </w:tcPr>
                <w:p w14:paraId="528A5C8B">
                  <w:pPr>
                    <w:wordWrap w:val="0"/>
                    <w:jc w:val="center"/>
                    <w:rPr>
                      <w:color w:val="auto"/>
                    </w:rPr>
                  </w:pPr>
                  <w:r>
                    <w:rPr>
                      <w:rFonts w:hint="eastAsia"/>
                      <w:color w:val="auto"/>
                    </w:rPr>
                    <w:t>384.912</w:t>
                  </w:r>
                  <w:r>
                    <w:rPr>
                      <w:rFonts w:hint="eastAsia"/>
                      <w:bCs/>
                      <w:color w:val="auto"/>
                      <w:szCs w:val="21"/>
                    </w:rPr>
                    <w:t>t/a</w:t>
                  </w:r>
                </w:p>
              </w:tc>
              <w:tc>
                <w:tcPr>
                  <w:tcW w:w="1368" w:type="dxa"/>
                  <w:shd w:val="clear" w:color="auto" w:fill="auto"/>
                  <w:vAlign w:val="center"/>
                </w:tcPr>
                <w:p w14:paraId="210D2AD2">
                  <w:pPr>
                    <w:wordWrap w:val="0"/>
                    <w:jc w:val="center"/>
                    <w:rPr>
                      <w:color w:val="auto"/>
                    </w:rPr>
                  </w:pPr>
                  <w:r>
                    <w:rPr>
                      <w:rFonts w:hint="eastAsia"/>
                      <w:color w:val="auto"/>
                    </w:rPr>
                    <w:t>/</w:t>
                  </w:r>
                </w:p>
              </w:tc>
            </w:tr>
            <w:tr w14:paraId="723CF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96" w:type="dxa"/>
                  <w:shd w:val="clear" w:color="auto" w:fill="auto"/>
                  <w:vAlign w:val="center"/>
                </w:tcPr>
                <w:p w14:paraId="0E3CB859">
                  <w:pPr>
                    <w:wordWrap w:val="0"/>
                    <w:jc w:val="center"/>
                    <w:rPr>
                      <w:bCs/>
                      <w:color w:val="auto"/>
                      <w:szCs w:val="21"/>
                    </w:rPr>
                  </w:pPr>
                  <w:r>
                    <w:rPr>
                      <w:rFonts w:hint="eastAsia"/>
                      <w:bCs/>
                      <w:color w:val="auto"/>
                      <w:szCs w:val="21"/>
                    </w:rPr>
                    <w:t>洗白后钨丝钢线</w:t>
                  </w:r>
                </w:p>
              </w:tc>
              <w:tc>
                <w:tcPr>
                  <w:tcW w:w="1210" w:type="dxa"/>
                  <w:shd w:val="clear" w:color="auto" w:fill="auto"/>
                  <w:vAlign w:val="center"/>
                </w:tcPr>
                <w:p w14:paraId="4A78DBE3">
                  <w:pPr>
                    <w:wordWrap w:val="0"/>
                    <w:jc w:val="center"/>
                    <w:rPr>
                      <w:bCs/>
                      <w:color w:val="auto"/>
                      <w:szCs w:val="21"/>
                    </w:rPr>
                  </w:pPr>
                  <w:r>
                    <w:rPr>
                      <w:rFonts w:hint="eastAsia"/>
                      <w:bCs/>
                      <w:color w:val="auto"/>
                      <w:szCs w:val="21"/>
                    </w:rPr>
                    <w:t>规格φ40μm~φ80μm</w:t>
                  </w:r>
                </w:p>
              </w:tc>
              <w:tc>
                <w:tcPr>
                  <w:tcW w:w="1163" w:type="dxa"/>
                  <w:shd w:val="clear" w:color="auto" w:fill="auto"/>
                  <w:vAlign w:val="center"/>
                </w:tcPr>
                <w:p w14:paraId="19987E17">
                  <w:pPr>
                    <w:wordWrap w:val="0"/>
                    <w:jc w:val="center"/>
                    <w:rPr>
                      <w:bCs/>
                      <w:color w:val="auto"/>
                      <w:szCs w:val="21"/>
                    </w:rPr>
                  </w:pPr>
                  <w:r>
                    <w:rPr>
                      <w:rFonts w:hint="eastAsia"/>
                      <w:bCs/>
                      <w:color w:val="auto"/>
                      <w:szCs w:val="21"/>
                    </w:rPr>
                    <w:t>0</w:t>
                  </w:r>
                </w:p>
              </w:tc>
              <w:tc>
                <w:tcPr>
                  <w:tcW w:w="1329" w:type="dxa"/>
                  <w:shd w:val="clear" w:color="auto" w:fill="auto"/>
                  <w:vAlign w:val="center"/>
                </w:tcPr>
                <w:p w14:paraId="0A29FE0B">
                  <w:pPr>
                    <w:wordWrap w:val="0"/>
                    <w:jc w:val="center"/>
                    <w:rPr>
                      <w:color w:val="auto"/>
                    </w:rPr>
                  </w:pPr>
                  <w:r>
                    <w:rPr>
                      <w:rFonts w:hint="eastAsia"/>
                      <w:color w:val="auto"/>
                    </w:rPr>
                    <w:t>0</w:t>
                  </w:r>
                </w:p>
              </w:tc>
              <w:tc>
                <w:tcPr>
                  <w:tcW w:w="1329" w:type="dxa"/>
                  <w:shd w:val="clear" w:color="auto" w:fill="auto"/>
                  <w:vAlign w:val="center"/>
                </w:tcPr>
                <w:p w14:paraId="08039CA1">
                  <w:pPr>
                    <w:wordWrap w:val="0"/>
                    <w:jc w:val="center"/>
                    <w:rPr>
                      <w:bCs/>
                      <w:color w:val="auto"/>
                      <w:szCs w:val="21"/>
                    </w:rPr>
                  </w:pPr>
                  <w:r>
                    <w:rPr>
                      <w:rFonts w:hint="eastAsia"/>
                      <w:bCs/>
                      <w:color w:val="auto"/>
                      <w:szCs w:val="21"/>
                    </w:rPr>
                    <w:t>1800万公里/年（1056t/a）</w:t>
                  </w:r>
                </w:p>
              </w:tc>
              <w:tc>
                <w:tcPr>
                  <w:tcW w:w="1126" w:type="dxa"/>
                  <w:shd w:val="clear" w:color="auto" w:fill="auto"/>
                  <w:vAlign w:val="center"/>
                </w:tcPr>
                <w:p w14:paraId="0D9C7B8C">
                  <w:pPr>
                    <w:wordWrap w:val="0"/>
                    <w:jc w:val="center"/>
                    <w:rPr>
                      <w:bCs/>
                      <w:color w:val="auto"/>
                      <w:szCs w:val="21"/>
                    </w:rPr>
                  </w:pPr>
                  <w:r>
                    <w:rPr>
                      <w:rFonts w:hint="eastAsia"/>
                      <w:bCs/>
                      <w:color w:val="auto"/>
                      <w:szCs w:val="21"/>
                    </w:rPr>
                    <w:t>1800万公里/年（1056t/a）</w:t>
                  </w:r>
                </w:p>
              </w:tc>
              <w:tc>
                <w:tcPr>
                  <w:tcW w:w="1368" w:type="dxa"/>
                  <w:shd w:val="clear" w:color="auto" w:fill="auto"/>
                  <w:vAlign w:val="center"/>
                </w:tcPr>
                <w:p w14:paraId="473C6008">
                  <w:pPr>
                    <w:wordWrap w:val="0"/>
                    <w:jc w:val="center"/>
                    <w:rPr>
                      <w:bCs/>
                      <w:color w:val="auto"/>
                      <w:szCs w:val="21"/>
                    </w:rPr>
                  </w:pPr>
                  <w:r>
                    <w:rPr>
                      <w:rFonts w:hint="eastAsia"/>
                      <w:bCs/>
                      <w:color w:val="auto"/>
                      <w:szCs w:val="21"/>
                    </w:rPr>
                    <w:t>本次扩建项目产品</w:t>
                  </w:r>
                </w:p>
              </w:tc>
            </w:tr>
          </w:tbl>
          <w:p w14:paraId="28333777">
            <w:pPr>
              <w:pStyle w:val="111"/>
              <w:wordWrap w:val="0"/>
              <w:ind w:firstLine="482"/>
              <w:rPr>
                <w:rFonts w:hint="default"/>
                <w:b/>
                <w:bCs/>
                <w:color w:val="auto"/>
              </w:rPr>
            </w:pPr>
            <w:r>
              <w:rPr>
                <w:rFonts w:hint="eastAsia"/>
                <w:b/>
                <w:bCs/>
                <w:color w:val="auto"/>
                <w:lang w:eastAsia="zh-CN"/>
              </w:rPr>
              <w:t>5.</w:t>
            </w:r>
            <w:r>
              <w:rPr>
                <w:b/>
                <w:bCs/>
                <w:color w:val="auto"/>
              </w:rPr>
              <w:t>项目原辅料用量及能源消耗</w:t>
            </w:r>
          </w:p>
          <w:p w14:paraId="4FE385A7">
            <w:pPr>
              <w:pStyle w:val="57"/>
              <w:wordWrap w:val="0"/>
              <w:rPr>
                <w:rFonts w:cs="宋体"/>
                <w:lang w:val="en-US"/>
              </w:rPr>
            </w:pPr>
            <w:r>
              <w:rPr>
                <w:rFonts w:hint="eastAsia" w:cs="宋体"/>
                <w:lang w:val="en-US"/>
              </w:rPr>
              <w:t>表2-</w:t>
            </w:r>
            <w:r>
              <w:rPr>
                <w:rFonts w:hint="eastAsia" w:cs="宋体"/>
                <w:lang w:val="en-US" w:eastAsia="zh-CN"/>
              </w:rPr>
              <w:t>4</w:t>
            </w:r>
            <w:r>
              <w:rPr>
                <w:rFonts w:hint="eastAsia" w:cs="宋体"/>
                <w:lang w:val="en-US"/>
              </w:rPr>
              <w:t>本项目原辅料用量一览表</w:t>
            </w:r>
          </w:p>
          <w:tbl>
            <w:tblPr>
              <w:tblStyle w:val="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17"/>
              <w:gridCol w:w="616"/>
              <w:gridCol w:w="2046"/>
              <w:gridCol w:w="1688"/>
              <w:gridCol w:w="2362"/>
              <w:gridCol w:w="1393"/>
            </w:tblGrid>
            <w:tr w14:paraId="7D327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17" w:type="dxa"/>
                  <w:vAlign w:val="center"/>
                </w:tcPr>
                <w:p w14:paraId="668B4510">
                  <w:pPr>
                    <w:pStyle w:val="57"/>
                    <w:bidi w:val="0"/>
                    <w:rPr>
                      <w:b/>
                      <w:bCs w:val="0"/>
                      <w:lang w:val="en-US"/>
                    </w:rPr>
                  </w:pPr>
                  <w:r>
                    <w:rPr>
                      <w:b/>
                      <w:bCs w:val="0"/>
                      <w:lang w:val="en-US"/>
                    </w:rPr>
                    <w:t>序号</w:t>
                  </w:r>
                </w:p>
              </w:tc>
              <w:tc>
                <w:tcPr>
                  <w:tcW w:w="2662" w:type="dxa"/>
                  <w:gridSpan w:val="2"/>
                  <w:vAlign w:val="center"/>
                </w:tcPr>
                <w:p w14:paraId="07E55826">
                  <w:pPr>
                    <w:pStyle w:val="57"/>
                    <w:bidi w:val="0"/>
                    <w:rPr>
                      <w:b/>
                      <w:bCs w:val="0"/>
                      <w:lang w:val="en-US"/>
                    </w:rPr>
                  </w:pPr>
                  <w:r>
                    <w:rPr>
                      <w:b/>
                      <w:bCs w:val="0"/>
                      <w:lang w:val="en-US"/>
                    </w:rPr>
                    <w:t>名称</w:t>
                  </w:r>
                </w:p>
              </w:tc>
              <w:tc>
                <w:tcPr>
                  <w:tcW w:w="1688" w:type="dxa"/>
                  <w:shd w:val="clear" w:color="auto" w:fill="auto"/>
                  <w:vAlign w:val="center"/>
                </w:tcPr>
                <w:p w14:paraId="04735B69">
                  <w:pPr>
                    <w:pStyle w:val="57"/>
                    <w:bidi w:val="0"/>
                    <w:rPr>
                      <w:b/>
                      <w:bCs w:val="0"/>
                    </w:rPr>
                  </w:pPr>
                  <w:r>
                    <w:rPr>
                      <w:b/>
                      <w:bCs w:val="0"/>
                    </w:rPr>
                    <w:t>消耗量</w:t>
                  </w:r>
                </w:p>
              </w:tc>
              <w:tc>
                <w:tcPr>
                  <w:tcW w:w="2362" w:type="dxa"/>
                  <w:vAlign w:val="center"/>
                </w:tcPr>
                <w:p w14:paraId="5886880F">
                  <w:pPr>
                    <w:pStyle w:val="57"/>
                    <w:bidi w:val="0"/>
                    <w:rPr>
                      <w:b/>
                      <w:bCs w:val="0"/>
                      <w:lang w:val="en-US"/>
                    </w:rPr>
                  </w:pPr>
                  <w:r>
                    <w:rPr>
                      <w:b/>
                      <w:bCs w:val="0"/>
                      <w:lang w:val="en-US"/>
                    </w:rPr>
                    <w:t>规格</w:t>
                  </w:r>
                </w:p>
              </w:tc>
              <w:tc>
                <w:tcPr>
                  <w:tcW w:w="1393" w:type="dxa"/>
                  <w:vAlign w:val="center"/>
                </w:tcPr>
                <w:p w14:paraId="3C1E9B24">
                  <w:pPr>
                    <w:pStyle w:val="57"/>
                    <w:bidi w:val="0"/>
                    <w:rPr>
                      <w:b/>
                      <w:bCs w:val="0"/>
                      <w:lang w:val="en-US"/>
                    </w:rPr>
                  </w:pPr>
                  <w:r>
                    <w:rPr>
                      <w:rFonts w:hint="eastAsia"/>
                      <w:b/>
                      <w:bCs w:val="0"/>
                      <w:lang w:val="en-US"/>
                    </w:rPr>
                    <w:t>备注</w:t>
                  </w:r>
                </w:p>
              </w:tc>
            </w:tr>
            <w:tr w14:paraId="4908B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17" w:type="dxa"/>
                  <w:vAlign w:val="center"/>
                </w:tcPr>
                <w:p w14:paraId="14566642">
                  <w:pPr>
                    <w:pStyle w:val="57"/>
                    <w:bidi w:val="0"/>
                    <w:rPr>
                      <w:b w:val="0"/>
                      <w:bCs/>
                      <w:lang w:val="en-US"/>
                    </w:rPr>
                  </w:pPr>
                  <w:r>
                    <w:rPr>
                      <w:b w:val="0"/>
                      <w:bCs/>
                      <w:lang w:val="en-US"/>
                    </w:rPr>
                    <w:t>1</w:t>
                  </w:r>
                </w:p>
              </w:tc>
              <w:tc>
                <w:tcPr>
                  <w:tcW w:w="616" w:type="dxa"/>
                  <w:vAlign w:val="center"/>
                </w:tcPr>
                <w:p w14:paraId="519DA826">
                  <w:pPr>
                    <w:pStyle w:val="57"/>
                    <w:bidi w:val="0"/>
                    <w:rPr>
                      <w:b w:val="0"/>
                      <w:bCs/>
                      <w:lang w:val="en-US"/>
                    </w:rPr>
                  </w:pPr>
                  <w:r>
                    <w:rPr>
                      <w:b w:val="0"/>
                      <w:bCs/>
                      <w:lang w:val="en-US"/>
                    </w:rPr>
                    <w:t>原料</w:t>
                  </w:r>
                </w:p>
              </w:tc>
              <w:tc>
                <w:tcPr>
                  <w:tcW w:w="2046" w:type="dxa"/>
                  <w:shd w:val="clear" w:color="auto" w:fill="auto"/>
                  <w:vAlign w:val="center"/>
                </w:tcPr>
                <w:p w14:paraId="2848A029">
                  <w:pPr>
                    <w:pStyle w:val="57"/>
                    <w:bidi w:val="0"/>
                    <w:rPr>
                      <w:b w:val="0"/>
                      <w:bCs/>
                      <w:lang w:val="en-US"/>
                    </w:rPr>
                  </w:pPr>
                  <w:r>
                    <w:rPr>
                      <w:rFonts w:hint="eastAsia"/>
                      <w:b w:val="0"/>
                      <w:bCs/>
                      <w:lang w:val="en-US"/>
                    </w:rPr>
                    <w:t>钨丝钢线</w:t>
                  </w:r>
                </w:p>
              </w:tc>
              <w:tc>
                <w:tcPr>
                  <w:tcW w:w="1688" w:type="dxa"/>
                  <w:vAlign w:val="center"/>
                </w:tcPr>
                <w:p w14:paraId="0534FD05">
                  <w:pPr>
                    <w:pStyle w:val="57"/>
                    <w:bidi w:val="0"/>
                    <w:rPr>
                      <w:b w:val="0"/>
                      <w:bCs/>
                      <w:lang w:val="en-US"/>
                    </w:rPr>
                  </w:pPr>
                  <w:r>
                    <w:rPr>
                      <w:rFonts w:hint="eastAsia"/>
                      <w:b w:val="0"/>
                      <w:bCs/>
                      <w:lang w:val="en-US"/>
                    </w:rPr>
                    <w:t>1056t</w:t>
                  </w:r>
                </w:p>
              </w:tc>
              <w:tc>
                <w:tcPr>
                  <w:tcW w:w="2362" w:type="dxa"/>
                  <w:vAlign w:val="center"/>
                </w:tcPr>
                <w:p w14:paraId="5CDB5E2A">
                  <w:pPr>
                    <w:pStyle w:val="57"/>
                    <w:bidi w:val="0"/>
                    <w:rPr>
                      <w:b w:val="0"/>
                      <w:bCs/>
                      <w:lang w:val="en-US"/>
                    </w:rPr>
                  </w:pPr>
                  <w:r>
                    <w:rPr>
                      <w:rFonts w:hint="eastAsia"/>
                      <w:b w:val="0"/>
                      <w:bCs/>
                      <w:lang w:val="en-US"/>
                    </w:rPr>
                    <w:t>规格φ40μm~φ80μm</w:t>
                  </w:r>
                </w:p>
              </w:tc>
              <w:tc>
                <w:tcPr>
                  <w:tcW w:w="1393" w:type="dxa"/>
                  <w:vAlign w:val="center"/>
                </w:tcPr>
                <w:p w14:paraId="66B857AF">
                  <w:pPr>
                    <w:pStyle w:val="57"/>
                    <w:bidi w:val="0"/>
                    <w:rPr>
                      <w:b w:val="0"/>
                      <w:bCs/>
                      <w:lang w:val="en-US"/>
                    </w:rPr>
                  </w:pPr>
                  <w:r>
                    <w:rPr>
                      <w:rFonts w:hint="eastAsia"/>
                      <w:b w:val="0"/>
                      <w:bCs/>
                      <w:lang w:val="en-US"/>
                    </w:rPr>
                    <w:t>自产</w:t>
                  </w:r>
                </w:p>
              </w:tc>
            </w:tr>
            <w:tr w14:paraId="26F6E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17" w:type="dxa"/>
                  <w:shd w:val="clear" w:color="auto" w:fill="auto"/>
                  <w:vAlign w:val="center"/>
                </w:tcPr>
                <w:p w14:paraId="6ED57622">
                  <w:pPr>
                    <w:pStyle w:val="57"/>
                    <w:bidi w:val="0"/>
                    <w:rPr>
                      <w:b w:val="0"/>
                      <w:bCs/>
                      <w:lang w:val="en-US"/>
                    </w:rPr>
                  </w:pPr>
                  <w:r>
                    <w:rPr>
                      <w:rFonts w:hint="eastAsia"/>
                      <w:b w:val="0"/>
                      <w:bCs/>
                      <w:lang w:val="en-US"/>
                    </w:rPr>
                    <w:t>2</w:t>
                  </w:r>
                </w:p>
              </w:tc>
              <w:tc>
                <w:tcPr>
                  <w:tcW w:w="616" w:type="dxa"/>
                  <w:vMerge w:val="restart"/>
                  <w:textDirection w:val="tbRlV"/>
                  <w:vAlign w:val="center"/>
                </w:tcPr>
                <w:p w14:paraId="0E21DD28">
                  <w:pPr>
                    <w:pStyle w:val="57"/>
                    <w:bidi w:val="0"/>
                    <w:rPr>
                      <w:b w:val="0"/>
                      <w:bCs/>
                      <w:lang w:val="en-US"/>
                    </w:rPr>
                  </w:pPr>
                  <w:r>
                    <w:rPr>
                      <w:b w:val="0"/>
                      <w:bCs/>
                      <w:lang w:val="en-US"/>
                    </w:rPr>
                    <w:t>辅料</w:t>
                  </w:r>
                </w:p>
              </w:tc>
              <w:tc>
                <w:tcPr>
                  <w:tcW w:w="2046" w:type="dxa"/>
                  <w:shd w:val="clear" w:color="auto" w:fill="auto"/>
                  <w:vAlign w:val="center"/>
                </w:tcPr>
                <w:p w14:paraId="442E0319">
                  <w:pPr>
                    <w:pStyle w:val="57"/>
                    <w:bidi w:val="0"/>
                    <w:rPr>
                      <w:b w:val="0"/>
                      <w:bCs/>
                      <w:lang w:val="en-US"/>
                    </w:rPr>
                  </w:pPr>
                  <w:r>
                    <w:rPr>
                      <w:rFonts w:hint="eastAsia"/>
                      <w:b w:val="0"/>
                      <w:bCs/>
                      <w:lang w:val="en-US"/>
                    </w:rPr>
                    <w:t>氢氧化钠</w:t>
                  </w:r>
                </w:p>
              </w:tc>
              <w:tc>
                <w:tcPr>
                  <w:tcW w:w="1688" w:type="dxa"/>
                  <w:shd w:val="clear" w:color="auto" w:fill="auto"/>
                  <w:vAlign w:val="center"/>
                </w:tcPr>
                <w:p w14:paraId="3439BF6F">
                  <w:pPr>
                    <w:pStyle w:val="57"/>
                    <w:bidi w:val="0"/>
                    <w:rPr>
                      <w:b w:val="0"/>
                      <w:bCs/>
                      <w:lang w:val="en-US"/>
                    </w:rPr>
                  </w:pPr>
                  <w:r>
                    <w:rPr>
                      <w:rFonts w:hint="eastAsia"/>
                      <w:b w:val="0"/>
                      <w:bCs/>
                      <w:lang w:val="en-US"/>
                    </w:rPr>
                    <w:t>120.3t</w:t>
                  </w:r>
                </w:p>
              </w:tc>
              <w:tc>
                <w:tcPr>
                  <w:tcW w:w="2362" w:type="dxa"/>
                  <w:shd w:val="clear" w:color="auto" w:fill="auto"/>
                  <w:vAlign w:val="center"/>
                </w:tcPr>
                <w:p w14:paraId="2671C7A3">
                  <w:pPr>
                    <w:pStyle w:val="57"/>
                    <w:bidi w:val="0"/>
                    <w:rPr>
                      <w:b w:val="0"/>
                      <w:bCs/>
                      <w:lang w:val="en-US"/>
                    </w:rPr>
                  </w:pPr>
                  <w:r>
                    <w:rPr>
                      <w:b w:val="0"/>
                      <w:bCs/>
                      <w:lang w:val="en-US"/>
                    </w:rPr>
                    <w:t>25kg袋，片状</w:t>
                  </w:r>
                </w:p>
              </w:tc>
              <w:tc>
                <w:tcPr>
                  <w:tcW w:w="1393" w:type="dxa"/>
                  <w:shd w:val="clear" w:color="auto" w:fill="auto"/>
                  <w:vAlign w:val="center"/>
                </w:tcPr>
                <w:p w14:paraId="76048889">
                  <w:pPr>
                    <w:pStyle w:val="57"/>
                    <w:bidi w:val="0"/>
                    <w:rPr>
                      <w:b w:val="0"/>
                      <w:bCs/>
                      <w:lang w:val="en-US"/>
                    </w:rPr>
                  </w:pPr>
                  <w:r>
                    <w:rPr>
                      <w:rFonts w:hint="eastAsia"/>
                      <w:b w:val="0"/>
                      <w:bCs/>
                      <w:lang w:val="en-US"/>
                    </w:rPr>
                    <w:t>电解清洗</w:t>
                  </w:r>
                </w:p>
              </w:tc>
            </w:tr>
            <w:tr w14:paraId="60032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17" w:type="dxa"/>
                  <w:shd w:val="clear" w:color="auto" w:fill="auto"/>
                  <w:vAlign w:val="center"/>
                </w:tcPr>
                <w:p w14:paraId="68C307D3">
                  <w:pPr>
                    <w:pStyle w:val="57"/>
                    <w:bidi w:val="0"/>
                    <w:rPr>
                      <w:b w:val="0"/>
                      <w:bCs/>
                      <w:lang w:val="en-US"/>
                    </w:rPr>
                  </w:pPr>
                  <w:r>
                    <w:rPr>
                      <w:rFonts w:hint="eastAsia"/>
                      <w:b w:val="0"/>
                      <w:bCs/>
                      <w:lang w:val="en-US"/>
                    </w:rPr>
                    <w:t>3</w:t>
                  </w:r>
                </w:p>
              </w:tc>
              <w:tc>
                <w:tcPr>
                  <w:tcW w:w="616" w:type="dxa"/>
                  <w:vMerge w:val="continue"/>
                  <w:textDirection w:val="tbRlV"/>
                  <w:vAlign w:val="center"/>
                </w:tcPr>
                <w:p w14:paraId="1D101BFF">
                  <w:pPr>
                    <w:pStyle w:val="57"/>
                    <w:bidi w:val="0"/>
                    <w:rPr>
                      <w:b w:val="0"/>
                      <w:bCs/>
                      <w:lang w:val="en-US"/>
                    </w:rPr>
                  </w:pPr>
                </w:p>
              </w:tc>
              <w:tc>
                <w:tcPr>
                  <w:tcW w:w="2046" w:type="dxa"/>
                  <w:vAlign w:val="center"/>
                </w:tcPr>
                <w:p w14:paraId="0E0EC029">
                  <w:pPr>
                    <w:pStyle w:val="57"/>
                    <w:bidi w:val="0"/>
                    <w:rPr>
                      <w:b w:val="0"/>
                      <w:bCs/>
                      <w:lang w:val="en-US"/>
                    </w:rPr>
                  </w:pPr>
                  <w:r>
                    <w:rPr>
                      <w:rFonts w:hint="eastAsia"/>
                      <w:b w:val="0"/>
                      <w:bCs/>
                      <w:lang w:val="en-US"/>
                    </w:rPr>
                    <w:t>擦线海绵</w:t>
                  </w:r>
                </w:p>
              </w:tc>
              <w:tc>
                <w:tcPr>
                  <w:tcW w:w="1688" w:type="dxa"/>
                  <w:vAlign w:val="center"/>
                </w:tcPr>
                <w:p w14:paraId="66EE930C">
                  <w:pPr>
                    <w:pStyle w:val="57"/>
                    <w:bidi w:val="0"/>
                    <w:rPr>
                      <w:rFonts w:hint="eastAsia"/>
                      <w:b w:val="0"/>
                      <w:bCs/>
                    </w:rPr>
                  </w:pPr>
                  <w:r>
                    <w:rPr>
                      <w:rFonts w:hint="eastAsia"/>
                      <w:b w:val="0"/>
                      <w:bCs/>
                    </w:rPr>
                    <w:t>32w个（2t）</w:t>
                  </w:r>
                </w:p>
              </w:tc>
              <w:tc>
                <w:tcPr>
                  <w:tcW w:w="2362" w:type="dxa"/>
                  <w:vAlign w:val="center"/>
                </w:tcPr>
                <w:p w14:paraId="698C2F5D">
                  <w:pPr>
                    <w:pStyle w:val="57"/>
                    <w:bidi w:val="0"/>
                    <w:rPr>
                      <w:b w:val="0"/>
                      <w:bCs/>
                      <w:lang w:val="en-US"/>
                    </w:rPr>
                  </w:pPr>
                  <w:r>
                    <w:rPr>
                      <w:rFonts w:hint="eastAsia"/>
                      <w:b w:val="0"/>
                      <w:bCs/>
                      <w:lang w:val="en-US"/>
                    </w:rPr>
                    <w:t>10cm*6cm*2cm</w:t>
                  </w:r>
                </w:p>
              </w:tc>
              <w:tc>
                <w:tcPr>
                  <w:tcW w:w="1393" w:type="dxa"/>
                  <w:vAlign w:val="center"/>
                </w:tcPr>
                <w:p w14:paraId="4201F43A">
                  <w:pPr>
                    <w:pStyle w:val="57"/>
                    <w:bidi w:val="0"/>
                    <w:rPr>
                      <w:b w:val="0"/>
                      <w:bCs/>
                      <w:lang w:val="en-US"/>
                    </w:rPr>
                  </w:pPr>
                  <w:r>
                    <w:rPr>
                      <w:rFonts w:hint="eastAsia"/>
                      <w:b w:val="0"/>
                      <w:bCs/>
                      <w:lang w:val="en-US"/>
                    </w:rPr>
                    <w:t>擦洗钨丝</w:t>
                  </w:r>
                </w:p>
              </w:tc>
            </w:tr>
            <w:tr w14:paraId="1B398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17" w:type="dxa"/>
                  <w:shd w:val="clear" w:color="auto" w:fill="auto"/>
                  <w:vAlign w:val="center"/>
                </w:tcPr>
                <w:p w14:paraId="7531320E">
                  <w:pPr>
                    <w:pStyle w:val="57"/>
                    <w:bidi w:val="0"/>
                    <w:rPr>
                      <w:b w:val="0"/>
                      <w:bCs/>
                      <w:lang w:val="en-US"/>
                    </w:rPr>
                  </w:pPr>
                  <w:r>
                    <w:rPr>
                      <w:rFonts w:hint="eastAsia"/>
                      <w:b w:val="0"/>
                      <w:bCs/>
                      <w:lang w:val="en-US"/>
                    </w:rPr>
                    <w:t>4</w:t>
                  </w:r>
                </w:p>
              </w:tc>
              <w:tc>
                <w:tcPr>
                  <w:tcW w:w="616" w:type="dxa"/>
                  <w:vMerge w:val="continue"/>
                  <w:textDirection w:val="tbRlV"/>
                  <w:vAlign w:val="center"/>
                </w:tcPr>
                <w:p w14:paraId="7B5A3A98">
                  <w:pPr>
                    <w:pStyle w:val="57"/>
                    <w:bidi w:val="0"/>
                    <w:rPr>
                      <w:b w:val="0"/>
                      <w:bCs/>
                      <w:lang w:val="en-US"/>
                    </w:rPr>
                  </w:pPr>
                </w:p>
              </w:tc>
              <w:tc>
                <w:tcPr>
                  <w:tcW w:w="2046" w:type="dxa"/>
                  <w:vAlign w:val="center"/>
                </w:tcPr>
                <w:p w14:paraId="4F86CEA1">
                  <w:pPr>
                    <w:pStyle w:val="57"/>
                    <w:bidi w:val="0"/>
                    <w:rPr>
                      <w:b w:val="0"/>
                      <w:bCs/>
                      <w:lang w:val="en-US"/>
                    </w:rPr>
                  </w:pPr>
                  <w:r>
                    <w:rPr>
                      <w:rFonts w:hint="eastAsia"/>
                      <w:b w:val="0"/>
                      <w:bCs/>
                      <w:lang w:val="en-US"/>
                    </w:rPr>
                    <w:t>电解清洗及水洗循环系统过滤器滤芯</w:t>
                  </w:r>
                </w:p>
              </w:tc>
              <w:tc>
                <w:tcPr>
                  <w:tcW w:w="1688" w:type="dxa"/>
                  <w:vAlign w:val="center"/>
                </w:tcPr>
                <w:p w14:paraId="01B1E89C">
                  <w:pPr>
                    <w:pStyle w:val="57"/>
                    <w:bidi w:val="0"/>
                    <w:rPr>
                      <w:rFonts w:hint="eastAsia"/>
                      <w:b w:val="0"/>
                      <w:bCs/>
                    </w:rPr>
                  </w:pPr>
                  <w:r>
                    <w:rPr>
                      <w:rFonts w:hint="eastAsia"/>
                      <w:b w:val="0"/>
                      <w:bCs/>
                    </w:rPr>
                    <w:t>11880个（2t）</w:t>
                  </w:r>
                </w:p>
              </w:tc>
              <w:tc>
                <w:tcPr>
                  <w:tcW w:w="2362" w:type="dxa"/>
                  <w:vAlign w:val="center"/>
                </w:tcPr>
                <w:p w14:paraId="21354E4A">
                  <w:pPr>
                    <w:pStyle w:val="57"/>
                    <w:bidi w:val="0"/>
                    <w:rPr>
                      <w:rFonts w:hint="default"/>
                      <w:b w:val="0"/>
                      <w:bCs/>
                      <w:lang w:val="en-US" w:eastAsia="zh-CN"/>
                    </w:rPr>
                  </w:pPr>
                  <w:r>
                    <w:rPr>
                      <w:rFonts w:hint="eastAsia"/>
                      <w:b w:val="0"/>
                      <w:bCs/>
                      <w:lang w:val="en-US" w:eastAsia="zh-CN"/>
                    </w:rPr>
                    <w:t>/</w:t>
                  </w:r>
                </w:p>
              </w:tc>
              <w:tc>
                <w:tcPr>
                  <w:tcW w:w="1393" w:type="dxa"/>
                  <w:vAlign w:val="center"/>
                </w:tcPr>
                <w:p w14:paraId="15092768">
                  <w:pPr>
                    <w:pStyle w:val="57"/>
                    <w:bidi w:val="0"/>
                    <w:rPr>
                      <w:b w:val="0"/>
                      <w:bCs/>
                      <w:lang w:val="en-US"/>
                    </w:rPr>
                  </w:pPr>
                  <w:r>
                    <w:rPr>
                      <w:rFonts w:hint="eastAsia"/>
                      <w:b w:val="0"/>
                      <w:bCs/>
                      <w:lang w:val="en-US"/>
                    </w:rPr>
                    <w:t>循环过滤</w:t>
                  </w:r>
                </w:p>
              </w:tc>
            </w:tr>
            <w:tr w14:paraId="36003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17" w:type="dxa"/>
                  <w:shd w:val="clear" w:color="auto" w:fill="auto"/>
                  <w:vAlign w:val="center"/>
                </w:tcPr>
                <w:p w14:paraId="08D43B22">
                  <w:pPr>
                    <w:pStyle w:val="57"/>
                    <w:bidi w:val="0"/>
                    <w:rPr>
                      <w:b w:val="0"/>
                      <w:bCs/>
                      <w:lang w:val="en-US"/>
                    </w:rPr>
                  </w:pPr>
                  <w:r>
                    <w:rPr>
                      <w:rFonts w:hint="eastAsia"/>
                      <w:b w:val="0"/>
                      <w:bCs/>
                      <w:lang w:val="en-US"/>
                    </w:rPr>
                    <w:t>5</w:t>
                  </w:r>
                </w:p>
              </w:tc>
              <w:tc>
                <w:tcPr>
                  <w:tcW w:w="616" w:type="dxa"/>
                  <w:vMerge w:val="restart"/>
                  <w:vAlign w:val="center"/>
                </w:tcPr>
                <w:p w14:paraId="50ED2CE4">
                  <w:pPr>
                    <w:pStyle w:val="57"/>
                    <w:bidi w:val="0"/>
                    <w:rPr>
                      <w:b w:val="0"/>
                      <w:bCs/>
                      <w:lang w:val="en-US"/>
                    </w:rPr>
                  </w:pPr>
                  <w:r>
                    <w:rPr>
                      <w:rFonts w:hint="eastAsia"/>
                      <w:b w:val="0"/>
                      <w:bCs/>
                      <w:lang w:val="en-US"/>
                    </w:rPr>
                    <w:t>能源消耗</w:t>
                  </w:r>
                </w:p>
              </w:tc>
              <w:tc>
                <w:tcPr>
                  <w:tcW w:w="2046" w:type="dxa"/>
                  <w:vAlign w:val="center"/>
                </w:tcPr>
                <w:p w14:paraId="35E000BE">
                  <w:pPr>
                    <w:pStyle w:val="57"/>
                    <w:bidi w:val="0"/>
                    <w:rPr>
                      <w:b w:val="0"/>
                      <w:bCs/>
                    </w:rPr>
                  </w:pPr>
                  <w:r>
                    <w:rPr>
                      <w:rFonts w:hint="eastAsia"/>
                      <w:b w:val="0"/>
                      <w:bCs/>
                    </w:rPr>
                    <w:t>天然气</w:t>
                  </w:r>
                </w:p>
              </w:tc>
              <w:tc>
                <w:tcPr>
                  <w:tcW w:w="1688" w:type="dxa"/>
                  <w:vAlign w:val="center"/>
                </w:tcPr>
                <w:p w14:paraId="6D8951A9">
                  <w:pPr>
                    <w:pStyle w:val="57"/>
                    <w:bidi w:val="0"/>
                    <w:rPr>
                      <w:b w:val="0"/>
                      <w:bCs/>
                      <w:lang w:val="en-US"/>
                    </w:rPr>
                  </w:pPr>
                  <w:r>
                    <w:rPr>
                      <w:rFonts w:hint="eastAsia"/>
                      <w:b w:val="0"/>
                      <w:bCs/>
                      <w:lang w:val="en-US"/>
                    </w:rPr>
                    <w:t>36000</w:t>
                  </w:r>
                  <w:r>
                    <w:rPr>
                      <w:rFonts w:hint="eastAsia"/>
                      <w:b w:val="0"/>
                      <w:bCs/>
                    </w:rPr>
                    <w:t>m³</w:t>
                  </w:r>
                </w:p>
              </w:tc>
              <w:tc>
                <w:tcPr>
                  <w:tcW w:w="2362" w:type="dxa"/>
                  <w:vAlign w:val="center"/>
                </w:tcPr>
                <w:p w14:paraId="480EBC07">
                  <w:pPr>
                    <w:pStyle w:val="57"/>
                    <w:bidi w:val="0"/>
                    <w:rPr>
                      <w:b w:val="0"/>
                      <w:bCs/>
                      <w:lang w:val="en-US"/>
                    </w:rPr>
                  </w:pPr>
                  <w:r>
                    <w:rPr>
                      <w:rFonts w:hint="eastAsia"/>
                      <w:b w:val="0"/>
                      <w:bCs/>
                      <w:lang w:val="en-US"/>
                    </w:rPr>
                    <w:t>市政供给</w:t>
                  </w:r>
                </w:p>
              </w:tc>
              <w:tc>
                <w:tcPr>
                  <w:tcW w:w="1393" w:type="dxa"/>
                  <w:vAlign w:val="center"/>
                </w:tcPr>
                <w:p w14:paraId="7850274A">
                  <w:pPr>
                    <w:pStyle w:val="57"/>
                    <w:bidi w:val="0"/>
                    <w:rPr>
                      <w:b w:val="0"/>
                      <w:bCs/>
                    </w:rPr>
                  </w:pPr>
                  <w:r>
                    <w:rPr>
                      <w:rFonts w:hint="eastAsia"/>
                      <w:b w:val="0"/>
                      <w:bCs/>
                      <w:lang w:val="en-US"/>
                    </w:rPr>
                    <w:t>/</w:t>
                  </w:r>
                </w:p>
              </w:tc>
            </w:tr>
            <w:tr w14:paraId="0586A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2" w:hRule="atLeast"/>
                <w:jc w:val="center"/>
              </w:trPr>
              <w:tc>
                <w:tcPr>
                  <w:tcW w:w="817" w:type="dxa"/>
                  <w:shd w:val="clear" w:color="auto" w:fill="auto"/>
                  <w:vAlign w:val="center"/>
                </w:tcPr>
                <w:p w14:paraId="42673E27">
                  <w:pPr>
                    <w:pStyle w:val="57"/>
                    <w:bidi w:val="0"/>
                    <w:rPr>
                      <w:b w:val="0"/>
                      <w:bCs/>
                      <w:lang w:val="en-US"/>
                    </w:rPr>
                  </w:pPr>
                  <w:r>
                    <w:rPr>
                      <w:rFonts w:hint="eastAsia"/>
                      <w:b w:val="0"/>
                      <w:bCs/>
                      <w:lang w:val="en-US"/>
                    </w:rPr>
                    <w:t>6</w:t>
                  </w:r>
                </w:p>
              </w:tc>
              <w:tc>
                <w:tcPr>
                  <w:tcW w:w="616" w:type="dxa"/>
                  <w:vMerge w:val="continue"/>
                  <w:vAlign w:val="center"/>
                </w:tcPr>
                <w:p w14:paraId="0DC82940">
                  <w:pPr>
                    <w:pStyle w:val="57"/>
                    <w:bidi w:val="0"/>
                    <w:rPr>
                      <w:b w:val="0"/>
                      <w:bCs/>
                      <w:lang w:val="en-US"/>
                    </w:rPr>
                  </w:pPr>
                </w:p>
              </w:tc>
              <w:tc>
                <w:tcPr>
                  <w:tcW w:w="2046" w:type="dxa"/>
                  <w:vAlign w:val="center"/>
                </w:tcPr>
                <w:p w14:paraId="52E32FE0">
                  <w:pPr>
                    <w:pStyle w:val="57"/>
                    <w:bidi w:val="0"/>
                    <w:rPr>
                      <w:b w:val="0"/>
                      <w:bCs/>
                      <w:lang w:val="en-US"/>
                    </w:rPr>
                  </w:pPr>
                  <w:r>
                    <w:rPr>
                      <w:rFonts w:hint="eastAsia"/>
                      <w:b w:val="0"/>
                      <w:bCs/>
                      <w:lang w:val="en-US"/>
                    </w:rPr>
                    <w:t>电能</w:t>
                  </w:r>
                </w:p>
              </w:tc>
              <w:tc>
                <w:tcPr>
                  <w:tcW w:w="1688" w:type="dxa"/>
                  <w:shd w:val="clear" w:color="auto" w:fill="auto"/>
                  <w:vAlign w:val="center"/>
                </w:tcPr>
                <w:p w14:paraId="70B083FB">
                  <w:pPr>
                    <w:pStyle w:val="57"/>
                    <w:bidi w:val="0"/>
                    <w:rPr>
                      <w:b w:val="0"/>
                      <w:bCs/>
                      <w:lang w:val="en-US"/>
                    </w:rPr>
                  </w:pPr>
                  <w:r>
                    <w:rPr>
                      <w:b w:val="0"/>
                      <w:bCs/>
                      <w:lang w:val="en-US"/>
                    </w:rPr>
                    <w:t>kW·h/a</w:t>
                  </w:r>
                </w:p>
              </w:tc>
              <w:tc>
                <w:tcPr>
                  <w:tcW w:w="2362" w:type="dxa"/>
                  <w:vAlign w:val="center"/>
                </w:tcPr>
                <w:p w14:paraId="3EC42BB2">
                  <w:pPr>
                    <w:pStyle w:val="57"/>
                    <w:bidi w:val="0"/>
                    <w:rPr>
                      <w:b w:val="0"/>
                      <w:bCs/>
                    </w:rPr>
                  </w:pPr>
                  <w:r>
                    <w:rPr>
                      <w:rFonts w:hint="eastAsia"/>
                      <w:b w:val="0"/>
                      <w:bCs/>
                      <w:lang w:val="en-US"/>
                    </w:rPr>
                    <w:t>市政供给</w:t>
                  </w:r>
                </w:p>
              </w:tc>
              <w:tc>
                <w:tcPr>
                  <w:tcW w:w="1393" w:type="dxa"/>
                  <w:vAlign w:val="center"/>
                </w:tcPr>
                <w:p w14:paraId="06CD1AB8">
                  <w:pPr>
                    <w:pStyle w:val="57"/>
                    <w:bidi w:val="0"/>
                    <w:rPr>
                      <w:b w:val="0"/>
                      <w:bCs/>
                      <w:lang w:val="en-US"/>
                    </w:rPr>
                  </w:pPr>
                  <w:r>
                    <w:rPr>
                      <w:rFonts w:hint="eastAsia"/>
                      <w:b w:val="0"/>
                      <w:bCs/>
                      <w:lang w:val="en-US"/>
                    </w:rPr>
                    <w:t>/</w:t>
                  </w:r>
                </w:p>
              </w:tc>
            </w:tr>
            <w:tr w14:paraId="414BE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17" w:type="dxa"/>
                  <w:shd w:val="clear" w:color="auto" w:fill="auto"/>
                  <w:vAlign w:val="center"/>
                </w:tcPr>
                <w:p w14:paraId="1A3AABE8">
                  <w:pPr>
                    <w:pStyle w:val="57"/>
                    <w:bidi w:val="0"/>
                    <w:rPr>
                      <w:b w:val="0"/>
                      <w:bCs/>
                      <w:lang w:val="en-US"/>
                    </w:rPr>
                  </w:pPr>
                  <w:r>
                    <w:rPr>
                      <w:rFonts w:hint="eastAsia"/>
                      <w:b w:val="0"/>
                      <w:bCs/>
                      <w:lang w:val="en-US"/>
                    </w:rPr>
                    <w:t>7</w:t>
                  </w:r>
                </w:p>
              </w:tc>
              <w:tc>
                <w:tcPr>
                  <w:tcW w:w="616" w:type="dxa"/>
                  <w:vMerge w:val="continue"/>
                  <w:vAlign w:val="center"/>
                </w:tcPr>
                <w:p w14:paraId="57E1A1EC">
                  <w:pPr>
                    <w:pStyle w:val="57"/>
                    <w:bidi w:val="0"/>
                    <w:rPr>
                      <w:b w:val="0"/>
                      <w:bCs/>
                      <w:lang w:val="en-US"/>
                    </w:rPr>
                  </w:pPr>
                </w:p>
              </w:tc>
              <w:tc>
                <w:tcPr>
                  <w:tcW w:w="2046" w:type="dxa"/>
                  <w:vAlign w:val="center"/>
                </w:tcPr>
                <w:p w14:paraId="060DAEE2">
                  <w:pPr>
                    <w:pStyle w:val="57"/>
                    <w:bidi w:val="0"/>
                    <w:rPr>
                      <w:b w:val="0"/>
                      <w:bCs/>
                    </w:rPr>
                  </w:pPr>
                  <w:r>
                    <w:rPr>
                      <w:rFonts w:hint="eastAsia"/>
                      <w:b w:val="0"/>
                      <w:bCs/>
                      <w:lang w:val="en-US"/>
                    </w:rPr>
                    <w:t>新鲜水</w:t>
                  </w:r>
                </w:p>
              </w:tc>
              <w:tc>
                <w:tcPr>
                  <w:tcW w:w="1688" w:type="dxa"/>
                  <w:vAlign w:val="center"/>
                </w:tcPr>
                <w:p w14:paraId="55FAC6E7">
                  <w:pPr>
                    <w:pStyle w:val="57"/>
                    <w:bidi w:val="0"/>
                    <w:rPr>
                      <w:b w:val="0"/>
                      <w:bCs/>
                      <w:lang w:val="en-US"/>
                    </w:rPr>
                  </w:pPr>
                  <w:r>
                    <w:rPr>
                      <w:rFonts w:hint="eastAsia"/>
                      <w:b w:val="0"/>
                      <w:bCs/>
                      <w:lang w:val="en-US"/>
                    </w:rPr>
                    <w:t>1116</w:t>
                  </w:r>
                  <w:r>
                    <w:rPr>
                      <w:rFonts w:hint="eastAsia"/>
                      <w:b w:val="0"/>
                      <w:bCs/>
                    </w:rPr>
                    <w:t>m³</w:t>
                  </w:r>
                  <w:r>
                    <w:rPr>
                      <w:rFonts w:hint="eastAsia"/>
                      <w:b w:val="0"/>
                      <w:bCs/>
                      <w:lang w:val="en-US"/>
                    </w:rPr>
                    <w:t>/a</w:t>
                  </w:r>
                </w:p>
              </w:tc>
              <w:tc>
                <w:tcPr>
                  <w:tcW w:w="2362" w:type="dxa"/>
                  <w:vAlign w:val="center"/>
                </w:tcPr>
                <w:p w14:paraId="10AD6B9B">
                  <w:pPr>
                    <w:pStyle w:val="57"/>
                    <w:bidi w:val="0"/>
                    <w:rPr>
                      <w:b w:val="0"/>
                      <w:bCs/>
                    </w:rPr>
                  </w:pPr>
                  <w:r>
                    <w:rPr>
                      <w:rFonts w:hint="eastAsia"/>
                      <w:b w:val="0"/>
                      <w:bCs/>
                      <w:lang w:val="en-US"/>
                    </w:rPr>
                    <w:t>市政供给</w:t>
                  </w:r>
                </w:p>
              </w:tc>
              <w:tc>
                <w:tcPr>
                  <w:tcW w:w="1393" w:type="dxa"/>
                  <w:vAlign w:val="center"/>
                </w:tcPr>
                <w:p w14:paraId="6805CB0F">
                  <w:pPr>
                    <w:pStyle w:val="57"/>
                    <w:bidi w:val="0"/>
                    <w:rPr>
                      <w:b w:val="0"/>
                      <w:bCs/>
                      <w:lang w:val="en-US"/>
                    </w:rPr>
                  </w:pPr>
                  <w:r>
                    <w:rPr>
                      <w:rFonts w:hint="eastAsia"/>
                      <w:b w:val="0"/>
                      <w:bCs/>
                      <w:lang w:val="en-US"/>
                    </w:rPr>
                    <w:t>/</w:t>
                  </w:r>
                </w:p>
              </w:tc>
            </w:tr>
          </w:tbl>
          <w:p w14:paraId="19363835">
            <w:pPr>
              <w:pStyle w:val="111"/>
              <w:wordWrap w:val="0"/>
              <w:rPr>
                <w:rFonts w:hint="default"/>
                <w:color w:val="auto"/>
              </w:rPr>
            </w:pPr>
            <w:r>
              <w:rPr>
                <w:color w:val="auto"/>
              </w:rPr>
              <w:t>主要原辅料理化性质：</w:t>
            </w:r>
          </w:p>
          <w:p w14:paraId="50170EDD">
            <w:pPr>
              <w:pStyle w:val="57"/>
              <w:wordWrap w:val="0"/>
            </w:pPr>
            <w:r>
              <w:rPr>
                <w:rFonts w:hint="eastAsia"/>
                <w:lang w:val="en-US"/>
              </w:rPr>
              <w:t>表2-</w:t>
            </w:r>
            <w:r>
              <w:rPr>
                <w:rFonts w:hint="eastAsia"/>
                <w:lang w:val="en-US" w:eastAsia="zh-CN"/>
              </w:rPr>
              <w:t>5</w:t>
            </w:r>
            <w:r>
              <w:t>主要原辅料理化性质</w:t>
            </w:r>
          </w:p>
          <w:tbl>
            <w:tblPr>
              <w:tblStyle w:val="36"/>
              <w:tblW w:w="89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7759"/>
            </w:tblGrid>
            <w:tr w14:paraId="0C571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vAlign w:val="center"/>
                </w:tcPr>
                <w:p w14:paraId="1FA20450">
                  <w:pPr>
                    <w:pStyle w:val="57"/>
                    <w:wordWrap w:val="0"/>
                    <w:rPr>
                      <w:lang w:val="en-US"/>
                    </w:rPr>
                  </w:pPr>
                  <w:r>
                    <w:rPr>
                      <w:rFonts w:hint="eastAsia"/>
                      <w:lang w:val="en-US"/>
                    </w:rPr>
                    <w:t>名称</w:t>
                  </w:r>
                </w:p>
              </w:tc>
              <w:tc>
                <w:tcPr>
                  <w:tcW w:w="7759" w:type="dxa"/>
                  <w:vAlign w:val="center"/>
                </w:tcPr>
                <w:p w14:paraId="258C243E">
                  <w:pPr>
                    <w:pStyle w:val="57"/>
                    <w:wordWrap w:val="0"/>
                    <w:rPr>
                      <w:lang w:val="en-US"/>
                    </w:rPr>
                  </w:pPr>
                  <w:r>
                    <w:rPr>
                      <w:rFonts w:hint="eastAsia"/>
                      <w:lang w:val="en-US"/>
                    </w:rPr>
                    <w:t>理化性质</w:t>
                  </w:r>
                </w:p>
              </w:tc>
            </w:tr>
            <w:tr w14:paraId="49221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shd w:val="clear" w:color="auto" w:fill="auto"/>
                  <w:vAlign w:val="center"/>
                </w:tcPr>
                <w:p w14:paraId="03B377AB">
                  <w:pPr>
                    <w:pStyle w:val="57"/>
                    <w:wordWrap w:val="0"/>
                    <w:rPr>
                      <w:b w:val="0"/>
                      <w:bCs/>
                    </w:rPr>
                  </w:pPr>
                  <w:r>
                    <w:rPr>
                      <w:rFonts w:hint="eastAsia"/>
                      <w:b w:val="0"/>
                      <w:bCs/>
                    </w:rPr>
                    <w:t>氢氧化钠</w:t>
                  </w:r>
                </w:p>
                <w:p w14:paraId="1702817D">
                  <w:pPr>
                    <w:pStyle w:val="57"/>
                    <w:wordWrap w:val="0"/>
                    <w:rPr>
                      <w:b w:val="0"/>
                      <w:bCs/>
                      <w:lang w:val="en-US"/>
                    </w:rPr>
                  </w:pPr>
                  <w:r>
                    <w:rPr>
                      <w:rFonts w:hint="eastAsia"/>
                      <w:b w:val="0"/>
                      <w:bCs/>
                    </w:rPr>
                    <w:t>NaOH</w:t>
                  </w:r>
                </w:p>
              </w:tc>
              <w:tc>
                <w:tcPr>
                  <w:tcW w:w="7759" w:type="dxa"/>
                  <w:shd w:val="clear" w:color="auto" w:fill="auto"/>
                  <w:vAlign w:val="center"/>
                </w:tcPr>
                <w:p w14:paraId="562E4BE3">
                  <w:pPr>
                    <w:pStyle w:val="57"/>
                    <w:wordWrap w:val="0"/>
                    <w:jc w:val="both"/>
                    <w:rPr>
                      <w:b w:val="0"/>
                      <w:bCs/>
                      <w:lang w:val="en-US"/>
                    </w:rPr>
                  </w:pPr>
                  <w:r>
                    <w:rPr>
                      <w:b w:val="0"/>
                      <w:bCs/>
                      <w:lang w:val="en-US"/>
                    </w:rPr>
                    <w:t>氢氧化钠，俗称烧碱、火碱、苛性钠，为一种具有强腐蚀性的强碱，一般为片状或块状形态，易溶于水（溶于水时放热）并形成碱性溶液，另有潮解性，易吸取空气中的水蒸气（潮解）和二氧化碳（变质），可加入盐酸检验是否变质。性状：纯品是无色透明的晶体。熔点：318.4℃、沸点：1390℃、相对密度：2.130、溶解性易溶于水，同时强烈放热。并溶于乙醇和甘油；不溶于丙酮、乙醚。露放在空</w:t>
                  </w:r>
                  <w:r>
                    <w:rPr>
                      <w:rFonts w:hint="eastAsia"/>
                      <w:b w:val="0"/>
                      <w:bCs/>
                      <w:lang w:val="en-US" w:eastAsia="zh-CN"/>
                    </w:rPr>
                    <w:t>气中</w:t>
                  </w:r>
                  <w:r>
                    <w:rPr>
                      <w:b w:val="0"/>
                      <w:bCs/>
                      <w:lang w:val="en-US"/>
                    </w:rPr>
                    <w:t>，最后会完全溶解成溶液。性能特点：固体主体为白色，有光泽，允许带颜色，具有吸湿性，易溶于水。</w:t>
                  </w:r>
                </w:p>
              </w:tc>
            </w:tr>
          </w:tbl>
          <w:p w14:paraId="3B91B91B">
            <w:pPr>
              <w:pStyle w:val="111"/>
              <w:wordWrap w:val="0"/>
              <w:ind w:firstLine="482"/>
              <w:rPr>
                <w:rFonts w:hint="default"/>
                <w:b/>
                <w:bCs/>
                <w:color w:val="auto"/>
              </w:rPr>
            </w:pPr>
            <w:r>
              <w:rPr>
                <w:rFonts w:hint="eastAsia"/>
                <w:b/>
                <w:bCs/>
                <w:color w:val="auto"/>
                <w:lang w:eastAsia="zh-CN"/>
              </w:rPr>
              <w:t>6.</w:t>
            </w:r>
            <w:r>
              <w:rPr>
                <w:b/>
                <w:bCs/>
                <w:color w:val="auto"/>
              </w:rPr>
              <w:t>项目主要生产设施及设备</w:t>
            </w:r>
          </w:p>
          <w:p w14:paraId="60770F08">
            <w:pPr>
              <w:pStyle w:val="57"/>
              <w:wordWrap w:val="0"/>
              <w:rPr>
                <w:rFonts w:cs="宋体"/>
              </w:rPr>
            </w:pPr>
            <w:r>
              <w:rPr>
                <w:rFonts w:hint="eastAsia" w:cs="宋体"/>
              </w:rPr>
              <w:t>表</w:t>
            </w:r>
            <w:r>
              <w:rPr>
                <w:rFonts w:hint="eastAsia" w:cs="宋体"/>
                <w:lang w:val="en-US"/>
              </w:rPr>
              <w:t>2-</w:t>
            </w:r>
            <w:r>
              <w:rPr>
                <w:rFonts w:hint="eastAsia" w:cs="宋体"/>
                <w:lang w:val="en-US" w:eastAsia="zh-CN"/>
              </w:rPr>
              <w:t>6</w:t>
            </w:r>
            <w:r>
              <w:rPr>
                <w:rFonts w:hint="eastAsia" w:cs="宋体"/>
                <w:lang w:val="en-US"/>
              </w:rPr>
              <w:t>主要生产设施及</w:t>
            </w:r>
            <w:r>
              <w:rPr>
                <w:rFonts w:hint="eastAsia" w:cs="宋体"/>
              </w:rPr>
              <w:t>设备一览表</w:t>
            </w:r>
          </w:p>
          <w:tbl>
            <w:tblPr>
              <w:tblStyle w:val="96"/>
              <w:tblW w:w="4999"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0" w:type="dxa"/>
                <w:bottom w:w="0" w:type="dxa"/>
                <w:right w:w="0" w:type="dxa"/>
              </w:tblCellMar>
            </w:tblPr>
            <w:tblGrid>
              <w:gridCol w:w="1951"/>
              <w:gridCol w:w="1299"/>
              <w:gridCol w:w="1302"/>
              <w:gridCol w:w="1603"/>
              <w:gridCol w:w="2764"/>
            </w:tblGrid>
            <w:tr w14:paraId="101B063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Align w:val="center"/>
                </w:tcPr>
                <w:p w14:paraId="52889805">
                  <w:pPr>
                    <w:pStyle w:val="57"/>
                    <w:wordWrap w:val="0"/>
                  </w:pPr>
                  <w:r>
                    <w:t>工序</w:t>
                  </w:r>
                </w:p>
              </w:tc>
              <w:tc>
                <w:tcPr>
                  <w:tcW w:w="2601" w:type="dxa"/>
                  <w:gridSpan w:val="2"/>
                  <w:vAlign w:val="center"/>
                </w:tcPr>
                <w:p w14:paraId="5D3CEA28">
                  <w:pPr>
                    <w:pStyle w:val="57"/>
                    <w:wordWrap w:val="0"/>
                    <w:rPr>
                      <w:lang w:val="en-US"/>
                    </w:rPr>
                  </w:pPr>
                  <w:r>
                    <w:rPr>
                      <w:rFonts w:hint="eastAsia"/>
                      <w:lang w:val="en-US"/>
                    </w:rPr>
                    <w:t>设备名称</w:t>
                  </w:r>
                </w:p>
              </w:tc>
              <w:tc>
                <w:tcPr>
                  <w:tcW w:w="1603" w:type="dxa"/>
                  <w:vAlign w:val="center"/>
                </w:tcPr>
                <w:p w14:paraId="04EFE16B">
                  <w:pPr>
                    <w:pStyle w:val="57"/>
                    <w:wordWrap w:val="0"/>
                  </w:pPr>
                  <w:r>
                    <w:rPr>
                      <w:rFonts w:hint="eastAsia"/>
                    </w:rPr>
                    <w:t>数</w:t>
                  </w:r>
                  <w:r>
                    <w:t>量</w:t>
                  </w:r>
                </w:p>
              </w:tc>
              <w:tc>
                <w:tcPr>
                  <w:tcW w:w="2765" w:type="dxa"/>
                  <w:vAlign w:val="center"/>
                </w:tcPr>
                <w:p w14:paraId="01A77408">
                  <w:pPr>
                    <w:pStyle w:val="57"/>
                    <w:wordWrap w:val="0"/>
                  </w:pPr>
                  <w:r>
                    <w:t>设备规格</w:t>
                  </w:r>
                  <w:r>
                    <w:rPr>
                      <w:rFonts w:hint="eastAsia"/>
                    </w:rPr>
                    <w:t>（</w:t>
                  </w:r>
                  <w:r>
                    <w:rPr>
                      <w:rFonts w:hint="eastAsia"/>
                      <w:lang w:val="en-US"/>
                    </w:rPr>
                    <w:t>每套功率</w:t>
                  </w:r>
                  <w:r>
                    <w:rPr>
                      <w:rFonts w:hint="eastAsia"/>
                    </w:rPr>
                    <w:t>）</w:t>
                  </w:r>
                </w:p>
              </w:tc>
            </w:tr>
            <w:tr w14:paraId="1BF07CC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restart"/>
                  <w:vAlign w:val="center"/>
                </w:tcPr>
                <w:p w14:paraId="77C92A84">
                  <w:pPr>
                    <w:pStyle w:val="57"/>
                    <w:wordWrap w:val="0"/>
                    <w:rPr>
                      <w:b w:val="0"/>
                      <w:bCs/>
                      <w:lang w:val="en-US"/>
                    </w:rPr>
                  </w:pPr>
                  <w:r>
                    <w:rPr>
                      <w:rFonts w:hint="eastAsia"/>
                      <w:b w:val="0"/>
                      <w:bCs/>
                      <w:lang w:val="en-US"/>
                    </w:rPr>
                    <w:t>电解清洗</w:t>
                  </w:r>
                </w:p>
              </w:tc>
              <w:tc>
                <w:tcPr>
                  <w:tcW w:w="2601" w:type="dxa"/>
                  <w:gridSpan w:val="2"/>
                  <w:vAlign w:val="center"/>
                </w:tcPr>
                <w:p w14:paraId="7B70EF71">
                  <w:pPr>
                    <w:pStyle w:val="57"/>
                    <w:wordWrap w:val="0"/>
                    <w:jc w:val="both"/>
                    <w:rPr>
                      <w:b w:val="0"/>
                      <w:bCs/>
                      <w:lang w:val="en-US"/>
                    </w:rPr>
                  </w:pPr>
                  <w:r>
                    <w:rPr>
                      <w:rFonts w:hint="eastAsia"/>
                      <w:b w:val="0"/>
                      <w:bCs/>
                      <w:lang w:val="en-US"/>
                    </w:rPr>
                    <w:t>放线电机</w:t>
                  </w:r>
                </w:p>
              </w:tc>
              <w:tc>
                <w:tcPr>
                  <w:tcW w:w="1603" w:type="dxa"/>
                  <w:vAlign w:val="center"/>
                </w:tcPr>
                <w:p w14:paraId="369EB06C">
                  <w:pPr>
                    <w:pStyle w:val="57"/>
                    <w:wordWrap w:val="0"/>
                    <w:rPr>
                      <w:b w:val="0"/>
                      <w:bCs/>
                      <w:lang w:val="en-US"/>
                    </w:rPr>
                  </w:pPr>
                  <w:r>
                    <w:rPr>
                      <w:rFonts w:hint="eastAsia"/>
                      <w:b w:val="0"/>
                      <w:bCs/>
                      <w:lang w:val="en-US"/>
                    </w:rPr>
                    <w:t>37套</w:t>
                  </w:r>
                </w:p>
              </w:tc>
              <w:tc>
                <w:tcPr>
                  <w:tcW w:w="2765" w:type="dxa"/>
                  <w:vAlign w:val="center"/>
                </w:tcPr>
                <w:p w14:paraId="00E2E825">
                  <w:pPr>
                    <w:pStyle w:val="57"/>
                    <w:wordWrap w:val="0"/>
                    <w:rPr>
                      <w:b w:val="0"/>
                      <w:bCs/>
                      <w:lang w:val="en-US"/>
                    </w:rPr>
                  </w:pPr>
                  <w:r>
                    <w:rPr>
                      <w:rFonts w:hint="eastAsia"/>
                      <w:b w:val="0"/>
                      <w:bCs/>
                      <w:lang w:val="en-US"/>
                    </w:rPr>
                    <w:t>10.2kW</w:t>
                  </w:r>
                </w:p>
              </w:tc>
            </w:tr>
            <w:tr w14:paraId="7172857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shd w:val="clear" w:color="auto" w:fill="auto"/>
                  <w:vAlign w:val="center"/>
                </w:tcPr>
                <w:p w14:paraId="73F0A880">
                  <w:pPr>
                    <w:widowControl/>
                    <w:wordWrap w:val="0"/>
                    <w:jc w:val="center"/>
                    <w:textAlignment w:val="center"/>
                    <w:rPr>
                      <w:kern w:val="0"/>
                      <w:szCs w:val="21"/>
                      <w:lang w:bidi="ar"/>
                    </w:rPr>
                  </w:pPr>
                </w:p>
              </w:tc>
              <w:tc>
                <w:tcPr>
                  <w:tcW w:w="1299" w:type="dxa"/>
                  <w:vMerge w:val="restart"/>
                  <w:shd w:val="clear" w:color="auto" w:fill="auto"/>
                  <w:vAlign w:val="center"/>
                </w:tcPr>
                <w:p w14:paraId="727D2EA5">
                  <w:pPr>
                    <w:widowControl/>
                    <w:wordWrap w:val="0"/>
                    <w:jc w:val="center"/>
                    <w:textAlignment w:val="center"/>
                    <w:rPr>
                      <w:szCs w:val="21"/>
                    </w:rPr>
                  </w:pPr>
                  <w:r>
                    <w:rPr>
                      <w:rFonts w:hint="eastAsia"/>
                      <w:szCs w:val="21"/>
                    </w:rPr>
                    <w:t>电解清洗设备</w:t>
                  </w:r>
                </w:p>
              </w:tc>
              <w:tc>
                <w:tcPr>
                  <w:tcW w:w="1302" w:type="dxa"/>
                  <w:shd w:val="clear" w:color="auto" w:fill="auto"/>
                  <w:vAlign w:val="center"/>
                </w:tcPr>
                <w:p w14:paraId="47736701">
                  <w:pPr>
                    <w:widowControl/>
                    <w:wordWrap w:val="0"/>
                    <w:jc w:val="center"/>
                    <w:textAlignment w:val="center"/>
                    <w:rPr>
                      <w:szCs w:val="21"/>
                    </w:rPr>
                  </w:pPr>
                  <w:r>
                    <w:rPr>
                      <w:rFonts w:hint="eastAsia"/>
                      <w:szCs w:val="21"/>
                    </w:rPr>
                    <w:t>电解清洗槽</w:t>
                  </w:r>
                </w:p>
              </w:tc>
              <w:tc>
                <w:tcPr>
                  <w:tcW w:w="1603" w:type="dxa"/>
                  <w:vAlign w:val="center"/>
                </w:tcPr>
                <w:p w14:paraId="31435CF8">
                  <w:pPr>
                    <w:pStyle w:val="57"/>
                    <w:wordWrap w:val="0"/>
                    <w:rPr>
                      <w:b w:val="0"/>
                      <w:bCs/>
                      <w:lang w:val="en-US"/>
                    </w:rPr>
                  </w:pPr>
                  <w:r>
                    <w:rPr>
                      <w:rFonts w:hint="eastAsia"/>
                      <w:b w:val="0"/>
                      <w:bCs/>
                      <w:lang w:val="en-US"/>
                    </w:rPr>
                    <w:t>74套</w:t>
                  </w:r>
                </w:p>
              </w:tc>
              <w:tc>
                <w:tcPr>
                  <w:tcW w:w="2765" w:type="dxa"/>
                  <w:shd w:val="clear" w:color="auto" w:fill="auto"/>
                  <w:vAlign w:val="center"/>
                </w:tcPr>
                <w:p w14:paraId="00525423">
                  <w:pPr>
                    <w:widowControl/>
                    <w:wordWrap w:val="0"/>
                    <w:jc w:val="center"/>
                    <w:textAlignment w:val="center"/>
                    <w:rPr>
                      <w:b w:val="0"/>
                      <w:bCs/>
                      <w:szCs w:val="21"/>
                    </w:rPr>
                  </w:pPr>
                  <w:r>
                    <w:rPr>
                      <w:rFonts w:hint="eastAsia"/>
                      <w:b w:val="0"/>
                      <w:bCs/>
                      <w:szCs w:val="21"/>
                    </w:rPr>
                    <w:t>有效容积200L，86.92kW</w:t>
                  </w:r>
                </w:p>
              </w:tc>
            </w:tr>
            <w:tr w14:paraId="40A8096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shd w:val="clear" w:color="auto" w:fill="auto"/>
                  <w:vAlign w:val="center"/>
                </w:tcPr>
                <w:p w14:paraId="51776D17">
                  <w:pPr>
                    <w:widowControl/>
                    <w:wordWrap w:val="0"/>
                    <w:jc w:val="center"/>
                    <w:textAlignment w:val="center"/>
                    <w:rPr>
                      <w:kern w:val="0"/>
                      <w:szCs w:val="21"/>
                      <w:lang w:bidi="ar"/>
                    </w:rPr>
                  </w:pPr>
                </w:p>
              </w:tc>
              <w:tc>
                <w:tcPr>
                  <w:tcW w:w="1299" w:type="dxa"/>
                  <w:vMerge w:val="continue"/>
                  <w:shd w:val="clear" w:color="auto" w:fill="auto"/>
                  <w:vAlign w:val="center"/>
                </w:tcPr>
                <w:p w14:paraId="6DA0F66D">
                  <w:pPr>
                    <w:widowControl/>
                    <w:wordWrap w:val="0"/>
                    <w:jc w:val="center"/>
                    <w:textAlignment w:val="center"/>
                    <w:rPr>
                      <w:szCs w:val="21"/>
                    </w:rPr>
                  </w:pPr>
                </w:p>
              </w:tc>
              <w:tc>
                <w:tcPr>
                  <w:tcW w:w="1302" w:type="dxa"/>
                  <w:shd w:val="clear" w:color="auto" w:fill="auto"/>
                  <w:vAlign w:val="center"/>
                </w:tcPr>
                <w:p w14:paraId="531AA317">
                  <w:pPr>
                    <w:widowControl/>
                    <w:wordWrap w:val="0"/>
                    <w:jc w:val="center"/>
                    <w:textAlignment w:val="center"/>
                    <w:rPr>
                      <w:szCs w:val="21"/>
                    </w:rPr>
                  </w:pPr>
                  <w:r>
                    <w:rPr>
                      <w:rFonts w:hint="eastAsia"/>
                      <w:szCs w:val="21"/>
                    </w:rPr>
                    <w:t>冷水槽</w:t>
                  </w:r>
                </w:p>
              </w:tc>
              <w:tc>
                <w:tcPr>
                  <w:tcW w:w="1603" w:type="dxa"/>
                  <w:vAlign w:val="center"/>
                </w:tcPr>
                <w:p w14:paraId="3FEF8DFC">
                  <w:pPr>
                    <w:pStyle w:val="57"/>
                    <w:wordWrap w:val="0"/>
                    <w:rPr>
                      <w:b w:val="0"/>
                      <w:bCs/>
                      <w:lang w:val="en-US"/>
                    </w:rPr>
                  </w:pPr>
                  <w:r>
                    <w:rPr>
                      <w:rFonts w:hint="eastAsia"/>
                      <w:b w:val="0"/>
                      <w:bCs/>
                      <w:lang w:val="en-US"/>
                    </w:rPr>
                    <w:t>37套</w:t>
                  </w:r>
                </w:p>
              </w:tc>
              <w:tc>
                <w:tcPr>
                  <w:tcW w:w="2765" w:type="dxa"/>
                  <w:shd w:val="clear" w:color="auto" w:fill="auto"/>
                  <w:vAlign w:val="center"/>
                </w:tcPr>
                <w:p w14:paraId="6426D436">
                  <w:pPr>
                    <w:widowControl/>
                    <w:wordWrap w:val="0"/>
                    <w:jc w:val="center"/>
                    <w:textAlignment w:val="center"/>
                    <w:rPr>
                      <w:b w:val="0"/>
                      <w:bCs/>
                      <w:szCs w:val="21"/>
                    </w:rPr>
                  </w:pPr>
                  <w:r>
                    <w:rPr>
                      <w:rFonts w:hint="eastAsia"/>
                      <w:b w:val="0"/>
                      <w:bCs/>
                      <w:szCs w:val="21"/>
                    </w:rPr>
                    <w:t>有效容积30L，</w:t>
                  </w:r>
                  <w:r>
                    <w:rPr>
                      <w:rFonts w:hint="eastAsia"/>
                      <w:b w:val="0"/>
                      <w:bCs/>
                    </w:rPr>
                    <w:t>0.09kW</w:t>
                  </w:r>
                </w:p>
              </w:tc>
            </w:tr>
            <w:tr w14:paraId="1901B9C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shd w:val="clear" w:color="auto" w:fill="auto"/>
                  <w:vAlign w:val="center"/>
                </w:tcPr>
                <w:p w14:paraId="097CF8C7">
                  <w:pPr>
                    <w:widowControl/>
                    <w:wordWrap w:val="0"/>
                    <w:jc w:val="center"/>
                    <w:textAlignment w:val="center"/>
                    <w:rPr>
                      <w:kern w:val="0"/>
                      <w:szCs w:val="21"/>
                      <w:lang w:bidi="ar"/>
                    </w:rPr>
                  </w:pPr>
                </w:p>
              </w:tc>
              <w:tc>
                <w:tcPr>
                  <w:tcW w:w="1299" w:type="dxa"/>
                  <w:vMerge w:val="continue"/>
                  <w:shd w:val="clear" w:color="auto" w:fill="auto"/>
                  <w:vAlign w:val="center"/>
                </w:tcPr>
                <w:p w14:paraId="1A60ADA8">
                  <w:pPr>
                    <w:widowControl/>
                    <w:wordWrap w:val="0"/>
                    <w:jc w:val="center"/>
                    <w:textAlignment w:val="center"/>
                    <w:rPr>
                      <w:szCs w:val="21"/>
                    </w:rPr>
                  </w:pPr>
                </w:p>
              </w:tc>
              <w:tc>
                <w:tcPr>
                  <w:tcW w:w="1302" w:type="dxa"/>
                  <w:shd w:val="clear" w:color="auto" w:fill="auto"/>
                  <w:vAlign w:val="center"/>
                </w:tcPr>
                <w:p w14:paraId="09F2C4D3">
                  <w:pPr>
                    <w:widowControl/>
                    <w:wordWrap w:val="0"/>
                    <w:jc w:val="center"/>
                    <w:textAlignment w:val="center"/>
                    <w:rPr>
                      <w:szCs w:val="21"/>
                    </w:rPr>
                  </w:pPr>
                  <w:r>
                    <w:rPr>
                      <w:rFonts w:hint="eastAsia"/>
                      <w:szCs w:val="21"/>
                    </w:rPr>
                    <w:t>热水洗槽</w:t>
                  </w:r>
                </w:p>
              </w:tc>
              <w:tc>
                <w:tcPr>
                  <w:tcW w:w="1603" w:type="dxa"/>
                  <w:vAlign w:val="center"/>
                </w:tcPr>
                <w:p w14:paraId="41758E5F">
                  <w:pPr>
                    <w:pStyle w:val="57"/>
                    <w:wordWrap w:val="0"/>
                    <w:rPr>
                      <w:b w:val="0"/>
                      <w:bCs/>
                      <w:lang w:val="en-US"/>
                    </w:rPr>
                  </w:pPr>
                  <w:r>
                    <w:rPr>
                      <w:rFonts w:hint="eastAsia"/>
                      <w:b w:val="0"/>
                      <w:bCs/>
                      <w:lang w:val="en-US"/>
                    </w:rPr>
                    <w:t>37套</w:t>
                  </w:r>
                </w:p>
              </w:tc>
              <w:tc>
                <w:tcPr>
                  <w:tcW w:w="2765" w:type="dxa"/>
                  <w:vMerge w:val="restart"/>
                  <w:shd w:val="clear" w:color="auto" w:fill="auto"/>
                  <w:vAlign w:val="center"/>
                </w:tcPr>
                <w:p w14:paraId="55E3A36F">
                  <w:pPr>
                    <w:pStyle w:val="57"/>
                    <w:wordWrap w:val="0"/>
                    <w:rPr>
                      <w:b w:val="0"/>
                      <w:bCs/>
                      <w:lang w:val="en-US"/>
                    </w:rPr>
                  </w:pPr>
                  <w:r>
                    <w:rPr>
                      <w:rFonts w:hint="eastAsia"/>
                      <w:b w:val="0"/>
                      <w:bCs/>
                      <w:kern w:val="2"/>
                      <w:szCs w:val="21"/>
                      <w:lang w:val="en-US"/>
                    </w:rPr>
                    <w:t>有效容积115L，</w:t>
                  </w:r>
                  <w:r>
                    <w:rPr>
                      <w:rFonts w:hint="eastAsia"/>
                      <w:b w:val="0"/>
                      <w:bCs/>
                      <w:lang w:val="en-US"/>
                    </w:rPr>
                    <w:t>6.1kW</w:t>
                  </w:r>
                </w:p>
              </w:tc>
            </w:tr>
            <w:tr w14:paraId="5DD0053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vAlign w:val="center"/>
                </w:tcPr>
                <w:p w14:paraId="7240188C">
                  <w:pPr>
                    <w:pStyle w:val="57"/>
                    <w:wordWrap w:val="0"/>
                    <w:rPr>
                      <w:b w:val="0"/>
                      <w:bCs/>
                    </w:rPr>
                  </w:pPr>
                </w:p>
              </w:tc>
              <w:tc>
                <w:tcPr>
                  <w:tcW w:w="1299" w:type="dxa"/>
                  <w:vMerge w:val="continue"/>
                  <w:vAlign w:val="center"/>
                </w:tcPr>
                <w:p w14:paraId="1FFAA13B">
                  <w:pPr>
                    <w:pStyle w:val="57"/>
                    <w:wordWrap w:val="0"/>
                    <w:rPr>
                      <w:b w:val="0"/>
                      <w:bCs/>
                    </w:rPr>
                  </w:pPr>
                </w:p>
              </w:tc>
              <w:tc>
                <w:tcPr>
                  <w:tcW w:w="1302" w:type="dxa"/>
                  <w:vAlign w:val="center"/>
                </w:tcPr>
                <w:p w14:paraId="6D081D56">
                  <w:pPr>
                    <w:pStyle w:val="57"/>
                    <w:wordWrap w:val="0"/>
                    <w:rPr>
                      <w:b w:val="0"/>
                      <w:bCs/>
                      <w:lang w:val="en-US"/>
                    </w:rPr>
                  </w:pPr>
                  <w:r>
                    <w:rPr>
                      <w:rFonts w:hint="eastAsia"/>
                      <w:b w:val="0"/>
                      <w:bCs/>
                      <w:lang w:val="en-US"/>
                    </w:rPr>
                    <w:t>超声波槽</w:t>
                  </w:r>
                </w:p>
              </w:tc>
              <w:tc>
                <w:tcPr>
                  <w:tcW w:w="1603" w:type="dxa"/>
                  <w:vAlign w:val="center"/>
                </w:tcPr>
                <w:p w14:paraId="6B5A6254">
                  <w:pPr>
                    <w:pStyle w:val="57"/>
                    <w:wordWrap w:val="0"/>
                    <w:rPr>
                      <w:b w:val="0"/>
                      <w:bCs/>
                      <w:lang w:val="en-US"/>
                    </w:rPr>
                  </w:pPr>
                  <w:r>
                    <w:rPr>
                      <w:rFonts w:hint="eastAsia"/>
                      <w:b w:val="0"/>
                      <w:bCs/>
                      <w:lang w:val="en-US"/>
                    </w:rPr>
                    <w:t>37套</w:t>
                  </w:r>
                </w:p>
              </w:tc>
              <w:tc>
                <w:tcPr>
                  <w:tcW w:w="2765" w:type="dxa"/>
                  <w:vMerge w:val="continue"/>
                  <w:vAlign w:val="center"/>
                </w:tcPr>
                <w:p w14:paraId="057B148C">
                  <w:pPr>
                    <w:pStyle w:val="57"/>
                    <w:wordWrap w:val="0"/>
                    <w:rPr>
                      <w:b w:val="0"/>
                      <w:bCs/>
                      <w:lang w:val="en-US"/>
                    </w:rPr>
                  </w:pPr>
                </w:p>
              </w:tc>
            </w:tr>
            <w:tr w14:paraId="6122B9B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vAlign w:val="center"/>
                </w:tcPr>
                <w:p w14:paraId="1064FE54">
                  <w:pPr>
                    <w:pStyle w:val="57"/>
                    <w:wordWrap w:val="0"/>
                    <w:rPr>
                      <w:b w:val="0"/>
                      <w:bCs/>
                      <w:lang w:val="en-US"/>
                    </w:rPr>
                  </w:pPr>
                </w:p>
              </w:tc>
              <w:tc>
                <w:tcPr>
                  <w:tcW w:w="1299" w:type="dxa"/>
                  <w:vMerge w:val="continue"/>
                  <w:vAlign w:val="center"/>
                </w:tcPr>
                <w:p w14:paraId="0D7D8CD9">
                  <w:pPr>
                    <w:pStyle w:val="57"/>
                    <w:wordWrap w:val="0"/>
                    <w:rPr>
                      <w:b w:val="0"/>
                      <w:bCs/>
                      <w:lang w:val="en-US"/>
                    </w:rPr>
                  </w:pPr>
                </w:p>
              </w:tc>
              <w:tc>
                <w:tcPr>
                  <w:tcW w:w="1302" w:type="dxa"/>
                  <w:vAlign w:val="center"/>
                </w:tcPr>
                <w:p w14:paraId="24911A61">
                  <w:pPr>
                    <w:pStyle w:val="57"/>
                    <w:wordWrap w:val="0"/>
                    <w:rPr>
                      <w:b w:val="0"/>
                      <w:bCs/>
                      <w:lang w:val="en-US"/>
                    </w:rPr>
                  </w:pPr>
                  <w:r>
                    <w:rPr>
                      <w:rFonts w:hint="eastAsia"/>
                      <w:b w:val="0"/>
                      <w:bCs/>
                      <w:lang w:val="en-US"/>
                    </w:rPr>
                    <w:t>风干槽</w:t>
                  </w:r>
                </w:p>
              </w:tc>
              <w:tc>
                <w:tcPr>
                  <w:tcW w:w="1603" w:type="dxa"/>
                  <w:vAlign w:val="center"/>
                </w:tcPr>
                <w:p w14:paraId="6DADC1E5">
                  <w:pPr>
                    <w:pStyle w:val="57"/>
                    <w:wordWrap w:val="0"/>
                    <w:rPr>
                      <w:b w:val="0"/>
                      <w:bCs/>
                      <w:lang w:val="en-US"/>
                    </w:rPr>
                  </w:pPr>
                  <w:r>
                    <w:rPr>
                      <w:rFonts w:hint="eastAsia"/>
                      <w:b w:val="0"/>
                      <w:bCs/>
                      <w:lang w:val="en-US"/>
                    </w:rPr>
                    <w:t>37套</w:t>
                  </w:r>
                </w:p>
              </w:tc>
              <w:tc>
                <w:tcPr>
                  <w:tcW w:w="2765" w:type="dxa"/>
                  <w:vAlign w:val="center"/>
                </w:tcPr>
                <w:p w14:paraId="3DF4530C">
                  <w:pPr>
                    <w:pStyle w:val="57"/>
                    <w:wordWrap w:val="0"/>
                    <w:rPr>
                      <w:b w:val="0"/>
                      <w:bCs/>
                      <w:lang w:val="en-US"/>
                    </w:rPr>
                  </w:pPr>
                  <w:r>
                    <w:rPr>
                      <w:rFonts w:hint="eastAsia"/>
                      <w:b w:val="0"/>
                      <w:bCs/>
                      <w:kern w:val="2"/>
                      <w:szCs w:val="21"/>
                      <w:lang w:val="en-US"/>
                    </w:rPr>
                    <w:t>有效容积50L，</w:t>
                  </w:r>
                  <w:r>
                    <w:rPr>
                      <w:rFonts w:hint="eastAsia"/>
                      <w:b w:val="0"/>
                      <w:bCs/>
                      <w:lang w:val="en-US"/>
                    </w:rPr>
                    <w:t>1.15kW</w:t>
                  </w:r>
                </w:p>
              </w:tc>
            </w:tr>
            <w:tr w14:paraId="3D136D8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vAlign w:val="center"/>
                </w:tcPr>
                <w:p w14:paraId="0C3B90D4">
                  <w:pPr>
                    <w:pStyle w:val="57"/>
                    <w:wordWrap w:val="0"/>
                    <w:rPr>
                      <w:b w:val="0"/>
                      <w:bCs/>
                    </w:rPr>
                  </w:pPr>
                </w:p>
              </w:tc>
              <w:tc>
                <w:tcPr>
                  <w:tcW w:w="2601" w:type="dxa"/>
                  <w:gridSpan w:val="2"/>
                  <w:vAlign w:val="center"/>
                </w:tcPr>
                <w:p w14:paraId="642FC558">
                  <w:pPr>
                    <w:pStyle w:val="57"/>
                    <w:wordWrap w:val="0"/>
                    <w:rPr>
                      <w:b w:val="0"/>
                      <w:bCs/>
                      <w:lang w:val="en-US"/>
                    </w:rPr>
                  </w:pPr>
                  <w:r>
                    <w:rPr>
                      <w:rFonts w:hint="eastAsia"/>
                      <w:b w:val="0"/>
                      <w:bCs/>
                      <w:lang w:val="en-US"/>
                    </w:rPr>
                    <w:t>收线电机</w:t>
                  </w:r>
                </w:p>
              </w:tc>
              <w:tc>
                <w:tcPr>
                  <w:tcW w:w="1603" w:type="dxa"/>
                  <w:vAlign w:val="center"/>
                </w:tcPr>
                <w:p w14:paraId="17B2A0E1">
                  <w:pPr>
                    <w:pStyle w:val="57"/>
                    <w:wordWrap w:val="0"/>
                    <w:rPr>
                      <w:b w:val="0"/>
                      <w:bCs/>
                      <w:lang w:val="en-US"/>
                    </w:rPr>
                  </w:pPr>
                  <w:r>
                    <w:rPr>
                      <w:rFonts w:hint="eastAsia"/>
                      <w:b w:val="0"/>
                      <w:bCs/>
                      <w:lang w:val="en-US"/>
                    </w:rPr>
                    <w:t>37套</w:t>
                  </w:r>
                </w:p>
              </w:tc>
              <w:tc>
                <w:tcPr>
                  <w:tcW w:w="2765" w:type="dxa"/>
                  <w:vAlign w:val="center"/>
                </w:tcPr>
                <w:p w14:paraId="3AD29E65">
                  <w:pPr>
                    <w:pStyle w:val="57"/>
                    <w:wordWrap w:val="0"/>
                    <w:rPr>
                      <w:b w:val="0"/>
                      <w:bCs/>
                      <w:lang w:val="en-US"/>
                    </w:rPr>
                  </w:pPr>
                  <w:r>
                    <w:rPr>
                      <w:rFonts w:hint="eastAsia"/>
                      <w:b w:val="0"/>
                      <w:bCs/>
                      <w:lang w:val="en-US"/>
                    </w:rPr>
                    <w:t>11.5kW</w:t>
                  </w:r>
                </w:p>
              </w:tc>
            </w:tr>
            <w:tr w14:paraId="37D2782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restart"/>
                  <w:shd w:val="clear" w:color="auto" w:fill="auto"/>
                  <w:vAlign w:val="center"/>
                </w:tcPr>
                <w:p w14:paraId="2D5E5A12">
                  <w:pPr>
                    <w:pStyle w:val="57"/>
                    <w:wordWrap w:val="0"/>
                    <w:rPr>
                      <w:b w:val="0"/>
                      <w:bCs/>
                      <w:lang w:val="en-US"/>
                    </w:rPr>
                  </w:pPr>
                  <w:r>
                    <w:rPr>
                      <w:rFonts w:hint="eastAsia"/>
                      <w:b w:val="0"/>
                      <w:bCs/>
                      <w:lang w:val="en-US"/>
                    </w:rPr>
                    <w:t>碱液循环</w:t>
                  </w:r>
                </w:p>
              </w:tc>
              <w:tc>
                <w:tcPr>
                  <w:tcW w:w="2601" w:type="dxa"/>
                  <w:gridSpan w:val="2"/>
                  <w:shd w:val="clear" w:color="auto" w:fill="auto"/>
                  <w:vAlign w:val="center"/>
                </w:tcPr>
                <w:p w14:paraId="17B21F96">
                  <w:pPr>
                    <w:pStyle w:val="57"/>
                    <w:wordWrap w:val="0"/>
                    <w:rPr>
                      <w:b w:val="0"/>
                      <w:bCs/>
                      <w:lang w:val="en-US"/>
                    </w:rPr>
                  </w:pPr>
                  <w:r>
                    <w:rPr>
                      <w:rFonts w:hint="eastAsia"/>
                      <w:b w:val="0"/>
                      <w:bCs/>
                      <w:lang w:val="en-US"/>
                    </w:rPr>
                    <w:t>碱液筒</w:t>
                  </w:r>
                </w:p>
              </w:tc>
              <w:tc>
                <w:tcPr>
                  <w:tcW w:w="1603" w:type="dxa"/>
                  <w:shd w:val="clear" w:color="auto" w:fill="auto"/>
                  <w:vAlign w:val="center"/>
                </w:tcPr>
                <w:p w14:paraId="27727611">
                  <w:pPr>
                    <w:pStyle w:val="57"/>
                    <w:wordWrap w:val="0"/>
                    <w:rPr>
                      <w:b w:val="0"/>
                      <w:bCs/>
                      <w:lang w:val="en-US"/>
                    </w:rPr>
                  </w:pPr>
                  <w:r>
                    <w:rPr>
                      <w:rFonts w:hint="eastAsia"/>
                      <w:b w:val="0"/>
                      <w:bCs/>
                      <w:lang w:val="en-US"/>
                    </w:rPr>
                    <w:t>6</w:t>
                  </w:r>
                  <w:r>
                    <w:rPr>
                      <w:rFonts w:hint="eastAsia"/>
                      <w:lang w:val="en-US"/>
                    </w:rPr>
                    <w:t>个</w:t>
                  </w:r>
                </w:p>
              </w:tc>
              <w:tc>
                <w:tcPr>
                  <w:tcW w:w="2765" w:type="dxa"/>
                  <w:shd w:val="clear" w:color="auto" w:fill="auto"/>
                  <w:vAlign w:val="center"/>
                </w:tcPr>
                <w:p w14:paraId="6D2822F8">
                  <w:pPr>
                    <w:pStyle w:val="57"/>
                    <w:wordWrap w:val="0"/>
                    <w:rPr>
                      <w:b w:val="0"/>
                      <w:bCs/>
                      <w:lang w:val="en-US"/>
                    </w:rPr>
                  </w:pPr>
                  <w:r>
                    <w:rPr>
                      <w:rFonts w:hint="eastAsia"/>
                      <w:b w:val="0"/>
                      <w:bCs/>
                      <w:lang w:val="en-US"/>
                    </w:rPr>
                    <w:t>容积1m</w:t>
                  </w:r>
                  <w:r>
                    <w:rPr>
                      <w:rFonts w:hint="eastAsia"/>
                      <w:b w:val="0"/>
                      <w:bCs/>
                      <w:vertAlign w:val="superscript"/>
                      <w:lang w:val="en-US"/>
                    </w:rPr>
                    <w:t>3</w:t>
                  </w:r>
                </w:p>
              </w:tc>
            </w:tr>
            <w:tr w14:paraId="11FD9FC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shd w:val="clear" w:color="auto" w:fill="auto"/>
                  <w:vAlign w:val="center"/>
                </w:tcPr>
                <w:p w14:paraId="20587E4F">
                  <w:pPr>
                    <w:pStyle w:val="57"/>
                    <w:wordWrap w:val="0"/>
                    <w:rPr>
                      <w:b w:val="0"/>
                      <w:bCs/>
                      <w:lang w:val="en-US"/>
                    </w:rPr>
                  </w:pPr>
                </w:p>
              </w:tc>
              <w:tc>
                <w:tcPr>
                  <w:tcW w:w="2601" w:type="dxa"/>
                  <w:gridSpan w:val="2"/>
                  <w:shd w:val="clear" w:color="auto" w:fill="auto"/>
                  <w:vAlign w:val="center"/>
                </w:tcPr>
                <w:p w14:paraId="7DF26620">
                  <w:pPr>
                    <w:pStyle w:val="57"/>
                    <w:wordWrap w:val="0"/>
                    <w:rPr>
                      <w:b w:val="0"/>
                      <w:bCs/>
                      <w:lang w:val="en-US"/>
                    </w:rPr>
                  </w:pPr>
                  <w:r>
                    <w:rPr>
                      <w:rFonts w:hint="eastAsia"/>
                      <w:b w:val="0"/>
                      <w:bCs/>
                      <w:lang w:val="en-US"/>
                    </w:rPr>
                    <w:t>循环水筒</w:t>
                  </w:r>
                </w:p>
              </w:tc>
              <w:tc>
                <w:tcPr>
                  <w:tcW w:w="1603" w:type="dxa"/>
                  <w:shd w:val="clear" w:color="auto" w:fill="auto"/>
                  <w:vAlign w:val="center"/>
                </w:tcPr>
                <w:p w14:paraId="5744DA20">
                  <w:pPr>
                    <w:pStyle w:val="57"/>
                    <w:wordWrap w:val="0"/>
                    <w:rPr>
                      <w:b w:val="0"/>
                      <w:bCs/>
                      <w:lang w:val="en-US"/>
                    </w:rPr>
                  </w:pPr>
                  <w:r>
                    <w:rPr>
                      <w:rFonts w:hint="eastAsia"/>
                      <w:b w:val="0"/>
                      <w:bCs/>
                      <w:lang w:val="en-US"/>
                    </w:rPr>
                    <w:t>3</w:t>
                  </w:r>
                  <w:r>
                    <w:rPr>
                      <w:rFonts w:hint="eastAsia"/>
                      <w:lang w:val="en-US"/>
                    </w:rPr>
                    <w:t>个</w:t>
                  </w:r>
                </w:p>
              </w:tc>
              <w:tc>
                <w:tcPr>
                  <w:tcW w:w="2765" w:type="dxa"/>
                  <w:shd w:val="clear" w:color="auto" w:fill="auto"/>
                  <w:vAlign w:val="center"/>
                </w:tcPr>
                <w:p w14:paraId="0770EB40">
                  <w:pPr>
                    <w:pStyle w:val="57"/>
                    <w:wordWrap w:val="0"/>
                    <w:rPr>
                      <w:b w:val="0"/>
                      <w:bCs/>
                    </w:rPr>
                  </w:pPr>
                  <w:r>
                    <w:rPr>
                      <w:rFonts w:hint="eastAsia"/>
                      <w:b w:val="0"/>
                      <w:bCs/>
                      <w:lang w:val="en-US"/>
                    </w:rPr>
                    <w:t>容积1m</w:t>
                  </w:r>
                  <w:r>
                    <w:rPr>
                      <w:rFonts w:hint="eastAsia"/>
                      <w:b w:val="0"/>
                      <w:bCs/>
                      <w:vertAlign w:val="superscript"/>
                      <w:lang w:val="en-US"/>
                    </w:rPr>
                    <w:t>3</w:t>
                  </w:r>
                </w:p>
              </w:tc>
            </w:tr>
            <w:tr w14:paraId="4721EBA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shd w:val="clear" w:color="auto" w:fill="auto"/>
                  <w:vAlign w:val="center"/>
                </w:tcPr>
                <w:p w14:paraId="49E6C771">
                  <w:pPr>
                    <w:pStyle w:val="57"/>
                    <w:wordWrap w:val="0"/>
                    <w:rPr>
                      <w:b w:val="0"/>
                      <w:bCs/>
                      <w:lang w:val="en-US"/>
                    </w:rPr>
                  </w:pPr>
                </w:p>
              </w:tc>
              <w:tc>
                <w:tcPr>
                  <w:tcW w:w="2601" w:type="dxa"/>
                  <w:gridSpan w:val="2"/>
                  <w:shd w:val="clear" w:color="auto" w:fill="auto"/>
                  <w:vAlign w:val="center"/>
                </w:tcPr>
                <w:p w14:paraId="357E1E75">
                  <w:pPr>
                    <w:pStyle w:val="57"/>
                    <w:wordWrap w:val="0"/>
                    <w:rPr>
                      <w:b w:val="0"/>
                      <w:bCs/>
                      <w:lang w:val="en-US"/>
                    </w:rPr>
                  </w:pPr>
                  <w:r>
                    <w:rPr>
                      <w:rFonts w:hint="eastAsia"/>
                      <w:b w:val="0"/>
                      <w:bCs/>
                      <w:lang w:val="en-US"/>
                    </w:rPr>
                    <w:t>配液缸</w:t>
                  </w:r>
                </w:p>
              </w:tc>
              <w:tc>
                <w:tcPr>
                  <w:tcW w:w="1603" w:type="dxa"/>
                  <w:shd w:val="clear" w:color="auto" w:fill="auto"/>
                  <w:vAlign w:val="center"/>
                </w:tcPr>
                <w:p w14:paraId="42633144">
                  <w:pPr>
                    <w:pStyle w:val="57"/>
                    <w:wordWrap w:val="0"/>
                    <w:rPr>
                      <w:b w:val="0"/>
                      <w:bCs/>
                      <w:lang w:val="en-US"/>
                    </w:rPr>
                  </w:pPr>
                  <w:r>
                    <w:rPr>
                      <w:rFonts w:hint="eastAsia"/>
                      <w:b w:val="0"/>
                      <w:bCs/>
                      <w:lang w:val="en-US"/>
                    </w:rPr>
                    <w:t>1个</w:t>
                  </w:r>
                </w:p>
              </w:tc>
              <w:tc>
                <w:tcPr>
                  <w:tcW w:w="2765" w:type="dxa"/>
                  <w:shd w:val="clear" w:color="auto" w:fill="auto"/>
                  <w:vAlign w:val="center"/>
                </w:tcPr>
                <w:p w14:paraId="7265D178">
                  <w:pPr>
                    <w:pStyle w:val="57"/>
                    <w:wordWrap w:val="0"/>
                    <w:rPr>
                      <w:b w:val="0"/>
                      <w:bCs/>
                      <w:lang w:val="en-US"/>
                    </w:rPr>
                  </w:pPr>
                  <w:r>
                    <w:rPr>
                      <w:rFonts w:hint="eastAsia"/>
                      <w:b w:val="0"/>
                      <w:bCs/>
                      <w:lang w:val="en-US"/>
                    </w:rPr>
                    <w:t>容积1m³</w:t>
                  </w:r>
                </w:p>
              </w:tc>
            </w:tr>
            <w:tr w14:paraId="6B2D0FA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shd w:val="clear" w:color="auto" w:fill="auto"/>
                  <w:vAlign w:val="center"/>
                </w:tcPr>
                <w:p w14:paraId="7B59E6F0">
                  <w:pPr>
                    <w:pStyle w:val="57"/>
                    <w:wordWrap w:val="0"/>
                    <w:rPr>
                      <w:b w:val="0"/>
                      <w:bCs/>
                    </w:rPr>
                  </w:pPr>
                </w:p>
              </w:tc>
              <w:tc>
                <w:tcPr>
                  <w:tcW w:w="2601" w:type="dxa"/>
                  <w:gridSpan w:val="2"/>
                  <w:shd w:val="clear" w:color="auto" w:fill="auto"/>
                  <w:vAlign w:val="center"/>
                </w:tcPr>
                <w:p w14:paraId="42FD88C3">
                  <w:pPr>
                    <w:pStyle w:val="57"/>
                    <w:wordWrap w:val="0"/>
                    <w:rPr>
                      <w:b w:val="0"/>
                      <w:bCs/>
                      <w:lang w:val="en-US"/>
                    </w:rPr>
                  </w:pPr>
                  <w:r>
                    <w:rPr>
                      <w:rFonts w:hint="eastAsia"/>
                      <w:b w:val="0"/>
                      <w:bCs/>
                      <w:lang w:val="en-US"/>
                    </w:rPr>
                    <w:t>过滤器</w:t>
                  </w:r>
                </w:p>
              </w:tc>
              <w:tc>
                <w:tcPr>
                  <w:tcW w:w="1603" w:type="dxa"/>
                  <w:shd w:val="clear" w:color="auto" w:fill="auto"/>
                  <w:vAlign w:val="center"/>
                </w:tcPr>
                <w:p w14:paraId="1374792F">
                  <w:pPr>
                    <w:pStyle w:val="57"/>
                    <w:wordWrap w:val="0"/>
                    <w:rPr>
                      <w:b w:val="0"/>
                      <w:bCs/>
                      <w:lang w:val="en-US"/>
                    </w:rPr>
                  </w:pPr>
                  <w:r>
                    <w:rPr>
                      <w:rFonts w:hint="eastAsia"/>
                      <w:b w:val="0"/>
                      <w:bCs/>
                      <w:lang w:val="en-US"/>
                    </w:rPr>
                    <w:t>7套</w:t>
                  </w:r>
                </w:p>
              </w:tc>
              <w:tc>
                <w:tcPr>
                  <w:tcW w:w="2765" w:type="dxa"/>
                  <w:shd w:val="clear" w:color="auto" w:fill="auto"/>
                  <w:vAlign w:val="center"/>
                </w:tcPr>
                <w:p w14:paraId="7659B977">
                  <w:pPr>
                    <w:pStyle w:val="57"/>
                    <w:wordWrap w:val="0"/>
                    <w:rPr>
                      <w:b w:val="0"/>
                      <w:bCs/>
                      <w:lang w:val="en-US"/>
                    </w:rPr>
                  </w:pPr>
                  <w:r>
                    <w:rPr>
                      <w:rFonts w:hint="eastAsia"/>
                      <w:b w:val="0"/>
                      <w:bCs/>
                      <w:lang w:val="en-US"/>
                    </w:rPr>
                    <w:t>/</w:t>
                  </w:r>
                </w:p>
              </w:tc>
            </w:tr>
            <w:tr w14:paraId="460D94C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vAlign w:val="center"/>
                </w:tcPr>
                <w:p w14:paraId="3ABF4D05">
                  <w:pPr>
                    <w:pStyle w:val="57"/>
                    <w:wordWrap w:val="0"/>
                    <w:rPr>
                      <w:b w:val="0"/>
                      <w:bCs/>
                    </w:rPr>
                  </w:pPr>
                </w:p>
              </w:tc>
              <w:tc>
                <w:tcPr>
                  <w:tcW w:w="2601" w:type="dxa"/>
                  <w:gridSpan w:val="2"/>
                  <w:vAlign w:val="center"/>
                </w:tcPr>
                <w:p w14:paraId="57FA8551">
                  <w:pPr>
                    <w:pStyle w:val="57"/>
                    <w:wordWrap w:val="0"/>
                    <w:rPr>
                      <w:b w:val="0"/>
                      <w:bCs/>
                      <w:lang w:val="en-US"/>
                    </w:rPr>
                  </w:pPr>
                  <w:r>
                    <w:rPr>
                      <w:rFonts w:hint="eastAsia"/>
                      <w:b w:val="0"/>
                      <w:bCs/>
                      <w:lang w:val="en-US"/>
                    </w:rPr>
                    <w:t>制水机</w:t>
                  </w:r>
                </w:p>
              </w:tc>
              <w:tc>
                <w:tcPr>
                  <w:tcW w:w="1603" w:type="dxa"/>
                  <w:vAlign w:val="center"/>
                </w:tcPr>
                <w:p w14:paraId="40D95FB9">
                  <w:pPr>
                    <w:pStyle w:val="57"/>
                    <w:wordWrap w:val="0"/>
                    <w:rPr>
                      <w:b w:val="0"/>
                      <w:bCs/>
                      <w:lang w:val="en-US"/>
                    </w:rPr>
                  </w:pPr>
                  <w:r>
                    <w:rPr>
                      <w:rFonts w:hint="eastAsia"/>
                      <w:b w:val="0"/>
                      <w:bCs/>
                      <w:lang w:val="en-US"/>
                    </w:rPr>
                    <w:t>/</w:t>
                  </w:r>
                </w:p>
              </w:tc>
              <w:tc>
                <w:tcPr>
                  <w:tcW w:w="2765" w:type="dxa"/>
                  <w:vAlign w:val="center"/>
                </w:tcPr>
                <w:p w14:paraId="6E3A1A3D">
                  <w:pPr>
                    <w:pStyle w:val="57"/>
                    <w:wordWrap w:val="0"/>
                    <w:rPr>
                      <w:b w:val="0"/>
                      <w:bCs/>
                      <w:lang w:val="en-US"/>
                    </w:rPr>
                  </w:pPr>
                  <w:r>
                    <w:rPr>
                      <w:rFonts w:hint="eastAsia"/>
                      <w:b w:val="0"/>
                      <w:bCs/>
                      <w:lang w:val="en-US"/>
                    </w:rPr>
                    <w:t>依托</w:t>
                  </w:r>
                </w:p>
              </w:tc>
            </w:tr>
            <w:tr w14:paraId="1F70A6CF">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restart"/>
                  <w:vAlign w:val="center"/>
                </w:tcPr>
                <w:p w14:paraId="1211E253">
                  <w:pPr>
                    <w:pStyle w:val="57"/>
                    <w:wordWrap w:val="0"/>
                    <w:rPr>
                      <w:b w:val="0"/>
                      <w:bCs/>
                      <w:lang w:val="en-US"/>
                    </w:rPr>
                  </w:pPr>
                  <w:r>
                    <w:rPr>
                      <w:rFonts w:hint="eastAsia"/>
                      <w:b w:val="0"/>
                      <w:bCs/>
                      <w:lang w:val="en-US"/>
                    </w:rPr>
                    <w:t>环保设备</w:t>
                  </w:r>
                </w:p>
              </w:tc>
              <w:tc>
                <w:tcPr>
                  <w:tcW w:w="2601" w:type="dxa"/>
                  <w:gridSpan w:val="2"/>
                  <w:vAlign w:val="center"/>
                </w:tcPr>
                <w:p w14:paraId="532454EE">
                  <w:pPr>
                    <w:pStyle w:val="57"/>
                    <w:wordWrap w:val="0"/>
                    <w:rPr>
                      <w:b w:val="0"/>
                      <w:bCs/>
                      <w:lang w:val="en-US"/>
                    </w:rPr>
                  </w:pPr>
                  <w:r>
                    <w:rPr>
                      <w:rFonts w:hint="eastAsia"/>
                      <w:b w:val="0"/>
                      <w:bCs/>
                      <w:lang w:val="en-US"/>
                    </w:rPr>
                    <w:t>喷淋塔</w:t>
                  </w:r>
                </w:p>
              </w:tc>
              <w:tc>
                <w:tcPr>
                  <w:tcW w:w="1603" w:type="dxa"/>
                  <w:vAlign w:val="center"/>
                </w:tcPr>
                <w:p w14:paraId="33DB12F1">
                  <w:pPr>
                    <w:pStyle w:val="57"/>
                    <w:wordWrap w:val="0"/>
                    <w:rPr>
                      <w:b w:val="0"/>
                      <w:bCs/>
                      <w:lang w:val="en-US"/>
                    </w:rPr>
                  </w:pPr>
                  <w:r>
                    <w:rPr>
                      <w:rFonts w:hint="eastAsia"/>
                      <w:b w:val="0"/>
                      <w:bCs/>
                      <w:lang w:val="en-US"/>
                    </w:rPr>
                    <w:t>1套</w:t>
                  </w:r>
                </w:p>
              </w:tc>
              <w:tc>
                <w:tcPr>
                  <w:tcW w:w="2765" w:type="dxa"/>
                  <w:vAlign w:val="center"/>
                </w:tcPr>
                <w:p w14:paraId="76727147">
                  <w:pPr>
                    <w:pStyle w:val="57"/>
                    <w:wordWrap w:val="0"/>
                    <w:rPr>
                      <w:b w:val="0"/>
                      <w:bCs/>
                      <w:lang w:val="en-US"/>
                    </w:rPr>
                  </w:pPr>
                  <w:r>
                    <w:rPr>
                      <w:rFonts w:hint="eastAsia"/>
                      <w:b w:val="0"/>
                      <w:bCs/>
                      <w:lang w:val="en-US"/>
                    </w:rPr>
                    <w:t>30000m³/h</w:t>
                  </w:r>
                </w:p>
              </w:tc>
            </w:tr>
            <w:tr w14:paraId="574A612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vAlign w:val="center"/>
                </w:tcPr>
                <w:p w14:paraId="3FBC09F9">
                  <w:pPr>
                    <w:pStyle w:val="57"/>
                    <w:wordWrap w:val="0"/>
                    <w:rPr>
                      <w:b w:val="0"/>
                      <w:bCs/>
                      <w:lang w:val="en-US"/>
                    </w:rPr>
                  </w:pPr>
                </w:p>
              </w:tc>
              <w:tc>
                <w:tcPr>
                  <w:tcW w:w="2601" w:type="dxa"/>
                  <w:gridSpan w:val="2"/>
                  <w:vAlign w:val="center"/>
                </w:tcPr>
                <w:p w14:paraId="2BD766D5">
                  <w:pPr>
                    <w:pStyle w:val="57"/>
                    <w:wordWrap w:val="0"/>
                    <w:rPr>
                      <w:b w:val="0"/>
                      <w:bCs/>
                      <w:lang w:val="en-US"/>
                    </w:rPr>
                  </w:pPr>
                  <w:r>
                    <w:rPr>
                      <w:rFonts w:hint="eastAsia"/>
                      <w:b w:val="0"/>
                      <w:bCs/>
                      <w:lang w:val="en-US"/>
                    </w:rPr>
                    <w:t>废水暂存罐</w:t>
                  </w:r>
                </w:p>
              </w:tc>
              <w:tc>
                <w:tcPr>
                  <w:tcW w:w="1603" w:type="dxa"/>
                  <w:vAlign w:val="center"/>
                </w:tcPr>
                <w:p w14:paraId="0190B6E6">
                  <w:pPr>
                    <w:pStyle w:val="57"/>
                    <w:wordWrap w:val="0"/>
                    <w:rPr>
                      <w:b w:val="0"/>
                      <w:bCs/>
                      <w:lang w:val="en-US"/>
                    </w:rPr>
                  </w:pPr>
                  <w:r>
                    <w:rPr>
                      <w:rFonts w:hint="eastAsia"/>
                      <w:b w:val="0"/>
                      <w:bCs/>
                      <w:lang w:val="en-US"/>
                    </w:rPr>
                    <w:t>2套</w:t>
                  </w:r>
                </w:p>
              </w:tc>
              <w:tc>
                <w:tcPr>
                  <w:tcW w:w="2765" w:type="dxa"/>
                  <w:vAlign w:val="center"/>
                </w:tcPr>
                <w:p w14:paraId="27C54DE7">
                  <w:pPr>
                    <w:pStyle w:val="57"/>
                    <w:wordWrap w:val="0"/>
                    <w:rPr>
                      <w:b w:val="0"/>
                      <w:bCs/>
                      <w:lang w:val="en-US"/>
                    </w:rPr>
                  </w:pPr>
                  <w:r>
                    <w:rPr>
                      <w:rFonts w:hint="eastAsia"/>
                      <w:b w:val="0"/>
                      <w:bCs/>
                      <w:lang w:val="en-US"/>
                    </w:rPr>
                    <w:t>容积10m³</w:t>
                  </w:r>
                </w:p>
              </w:tc>
            </w:tr>
            <w:tr w14:paraId="22A56F1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1951" w:type="dxa"/>
                  <w:vMerge w:val="continue"/>
                  <w:vAlign w:val="center"/>
                </w:tcPr>
                <w:p w14:paraId="5B7EBA8C">
                  <w:pPr>
                    <w:pStyle w:val="57"/>
                    <w:wordWrap w:val="0"/>
                    <w:rPr>
                      <w:b w:val="0"/>
                      <w:bCs/>
                    </w:rPr>
                  </w:pPr>
                </w:p>
              </w:tc>
              <w:tc>
                <w:tcPr>
                  <w:tcW w:w="2601" w:type="dxa"/>
                  <w:gridSpan w:val="2"/>
                  <w:vAlign w:val="center"/>
                </w:tcPr>
                <w:p w14:paraId="27C7820D">
                  <w:pPr>
                    <w:pStyle w:val="57"/>
                    <w:wordWrap w:val="0"/>
                    <w:rPr>
                      <w:b w:val="0"/>
                      <w:bCs/>
                      <w:lang w:val="en-US"/>
                    </w:rPr>
                  </w:pPr>
                  <w:r>
                    <w:rPr>
                      <w:rFonts w:hint="eastAsia"/>
                      <w:b w:val="0"/>
                      <w:bCs/>
                      <w:lang w:val="en-US"/>
                    </w:rPr>
                    <w:t>蒸发干化设备</w:t>
                  </w:r>
                </w:p>
              </w:tc>
              <w:tc>
                <w:tcPr>
                  <w:tcW w:w="1603" w:type="dxa"/>
                  <w:vAlign w:val="center"/>
                </w:tcPr>
                <w:p w14:paraId="2BD4E37F">
                  <w:pPr>
                    <w:pStyle w:val="57"/>
                    <w:wordWrap w:val="0"/>
                    <w:rPr>
                      <w:b w:val="0"/>
                      <w:bCs/>
                      <w:lang w:val="en-US"/>
                    </w:rPr>
                  </w:pPr>
                  <w:r>
                    <w:rPr>
                      <w:rFonts w:hint="eastAsia"/>
                      <w:b w:val="0"/>
                      <w:bCs/>
                      <w:lang w:val="en-US"/>
                    </w:rPr>
                    <w:t>6套</w:t>
                  </w:r>
                </w:p>
              </w:tc>
              <w:tc>
                <w:tcPr>
                  <w:tcW w:w="2765" w:type="dxa"/>
                  <w:vAlign w:val="center"/>
                </w:tcPr>
                <w:p w14:paraId="21285083">
                  <w:pPr>
                    <w:pStyle w:val="57"/>
                    <w:wordWrap w:val="0"/>
                    <w:rPr>
                      <w:b w:val="0"/>
                      <w:bCs/>
                      <w:lang w:val="en-US"/>
                    </w:rPr>
                  </w:pPr>
                  <w:r>
                    <w:rPr>
                      <w:rFonts w:hint="eastAsia"/>
                      <w:b w:val="0"/>
                      <w:bCs/>
                      <w:lang w:val="en-US"/>
                    </w:rPr>
                    <w:t>天然气2.5m³/h，0.45kw</w:t>
                  </w:r>
                </w:p>
              </w:tc>
            </w:tr>
          </w:tbl>
          <w:p w14:paraId="3FA43D85">
            <w:pPr>
              <w:pStyle w:val="111"/>
              <w:wordWrap w:val="0"/>
              <w:ind w:firstLine="482"/>
              <w:rPr>
                <w:rFonts w:hint="default"/>
                <w:b/>
                <w:bCs/>
                <w:color w:val="auto"/>
              </w:rPr>
            </w:pPr>
            <w:r>
              <w:rPr>
                <w:rFonts w:hint="eastAsia"/>
                <w:b/>
                <w:bCs/>
                <w:color w:val="auto"/>
                <w:lang w:eastAsia="zh-CN"/>
              </w:rPr>
              <w:t>7.</w:t>
            </w:r>
            <w:r>
              <w:rPr>
                <w:b/>
                <w:bCs/>
                <w:color w:val="auto"/>
              </w:rPr>
              <w:t>公用工程</w:t>
            </w:r>
          </w:p>
          <w:p w14:paraId="04BE8659">
            <w:pPr>
              <w:pStyle w:val="111"/>
              <w:wordWrap w:val="0"/>
              <w:rPr>
                <w:rFonts w:hint="eastAsia" w:eastAsia="宋体"/>
                <w:b/>
                <w:bCs/>
                <w:color w:val="auto"/>
                <w:lang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lang w:val="en-US" w:eastAsia="zh-CN"/>
              </w:rPr>
              <w:t>给水</w:t>
            </w:r>
          </w:p>
          <w:p w14:paraId="1AD8E193">
            <w:pPr>
              <w:pStyle w:val="111"/>
              <w:wordWrap w:val="0"/>
              <w:rPr>
                <w:rFonts w:hint="default"/>
                <w:color w:val="auto"/>
              </w:rPr>
            </w:pPr>
            <w:r>
              <w:rPr>
                <w:color w:val="auto"/>
              </w:rPr>
              <w:t>项目给水来自市政供水，项目主要用水为生产用水。</w:t>
            </w:r>
          </w:p>
          <w:p w14:paraId="0D52781B">
            <w:pPr>
              <w:pStyle w:val="111"/>
              <w:wordWrap w:val="0"/>
              <w:rPr>
                <w:rFonts w:hint="default"/>
                <w:color w:val="auto"/>
              </w:rPr>
            </w:pPr>
            <w:r>
              <w:rPr>
                <w:color w:val="auto"/>
              </w:rPr>
              <w:t>①电解清洗用水</w:t>
            </w:r>
          </w:p>
          <w:p w14:paraId="2FD66406">
            <w:pPr>
              <w:pStyle w:val="111"/>
              <w:wordWrap w:val="0"/>
              <w:rPr>
                <w:rFonts w:hint="default"/>
                <w:color w:val="auto"/>
              </w:rPr>
            </w:pPr>
            <w:r>
              <w:rPr>
                <w:color w:val="auto"/>
              </w:rPr>
              <w:t>项目电解清洗采用12%氢氧化钠溶液进行清洗，氢氧化钠溶液自行配置，配置用水为水洗过程排水。项目电解清洗设备37台，单台设备电解清洗槽有效容积为200L，清洗槽设置碱液循环系统，碱液经过滤后循环使用，每天定量排放2m</w:t>
            </w:r>
            <w:r>
              <w:rPr>
                <w:color w:val="auto"/>
                <w:vertAlign w:val="superscript"/>
              </w:rPr>
              <w:t>3</w:t>
            </w:r>
            <w:r>
              <w:rPr>
                <w:rStyle w:val="115"/>
                <w:color w:val="auto"/>
              </w:rPr>
              <w:t>电解清洗废水</w:t>
            </w:r>
            <w:r>
              <w:rPr>
                <w:color w:val="auto"/>
              </w:rPr>
              <w:t>，并且补充2m</w:t>
            </w:r>
            <w:r>
              <w:rPr>
                <w:color w:val="auto"/>
                <w:vertAlign w:val="superscript"/>
              </w:rPr>
              <w:t>3</w:t>
            </w:r>
            <w:r>
              <w:rPr>
                <w:rStyle w:val="115"/>
                <w:color w:val="auto"/>
              </w:rPr>
              <w:t>新配置的12%氢氧化钠溶液</w:t>
            </w:r>
            <w:r>
              <w:rPr>
                <w:color w:val="auto"/>
              </w:rPr>
              <w:t>。</w:t>
            </w:r>
          </w:p>
          <w:p w14:paraId="4EC80735">
            <w:pPr>
              <w:pStyle w:val="111"/>
              <w:wordWrap w:val="0"/>
              <w:rPr>
                <w:rFonts w:hint="default"/>
                <w:color w:val="auto"/>
              </w:rPr>
            </w:pPr>
            <w:r>
              <w:rPr>
                <w:color w:val="auto"/>
              </w:rPr>
              <w:t>钨丝通过自动生产线进入电解清洗槽，清洗过程中由于受热、电解反应消耗以及钨丝带入下一道清洗工序消耗，根据建设单位工艺设计文件，日损耗量为462.5L，每日补充35%氢氧化钠溶液0.462t。</w:t>
            </w:r>
          </w:p>
          <w:p w14:paraId="6AC94B9A">
            <w:pPr>
              <w:pStyle w:val="57"/>
              <w:wordWrap w:val="0"/>
              <w:rPr>
                <w:lang w:val="en-US"/>
              </w:rPr>
            </w:pPr>
            <w:r>
              <w:rPr>
                <w:rFonts w:hint="eastAsia"/>
                <w:lang w:val="en-US"/>
              </w:rPr>
              <w:t>表2-</w:t>
            </w:r>
            <w:r>
              <w:rPr>
                <w:rFonts w:hint="eastAsia"/>
                <w:lang w:val="en-US" w:eastAsia="zh-CN"/>
              </w:rPr>
              <w:t>7</w:t>
            </w:r>
            <w:r>
              <w:rPr>
                <w:rFonts w:hint="eastAsia"/>
                <w:lang w:val="en-US"/>
              </w:rPr>
              <w:t>电解清洗溶液配比用水表</w:t>
            </w:r>
          </w:p>
          <w:tbl>
            <w:tblPr>
              <w:tblStyle w:val="36"/>
              <w:tblW w:w="89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3"/>
              <w:gridCol w:w="3165"/>
              <w:gridCol w:w="3693"/>
            </w:tblGrid>
            <w:tr w14:paraId="1BEE4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Align w:val="center"/>
                </w:tcPr>
                <w:p w14:paraId="47663A7F">
                  <w:pPr>
                    <w:pStyle w:val="57"/>
                    <w:wordWrap w:val="0"/>
                    <w:rPr>
                      <w:lang w:val="en-US"/>
                    </w:rPr>
                  </w:pPr>
                  <w:r>
                    <w:rPr>
                      <w:rFonts w:hint="eastAsia"/>
                      <w:lang w:val="en-US"/>
                    </w:rPr>
                    <w:t>溶液名称</w:t>
                  </w:r>
                </w:p>
              </w:tc>
              <w:tc>
                <w:tcPr>
                  <w:tcW w:w="3165" w:type="dxa"/>
                  <w:vAlign w:val="center"/>
                </w:tcPr>
                <w:p w14:paraId="37DEF52D">
                  <w:pPr>
                    <w:pStyle w:val="57"/>
                    <w:wordWrap w:val="0"/>
                    <w:rPr>
                      <w:lang w:val="en-US"/>
                    </w:rPr>
                  </w:pPr>
                  <w:r>
                    <w:rPr>
                      <w:rFonts w:hint="eastAsia"/>
                      <w:lang w:val="en-US"/>
                    </w:rPr>
                    <w:t>每日更换补充量</w:t>
                  </w:r>
                </w:p>
              </w:tc>
              <w:tc>
                <w:tcPr>
                  <w:tcW w:w="3693" w:type="dxa"/>
                  <w:vAlign w:val="center"/>
                </w:tcPr>
                <w:p w14:paraId="7F708D6B">
                  <w:pPr>
                    <w:pStyle w:val="57"/>
                    <w:wordWrap w:val="0"/>
                    <w:rPr>
                      <w:lang w:val="en-US"/>
                    </w:rPr>
                  </w:pPr>
                  <w:r>
                    <w:rPr>
                      <w:rFonts w:hint="eastAsia"/>
                      <w:lang w:val="en-US"/>
                    </w:rPr>
                    <w:t>每日消耗补充量</w:t>
                  </w:r>
                </w:p>
              </w:tc>
            </w:tr>
            <w:tr w14:paraId="7B1FF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Align w:val="center"/>
                </w:tcPr>
                <w:p w14:paraId="1FF652CE">
                  <w:pPr>
                    <w:pStyle w:val="57"/>
                    <w:wordWrap w:val="0"/>
                    <w:rPr>
                      <w:b w:val="0"/>
                      <w:bCs/>
                      <w:lang w:val="en-US"/>
                    </w:rPr>
                  </w:pPr>
                  <w:r>
                    <w:rPr>
                      <w:rFonts w:hint="eastAsia"/>
                      <w:b w:val="0"/>
                      <w:bCs/>
                      <w:lang w:val="en-US"/>
                    </w:rPr>
                    <w:t>12%氢氧化钠溶液</w:t>
                  </w:r>
                </w:p>
              </w:tc>
              <w:tc>
                <w:tcPr>
                  <w:tcW w:w="3165" w:type="dxa"/>
                  <w:vAlign w:val="center"/>
                </w:tcPr>
                <w:p w14:paraId="47D36993">
                  <w:pPr>
                    <w:pStyle w:val="57"/>
                    <w:wordWrap w:val="0"/>
                    <w:rPr>
                      <w:b w:val="0"/>
                      <w:bCs/>
                      <w:lang w:val="en-US"/>
                    </w:rPr>
                  </w:pPr>
                  <w:r>
                    <w:rPr>
                      <w:rFonts w:hint="eastAsia"/>
                      <w:b w:val="0"/>
                      <w:bCs/>
                      <w:lang w:val="en-US"/>
                    </w:rPr>
                    <w:t>2t</w:t>
                  </w:r>
                </w:p>
                <w:p w14:paraId="148603D9">
                  <w:pPr>
                    <w:pStyle w:val="57"/>
                    <w:wordWrap w:val="0"/>
                    <w:rPr>
                      <w:b w:val="0"/>
                      <w:bCs/>
                      <w:lang w:val="en-US"/>
                    </w:rPr>
                  </w:pPr>
                  <w:r>
                    <w:rPr>
                      <w:rFonts w:hint="eastAsia"/>
                      <w:b w:val="0"/>
                      <w:bCs/>
                      <w:lang w:val="en-US"/>
                    </w:rPr>
                    <w:t>（氢氧化钠：软水=0.24t:1.76t）</w:t>
                  </w:r>
                </w:p>
              </w:tc>
              <w:tc>
                <w:tcPr>
                  <w:tcW w:w="3693" w:type="dxa"/>
                  <w:vAlign w:val="center"/>
                </w:tcPr>
                <w:p w14:paraId="744E4E55">
                  <w:pPr>
                    <w:pStyle w:val="57"/>
                    <w:wordWrap w:val="0"/>
                    <w:rPr>
                      <w:b w:val="0"/>
                      <w:bCs/>
                      <w:lang w:val="en-US"/>
                    </w:rPr>
                  </w:pPr>
                  <w:r>
                    <w:rPr>
                      <w:rFonts w:hint="eastAsia"/>
                      <w:b w:val="0"/>
                      <w:bCs/>
                      <w:lang w:val="en-US"/>
                    </w:rPr>
                    <w:t>/</w:t>
                  </w:r>
                </w:p>
              </w:tc>
            </w:tr>
            <w:tr w14:paraId="19D35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Align w:val="center"/>
                </w:tcPr>
                <w:p w14:paraId="153BC467">
                  <w:pPr>
                    <w:pStyle w:val="57"/>
                    <w:wordWrap w:val="0"/>
                    <w:rPr>
                      <w:b w:val="0"/>
                      <w:bCs/>
                      <w:lang w:val="en-US"/>
                    </w:rPr>
                  </w:pPr>
                  <w:r>
                    <w:rPr>
                      <w:rFonts w:hint="eastAsia"/>
                      <w:b w:val="0"/>
                      <w:bCs/>
                      <w:lang w:val="en-US"/>
                    </w:rPr>
                    <w:t>35%氢氧化钠溶液</w:t>
                  </w:r>
                </w:p>
              </w:tc>
              <w:tc>
                <w:tcPr>
                  <w:tcW w:w="3165" w:type="dxa"/>
                  <w:vAlign w:val="center"/>
                </w:tcPr>
                <w:p w14:paraId="30EA4D74">
                  <w:pPr>
                    <w:pStyle w:val="57"/>
                    <w:wordWrap w:val="0"/>
                    <w:rPr>
                      <w:b w:val="0"/>
                      <w:bCs/>
                      <w:lang w:val="en-US"/>
                    </w:rPr>
                  </w:pPr>
                  <w:r>
                    <w:rPr>
                      <w:rFonts w:hint="eastAsia"/>
                      <w:b w:val="0"/>
                      <w:bCs/>
                      <w:lang w:val="en-US"/>
                    </w:rPr>
                    <w:t>/</w:t>
                  </w:r>
                </w:p>
              </w:tc>
              <w:tc>
                <w:tcPr>
                  <w:tcW w:w="3693" w:type="dxa"/>
                  <w:vAlign w:val="center"/>
                </w:tcPr>
                <w:p w14:paraId="27AA3129">
                  <w:pPr>
                    <w:pStyle w:val="57"/>
                    <w:wordWrap w:val="0"/>
                    <w:rPr>
                      <w:b w:val="0"/>
                      <w:bCs/>
                      <w:lang w:val="en-US"/>
                    </w:rPr>
                  </w:pPr>
                  <w:r>
                    <w:rPr>
                      <w:rFonts w:hint="eastAsia"/>
                      <w:b w:val="0"/>
                      <w:bCs/>
                      <w:lang w:val="en-US"/>
                    </w:rPr>
                    <w:t>0.462t</w:t>
                  </w:r>
                </w:p>
                <w:p w14:paraId="472CB973">
                  <w:pPr>
                    <w:pStyle w:val="57"/>
                    <w:wordWrap w:val="0"/>
                    <w:rPr>
                      <w:b w:val="0"/>
                      <w:bCs/>
                      <w:lang w:val="en-US"/>
                    </w:rPr>
                  </w:pPr>
                  <w:r>
                    <w:rPr>
                      <w:rFonts w:hint="eastAsia"/>
                      <w:b w:val="0"/>
                      <w:bCs/>
                      <w:lang w:val="en-US"/>
                    </w:rPr>
                    <w:t>（氢氧化钠：软水=0.161t:0.301t）</w:t>
                  </w:r>
                </w:p>
              </w:tc>
            </w:tr>
            <w:tr w14:paraId="5BC2D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3" w:type="dxa"/>
                  <w:vAlign w:val="center"/>
                </w:tcPr>
                <w:p w14:paraId="5C916229">
                  <w:pPr>
                    <w:pStyle w:val="57"/>
                    <w:wordWrap w:val="0"/>
                    <w:rPr>
                      <w:b w:val="0"/>
                      <w:bCs/>
                      <w:lang w:val="en-US"/>
                    </w:rPr>
                  </w:pPr>
                  <w:r>
                    <w:rPr>
                      <w:rFonts w:hint="eastAsia"/>
                      <w:b w:val="0"/>
                      <w:bCs/>
                      <w:lang w:val="en-US"/>
                    </w:rPr>
                    <w:t>用水量</w:t>
                  </w:r>
                </w:p>
              </w:tc>
              <w:tc>
                <w:tcPr>
                  <w:tcW w:w="3165" w:type="dxa"/>
                  <w:vAlign w:val="center"/>
                </w:tcPr>
                <w:p w14:paraId="506FA4CC">
                  <w:pPr>
                    <w:pStyle w:val="57"/>
                    <w:wordWrap w:val="0"/>
                    <w:rPr>
                      <w:b w:val="0"/>
                      <w:bCs/>
                      <w:lang w:val="en-US"/>
                    </w:rPr>
                  </w:pPr>
                  <w:r>
                    <w:rPr>
                      <w:rFonts w:hint="eastAsia"/>
                      <w:b w:val="0"/>
                      <w:bCs/>
                      <w:lang w:val="en-US"/>
                    </w:rPr>
                    <w:t>1.76×300=528</w:t>
                  </w:r>
                  <w:r>
                    <w:rPr>
                      <w:b w:val="0"/>
                      <w:bCs/>
                    </w:rPr>
                    <w:t>m³/a</w:t>
                  </w:r>
                </w:p>
              </w:tc>
              <w:tc>
                <w:tcPr>
                  <w:tcW w:w="3693" w:type="dxa"/>
                  <w:vAlign w:val="center"/>
                </w:tcPr>
                <w:p w14:paraId="66120125">
                  <w:pPr>
                    <w:pStyle w:val="57"/>
                    <w:wordWrap w:val="0"/>
                    <w:rPr>
                      <w:b w:val="0"/>
                      <w:bCs/>
                      <w:lang w:val="en-US"/>
                    </w:rPr>
                  </w:pPr>
                  <w:r>
                    <w:rPr>
                      <w:rFonts w:hint="eastAsia"/>
                      <w:b w:val="0"/>
                      <w:bCs/>
                      <w:lang w:val="en-US"/>
                    </w:rPr>
                    <w:t>0.301×300=90.3</w:t>
                  </w:r>
                  <w:r>
                    <w:rPr>
                      <w:b w:val="0"/>
                      <w:bCs/>
                    </w:rPr>
                    <w:t>m³/a</w:t>
                  </w:r>
                </w:p>
              </w:tc>
            </w:tr>
          </w:tbl>
          <w:p w14:paraId="5DA087EA">
            <w:pPr>
              <w:pStyle w:val="111"/>
              <w:wordWrap w:val="0"/>
              <w:ind w:firstLine="482"/>
              <w:rPr>
                <w:rFonts w:hint="default"/>
                <w:b w:val="0"/>
                <w:bCs w:val="0"/>
                <w:color w:val="auto"/>
              </w:rPr>
            </w:pPr>
            <w:r>
              <w:rPr>
                <w:b w:val="0"/>
                <w:bCs w:val="0"/>
                <w:color w:val="auto"/>
              </w:rPr>
              <w:t>则电解清洗溶液配置用软水为2.061m³/d，618.3m³/a。</w:t>
            </w:r>
          </w:p>
          <w:p w14:paraId="728B1696">
            <w:pPr>
              <w:pStyle w:val="111"/>
              <w:wordWrap w:val="0"/>
              <w:rPr>
                <w:rFonts w:hint="default"/>
                <w:b w:val="0"/>
                <w:bCs w:val="0"/>
                <w:color w:val="auto"/>
              </w:rPr>
            </w:pPr>
            <w:r>
              <w:rPr>
                <w:b w:val="0"/>
                <w:bCs w:val="0"/>
                <w:color w:val="auto"/>
              </w:rPr>
              <w:t>②水洗用水</w:t>
            </w:r>
          </w:p>
          <w:p w14:paraId="5CEE7EFD">
            <w:pPr>
              <w:pStyle w:val="111"/>
              <w:wordWrap w:val="0"/>
              <w:rPr>
                <w:rFonts w:hint="default"/>
                <w:b w:val="0"/>
                <w:bCs w:val="0"/>
                <w:color w:val="auto"/>
              </w:rPr>
            </w:pPr>
            <w:r>
              <w:rPr>
                <w:b w:val="0"/>
                <w:bCs w:val="0"/>
                <w:color w:val="auto"/>
              </w:rPr>
              <w:t>水洗采用连续式逆流清洗，水洗过程钨丝依次进入常温水洗槽→超声波清洗槽→热水洗槽，末级热水洗槽作为补水起点实施常流补水，首级常温水洗槽作为排水终点，排水进入水循环系统，经过滤后，再次作为水洗补充水。</w:t>
            </w:r>
          </w:p>
          <w:p w14:paraId="448A8B8C">
            <w:pPr>
              <w:pStyle w:val="111"/>
              <w:wordWrap w:val="0"/>
              <w:rPr>
                <w:rFonts w:hint="default"/>
                <w:b w:val="0"/>
                <w:bCs w:val="0"/>
                <w:color w:val="auto"/>
              </w:rPr>
            </w:pPr>
            <w:r>
              <w:rPr>
                <w:b w:val="0"/>
                <w:bCs w:val="0"/>
                <w:color w:val="auto"/>
              </w:rPr>
              <w:t>根据建设单位工艺设计文件，水洗水采用软水，由于水洗采用逆流漂洗，清洗主要去除钨丝表面的石墨乳，其污染物为SS，多数沉淀均在第一级常温水洗槽中，每天对常温水洗槽中清洗水更换2次，每个常温清洗槽容积为30L，37条生产线，则水洗用水更换量为2.22m</w:t>
            </w:r>
            <w:r>
              <w:rPr>
                <w:b w:val="0"/>
                <w:bCs w:val="0"/>
                <w:color w:val="auto"/>
                <w:vertAlign w:val="superscript"/>
              </w:rPr>
              <w:t>3</w:t>
            </w:r>
            <w:r>
              <w:rPr>
                <w:b w:val="0"/>
                <w:bCs w:val="0"/>
                <w:color w:val="auto"/>
              </w:rPr>
              <w:t>/d，666m</w:t>
            </w:r>
            <w:r>
              <w:rPr>
                <w:b w:val="0"/>
                <w:bCs w:val="0"/>
                <w:color w:val="auto"/>
                <w:vertAlign w:val="superscript"/>
              </w:rPr>
              <w:t>3</w:t>
            </w:r>
            <w:r>
              <w:rPr>
                <w:b w:val="0"/>
                <w:bCs w:val="0"/>
                <w:color w:val="auto"/>
              </w:rPr>
              <w:t>/a。</w:t>
            </w:r>
          </w:p>
          <w:p w14:paraId="12185952">
            <w:pPr>
              <w:pStyle w:val="111"/>
              <w:wordWrap w:val="0"/>
              <w:rPr>
                <w:rFonts w:hint="default"/>
                <w:b w:val="0"/>
                <w:bCs w:val="0"/>
                <w:color w:val="auto"/>
              </w:rPr>
            </w:pPr>
            <w:r>
              <w:rPr>
                <w:b w:val="0"/>
                <w:bCs w:val="0"/>
                <w:color w:val="auto"/>
              </w:rPr>
              <w:t>水洗过程中由于受热及钨丝带入下一道风干工序消耗，根据建设单位工艺设计文件，日损耗量为在线水洗水量的10%，每日补充软水0.611m</w:t>
            </w:r>
            <w:r>
              <w:rPr>
                <w:b w:val="0"/>
                <w:bCs w:val="0"/>
                <w:color w:val="auto"/>
                <w:vertAlign w:val="superscript"/>
              </w:rPr>
              <w:t>3</w:t>
            </w:r>
            <w:r>
              <w:rPr>
                <w:b w:val="0"/>
                <w:bCs w:val="0"/>
                <w:color w:val="auto"/>
              </w:rPr>
              <w:t>/d，183.3m</w:t>
            </w:r>
            <w:r>
              <w:rPr>
                <w:b w:val="0"/>
                <w:bCs w:val="0"/>
                <w:color w:val="auto"/>
                <w:vertAlign w:val="superscript"/>
              </w:rPr>
              <w:t>3</w:t>
            </w:r>
            <w:r>
              <w:rPr>
                <w:b w:val="0"/>
                <w:bCs w:val="0"/>
                <w:color w:val="auto"/>
              </w:rPr>
              <w:t>/a。</w:t>
            </w:r>
          </w:p>
          <w:p w14:paraId="4B276200">
            <w:pPr>
              <w:pStyle w:val="111"/>
              <w:wordWrap w:val="0"/>
              <w:ind w:firstLine="482"/>
              <w:rPr>
                <w:rFonts w:hint="default"/>
                <w:b w:val="0"/>
                <w:bCs w:val="0"/>
                <w:color w:val="auto"/>
              </w:rPr>
            </w:pPr>
            <w:r>
              <w:rPr>
                <w:b w:val="0"/>
                <w:bCs w:val="0"/>
                <w:color w:val="auto"/>
              </w:rPr>
              <w:t>则水洗软水用水为2.831m</w:t>
            </w:r>
            <w:r>
              <w:rPr>
                <w:b w:val="0"/>
                <w:bCs w:val="0"/>
                <w:color w:val="auto"/>
                <w:vertAlign w:val="superscript"/>
              </w:rPr>
              <w:t>3</w:t>
            </w:r>
            <w:r>
              <w:rPr>
                <w:b w:val="0"/>
                <w:bCs w:val="0"/>
                <w:color w:val="auto"/>
              </w:rPr>
              <w:t>/d，849.3m</w:t>
            </w:r>
            <w:r>
              <w:rPr>
                <w:b w:val="0"/>
                <w:bCs w:val="0"/>
                <w:color w:val="auto"/>
                <w:vertAlign w:val="superscript"/>
              </w:rPr>
              <w:t>3</w:t>
            </w:r>
            <w:r>
              <w:rPr>
                <w:b w:val="0"/>
                <w:bCs w:val="0"/>
                <w:color w:val="auto"/>
              </w:rPr>
              <w:t>/a。</w:t>
            </w:r>
          </w:p>
          <w:p w14:paraId="40E77138">
            <w:pPr>
              <w:pStyle w:val="111"/>
              <w:wordWrap w:val="0"/>
              <w:rPr>
                <w:rFonts w:hint="default"/>
                <w:b w:val="0"/>
                <w:bCs w:val="0"/>
                <w:color w:val="auto"/>
              </w:rPr>
            </w:pPr>
            <w:r>
              <w:rPr>
                <w:b w:val="0"/>
                <w:bCs w:val="0"/>
                <w:color w:val="auto"/>
              </w:rPr>
              <w:t>③软水</w:t>
            </w:r>
            <w:r>
              <w:rPr>
                <w:rFonts w:hint="default"/>
                <w:b w:val="0"/>
                <w:bCs w:val="0"/>
                <w:color w:val="auto"/>
              </w:rPr>
              <w:t>制备用水</w:t>
            </w:r>
          </w:p>
          <w:p w14:paraId="09EF354F">
            <w:pPr>
              <w:pStyle w:val="111"/>
              <w:wordWrap w:val="0"/>
              <w:rPr>
                <w:rFonts w:hint="default"/>
                <w:b w:val="0"/>
                <w:bCs w:val="0"/>
                <w:color w:val="auto"/>
              </w:rPr>
            </w:pPr>
            <w:r>
              <w:rPr>
                <w:b w:val="0"/>
                <w:bCs w:val="0"/>
                <w:color w:val="auto"/>
              </w:rPr>
              <w:t>水洗过程使用软水，</w:t>
            </w:r>
            <w:r>
              <w:rPr>
                <w:rFonts w:hint="default"/>
                <w:b w:val="0"/>
                <w:bCs w:val="0"/>
                <w:color w:val="auto"/>
              </w:rPr>
              <w:t>根据</w:t>
            </w:r>
            <w:r>
              <w:rPr>
                <w:b w:val="0"/>
                <w:bCs w:val="0"/>
                <w:color w:val="auto"/>
              </w:rPr>
              <w:t>前文核算，水洗过程中用水量为2.831m</w:t>
            </w:r>
            <w:r>
              <w:rPr>
                <w:b w:val="0"/>
                <w:bCs w:val="0"/>
                <w:color w:val="auto"/>
                <w:vertAlign w:val="superscript"/>
              </w:rPr>
              <w:t>3</w:t>
            </w:r>
            <w:r>
              <w:rPr>
                <w:b w:val="0"/>
                <w:bCs w:val="0"/>
                <w:color w:val="auto"/>
              </w:rPr>
              <w:t>/d，849.3m</w:t>
            </w:r>
            <w:r>
              <w:rPr>
                <w:b w:val="0"/>
                <w:bCs w:val="0"/>
                <w:color w:val="auto"/>
                <w:vertAlign w:val="superscript"/>
              </w:rPr>
              <w:t>3</w:t>
            </w:r>
            <w:r>
              <w:rPr>
                <w:b w:val="0"/>
                <w:bCs w:val="0"/>
                <w:color w:val="auto"/>
              </w:rPr>
              <w:t>/a。软水制备依托现有工程软水设备，软水</w:t>
            </w:r>
            <w:r>
              <w:rPr>
                <w:rFonts w:hint="default"/>
                <w:b w:val="0"/>
                <w:bCs w:val="0"/>
                <w:color w:val="auto"/>
              </w:rPr>
              <w:t>制备率约为</w:t>
            </w:r>
            <w:r>
              <w:rPr>
                <w:b w:val="0"/>
                <w:bCs w:val="0"/>
                <w:color w:val="auto"/>
              </w:rPr>
              <w:t>95</w:t>
            </w:r>
            <w:r>
              <w:rPr>
                <w:rFonts w:hint="default"/>
                <w:b w:val="0"/>
                <w:bCs w:val="0"/>
                <w:color w:val="auto"/>
              </w:rPr>
              <w:t>%</w:t>
            </w:r>
            <w:r>
              <w:rPr>
                <w:b w:val="0"/>
                <w:bCs w:val="0"/>
                <w:color w:val="auto"/>
              </w:rPr>
              <w:t>，</w:t>
            </w:r>
            <w:r>
              <w:rPr>
                <w:rFonts w:hint="default"/>
                <w:b w:val="0"/>
                <w:bCs w:val="0"/>
                <w:color w:val="auto"/>
              </w:rPr>
              <w:t>则</w:t>
            </w:r>
            <w:r>
              <w:rPr>
                <w:b w:val="0"/>
                <w:bCs w:val="0"/>
                <w:color w:val="auto"/>
              </w:rPr>
              <w:t>软水</w:t>
            </w:r>
            <w:r>
              <w:rPr>
                <w:rFonts w:hint="default"/>
                <w:b w:val="0"/>
                <w:bCs w:val="0"/>
                <w:color w:val="auto"/>
              </w:rPr>
              <w:t>制备需新鲜用水量</w:t>
            </w:r>
            <w:r>
              <w:rPr>
                <w:b w:val="0"/>
                <w:bCs w:val="0"/>
                <w:color w:val="auto"/>
              </w:rPr>
              <w:t>2.98m</w:t>
            </w:r>
            <w:r>
              <w:rPr>
                <w:b w:val="0"/>
                <w:bCs w:val="0"/>
                <w:color w:val="auto"/>
                <w:vertAlign w:val="superscript"/>
              </w:rPr>
              <w:t>3</w:t>
            </w:r>
            <w:r>
              <w:rPr>
                <w:b w:val="0"/>
                <w:bCs w:val="0"/>
                <w:color w:val="auto"/>
              </w:rPr>
              <w:t>/d，894</w:t>
            </w:r>
            <w:r>
              <w:rPr>
                <w:rFonts w:hint="default"/>
                <w:b w:val="0"/>
                <w:bCs w:val="0"/>
                <w:color w:val="auto"/>
              </w:rPr>
              <w:t>m</w:t>
            </w:r>
            <w:r>
              <w:rPr>
                <w:rFonts w:hint="default"/>
                <w:b w:val="0"/>
                <w:bCs w:val="0"/>
                <w:color w:val="auto"/>
                <w:vertAlign w:val="superscript"/>
              </w:rPr>
              <w:t>3</w:t>
            </w:r>
            <w:r>
              <w:rPr>
                <w:rFonts w:hint="default"/>
                <w:b w:val="0"/>
                <w:bCs w:val="0"/>
                <w:color w:val="auto"/>
              </w:rPr>
              <w:t>/a。</w:t>
            </w:r>
          </w:p>
          <w:p w14:paraId="38DCC183">
            <w:pPr>
              <w:widowControl/>
              <w:adjustRightInd w:val="0"/>
              <w:snapToGrid w:val="0"/>
              <w:spacing w:line="360" w:lineRule="auto"/>
              <w:ind w:firstLine="480" w:firstLineChars="200"/>
              <w:rPr>
                <w:b w:val="0"/>
                <w:bCs w:val="0"/>
                <w:sz w:val="24"/>
              </w:rPr>
            </w:pPr>
            <w:r>
              <w:rPr>
                <w:rFonts w:hint="eastAsia"/>
                <w:b w:val="0"/>
                <w:bCs w:val="0"/>
                <w:sz w:val="24"/>
              </w:rPr>
              <w:t>④喷淋塔用水</w:t>
            </w:r>
          </w:p>
          <w:p w14:paraId="07F87FB5">
            <w:pPr>
              <w:widowControl/>
              <w:adjustRightInd w:val="0"/>
              <w:snapToGrid w:val="0"/>
              <w:spacing w:line="360" w:lineRule="auto"/>
              <w:ind w:firstLine="480" w:firstLineChars="200"/>
              <w:rPr>
                <w:b w:val="0"/>
                <w:bCs w:val="0"/>
              </w:rPr>
            </w:pPr>
            <w:r>
              <w:rPr>
                <w:rFonts w:hint="eastAsia"/>
                <w:b w:val="0"/>
                <w:bCs w:val="0"/>
                <w:sz w:val="24"/>
              </w:rPr>
              <w:t>项目设置喷淋塔1座，每个喷淋塔均配套1个循环水箱（1m³）。根据企业提供资料，喷淋塔设计循环水量约为1m³/h（有效运行时间为24h/d），类比同类型行业，蒸发损失量约为3%，则项目</w:t>
            </w:r>
            <w:r>
              <w:rPr>
                <w:rFonts w:hint="eastAsia"/>
                <w:b w:val="0"/>
                <w:bCs w:val="0"/>
                <w:sz w:val="24"/>
                <w:lang w:val="en-US" w:eastAsia="zh-CN"/>
              </w:rPr>
              <w:t>喷淋塔</w:t>
            </w:r>
            <w:r>
              <w:rPr>
                <w:rFonts w:hint="eastAsia"/>
                <w:b w:val="0"/>
                <w:bCs w:val="0"/>
                <w:sz w:val="24"/>
              </w:rPr>
              <w:t>补水量0.72m³/d（216m³/a）。</w:t>
            </w:r>
          </w:p>
          <w:p w14:paraId="6347F04F">
            <w:pPr>
              <w:pStyle w:val="111"/>
              <w:wordWrap w:val="0"/>
              <w:ind w:firstLine="482"/>
              <w:rPr>
                <w:rFonts w:hint="default"/>
                <w:b/>
                <w:bCs/>
                <w:color w:val="auto"/>
              </w:rPr>
            </w:pPr>
            <w:r>
              <w:rPr>
                <w:b/>
                <w:bCs/>
                <w:color w:val="auto"/>
              </w:rPr>
              <w:t>（</w:t>
            </w:r>
            <w:r>
              <w:rPr>
                <w:rFonts w:hint="eastAsia"/>
                <w:b/>
                <w:bCs/>
                <w:color w:val="auto"/>
                <w:lang w:val="en-US" w:eastAsia="zh-CN"/>
              </w:rPr>
              <w:t>2</w:t>
            </w:r>
            <w:r>
              <w:rPr>
                <w:b/>
                <w:bCs/>
                <w:color w:val="auto"/>
              </w:rPr>
              <w:t>）排水</w:t>
            </w:r>
          </w:p>
          <w:p w14:paraId="59DAF152">
            <w:pPr>
              <w:pStyle w:val="111"/>
              <w:wordWrap w:val="0"/>
              <w:rPr>
                <w:rFonts w:hint="default"/>
                <w:color w:val="auto"/>
              </w:rPr>
            </w:pPr>
            <w:r>
              <w:rPr>
                <w:color w:val="auto"/>
              </w:rPr>
              <w:t>①电解清洗排水</w:t>
            </w:r>
          </w:p>
          <w:p w14:paraId="3F68C2D6">
            <w:pPr>
              <w:pStyle w:val="111"/>
              <w:wordWrap w:val="0"/>
              <w:rPr>
                <w:rFonts w:hint="default"/>
                <w:color w:val="auto"/>
              </w:rPr>
            </w:pPr>
            <w:r>
              <w:rPr>
                <w:color w:val="auto"/>
              </w:rPr>
              <w:t>根据建设单位工艺设计文件，电解清洗槽设置碱液循环系统，碱液经过滤后循环使用，每天定量排放2m</w:t>
            </w:r>
            <w:r>
              <w:rPr>
                <w:color w:val="auto"/>
                <w:vertAlign w:val="superscript"/>
              </w:rPr>
              <w:t>3</w:t>
            </w:r>
            <w:r>
              <w:rPr>
                <w:rStyle w:val="115"/>
                <w:color w:val="auto"/>
              </w:rPr>
              <w:t>电解清洗废水</w:t>
            </w:r>
            <w:r>
              <w:rPr>
                <w:color w:val="auto"/>
              </w:rPr>
              <w:t>，年排放600m</w:t>
            </w:r>
            <w:r>
              <w:rPr>
                <w:color w:val="auto"/>
                <w:vertAlign w:val="superscript"/>
              </w:rPr>
              <w:t>3</w:t>
            </w:r>
            <w:r>
              <w:rPr>
                <w:color w:val="auto"/>
              </w:rPr>
              <w:t>/a，电解清洗废水经厂区新建一套“钨回收系统”废水处理设施处理，采用“蒸发+冷凝”工艺，蒸干后的钨酸</w:t>
            </w:r>
            <w:r>
              <w:rPr>
                <w:rFonts w:hint="eastAsia"/>
                <w:color w:val="auto"/>
                <w:lang w:val="en-US" w:eastAsia="zh-CN"/>
              </w:rPr>
              <w:t>钠</w:t>
            </w:r>
            <w:r>
              <w:rPr>
                <w:color w:val="auto"/>
              </w:rPr>
              <w:t>作为副产品外售相关物资回收企业，冷凝水</w:t>
            </w:r>
            <w:r>
              <w:rPr>
                <w:rFonts w:hint="eastAsia"/>
                <w:color w:val="auto"/>
              </w:rPr>
              <w:t>排入园区化粪池，最终排入五丈原污水处理厂</w:t>
            </w:r>
            <w:r>
              <w:rPr>
                <w:color w:val="auto"/>
              </w:rPr>
              <w:t>。</w:t>
            </w:r>
          </w:p>
          <w:p w14:paraId="310762BC">
            <w:pPr>
              <w:pStyle w:val="111"/>
              <w:wordWrap w:val="0"/>
              <w:rPr>
                <w:rFonts w:hint="default"/>
                <w:color w:val="auto"/>
              </w:rPr>
            </w:pPr>
            <w:r>
              <w:rPr>
                <w:color w:val="auto"/>
              </w:rPr>
              <w:t>②水洗废水</w:t>
            </w:r>
          </w:p>
          <w:p w14:paraId="03639BB8">
            <w:pPr>
              <w:pStyle w:val="111"/>
              <w:wordWrap w:val="0"/>
              <w:rPr>
                <w:rFonts w:hint="default"/>
                <w:color w:val="auto"/>
              </w:rPr>
            </w:pPr>
            <w:r>
              <w:rPr>
                <w:color w:val="auto"/>
              </w:rPr>
              <w:t>每天对常温水洗槽中清洗水更换2次，每个常温清洗槽容积为30L，37条生产线，则水洗排水量为2.22m</w:t>
            </w:r>
            <w:r>
              <w:rPr>
                <w:color w:val="auto"/>
                <w:vertAlign w:val="superscript"/>
              </w:rPr>
              <w:t>3</w:t>
            </w:r>
            <w:r>
              <w:rPr>
                <w:color w:val="auto"/>
              </w:rPr>
              <w:t>/d，666m</w:t>
            </w:r>
            <w:r>
              <w:rPr>
                <w:color w:val="auto"/>
                <w:vertAlign w:val="superscript"/>
              </w:rPr>
              <w:t>3</w:t>
            </w:r>
            <w:r>
              <w:rPr>
                <w:color w:val="auto"/>
              </w:rPr>
              <w:t>/a。水洗废水用作碱液配置。</w:t>
            </w:r>
          </w:p>
          <w:p w14:paraId="1F599805">
            <w:pPr>
              <w:pStyle w:val="111"/>
              <w:wordWrap w:val="0"/>
              <w:rPr>
                <w:rFonts w:hint="default"/>
                <w:color w:val="auto"/>
              </w:rPr>
            </w:pPr>
            <w:r>
              <w:rPr>
                <w:color w:val="auto"/>
              </w:rPr>
              <w:t>③软水</w:t>
            </w:r>
            <w:r>
              <w:rPr>
                <w:rFonts w:hint="default"/>
                <w:color w:val="auto"/>
              </w:rPr>
              <w:t>制备</w:t>
            </w:r>
            <w:r>
              <w:rPr>
                <w:color w:val="auto"/>
              </w:rPr>
              <w:t>浓水</w:t>
            </w:r>
          </w:p>
          <w:p w14:paraId="4B29B7CE">
            <w:pPr>
              <w:pStyle w:val="111"/>
              <w:wordWrap w:val="0"/>
              <w:rPr>
                <w:rFonts w:hint="default"/>
                <w:color w:val="auto"/>
              </w:rPr>
            </w:pPr>
            <w:r>
              <w:rPr>
                <w:color w:val="auto"/>
              </w:rPr>
              <w:t>软水</w:t>
            </w:r>
            <w:r>
              <w:rPr>
                <w:rFonts w:hint="default"/>
                <w:color w:val="auto"/>
              </w:rPr>
              <w:t>制备率约为</w:t>
            </w:r>
            <w:r>
              <w:rPr>
                <w:color w:val="auto"/>
              </w:rPr>
              <w:t>95</w:t>
            </w:r>
            <w:r>
              <w:rPr>
                <w:rFonts w:hint="default"/>
                <w:color w:val="auto"/>
              </w:rPr>
              <w:t>%</w:t>
            </w:r>
            <w:r>
              <w:rPr>
                <w:color w:val="auto"/>
              </w:rPr>
              <w:t>，</w:t>
            </w:r>
            <w:r>
              <w:rPr>
                <w:rFonts w:hint="default"/>
                <w:color w:val="auto"/>
              </w:rPr>
              <w:t>则</w:t>
            </w:r>
            <w:r>
              <w:rPr>
                <w:color w:val="auto"/>
              </w:rPr>
              <w:t>软水</w:t>
            </w:r>
            <w:r>
              <w:rPr>
                <w:rFonts w:hint="default"/>
                <w:color w:val="auto"/>
              </w:rPr>
              <w:t>制备</w:t>
            </w:r>
            <w:r>
              <w:rPr>
                <w:color w:val="auto"/>
              </w:rPr>
              <w:t>过程中浓水</w:t>
            </w:r>
            <w:r>
              <w:rPr>
                <w:rFonts w:hint="default"/>
                <w:color w:val="auto"/>
              </w:rPr>
              <w:t>量</w:t>
            </w:r>
            <w:r>
              <w:rPr>
                <w:color w:val="auto"/>
              </w:rPr>
              <w:t>为0.276m</w:t>
            </w:r>
            <w:r>
              <w:rPr>
                <w:color w:val="auto"/>
                <w:vertAlign w:val="superscript"/>
              </w:rPr>
              <w:t>3</w:t>
            </w:r>
            <w:r>
              <w:rPr>
                <w:color w:val="auto"/>
              </w:rPr>
              <w:t>/d，82.2</w:t>
            </w:r>
            <w:r>
              <w:rPr>
                <w:rFonts w:hint="default"/>
                <w:color w:val="auto"/>
              </w:rPr>
              <w:t>m</w:t>
            </w:r>
            <w:r>
              <w:rPr>
                <w:rFonts w:hint="default"/>
                <w:color w:val="auto"/>
                <w:vertAlign w:val="superscript"/>
              </w:rPr>
              <w:t>3</w:t>
            </w:r>
            <w:r>
              <w:rPr>
                <w:rFonts w:hint="default"/>
                <w:color w:val="auto"/>
              </w:rPr>
              <w:t>/a</w:t>
            </w:r>
            <w:r>
              <w:rPr>
                <w:color w:val="auto"/>
              </w:rPr>
              <w:t>，作为清净下水排入园区化粪池，最终排入五丈原污水处理厂。</w:t>
            </w:r>
          </w:p>
          <w:p w14:paraId="1A7D3853">
            <w:pPr>
              <w:widowControl/>
              <w:adjustRightInd w:val="0"/>
              <w:snapToGrid w:val="0"/>
              <w:spacing w:line="360" w:lineRule="auto"/>
              <w:ind w:firstLine="480" w:firstLineChars="200"/>
              <w:rPr>
                <w:sz w:val="24"/>
              </w:rPr>
            </w:pPr>
            <w:r>
              <w:rPr>
                <w:rFonts w:hint="eastAsia"/>
                <w:sz w:val="24"/>
              </w:rPr>
              <w:t>④喷淋塔排水</w:t>
            </w:r>
          </w:p>
          <w:p w14:paraId="50E67D80">
            <w:pPr>
              <w:widowControl/>
              <w:adjustRightInd w:val="0"/>
              <w:snapToGrid w:val="0"/>
              <w:spacing w:line="360" w:lineRule="auto"/>
              <w:ind w:firstLine="480" w:firstLineChars="200"/>
            </w:pPr>
            <w:r>
              <w:rPr>
                <w:rFonts w:hint="eastAsia"/>
                <w:sz w:val="24"/>
              </w:rPr>
              <w:t>根据企业提供的资料，喷淋塔用水每2个月整体更换1次，单次更换量为1m³，年更换6次，年更换6m³/a。更换</w:t>
            </w:r>
            <w:r>
              <w:rPr>
                <w:rFonts w:hint="eastAsia"/>
                <w:spacing w:val="-5"/>
                <w:sz w:val="24"/>
              </w:rPr>
              <w:t>废水全部按照危废处置。</w:t>
            </w:r>
          </w:p>
          <w:p w14:paraId="35697DEE">
            <w:pPr>
              <w:pStyle w:val="57"/>
              <w:rPr>
                <w:lang w:val="en-US"/>
              </w:rPr>
            </w:pPr>
            <w:r>
              <w:rPr>
                <w:rFonts w:hint="eastAsia"/>
                <w:lang w:val="en-US" w:eastAsia="zh-CN"/>
              </w:rPr>
              <w:t>表2-8</w:t>
            </w:r>
            <w:r>
              <w:rPr>
                <w:rFonts w:hint="eastAsia"/>
                <w:lang w:val="en-US"/>
              </w:rPr>
              <w:t>项目给排水情况一览表（单位m</w:t>
            </w:r>
            <w:r>
              <w:rPr>
                <w:rFonts w:hint="eastAsia"/>
                <w:vertAlign w:val="superscript"/>
                <w:lang w:val="en-US"/>
              </w:rPr>
              <w:t>3</w:t>
            </w:r>
            <w:r>
              <w:rPr>
                <w:rFonts w:hint="eastAsia"/>
                <w:lang w:val="en-US"/>
              </w:rPr>
              <w:t>/d）</w:t>
            </w:r>
          </w:p>
          <w:tbl>
            <w:tblPr>
              <w:tblStyle w:val="35"/>
              <w:tblW w:w="89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900"/>
              <w:gridCol w:w="775"/>
              <w:gridCol w:w="950"/>
              <w:gridCol w:w="950"/>
              <w:gridCol w:w="1062"/>
              <w:gridCol w:w="2648"/>
            </w:tblGrid>
            <w:tr w14:paraId="46BF1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646" w:type="dxa"/>
                  <w:vMerge w:val="restart"/>
                  <w:shd w:val="clear" w:color="auto" w:fill="auto"/>
                  <w:vAlign w:val="center"/>
                </w:tcPr>
                <w:p w14:paraId="2B10D28D">
                  <w:pPr>
                    <w:pStyle w:val="57"/>
                  </w:pPr>
                  <w:r>
                    <w:rPr>
                      <w:rFonts w:hint="eastAsia"/>
                      <w:lang w:val="en-US"/>
                    </w:rPr>
                    <w:t>用水类别</w:t>
                  </w:r>
                </w:p>
              </w:tc>
              <w:tc>
                <w:tcPr>
                  <w:tcW w:w="900" w:type="dxa"/>
                  <w:vMerge w:val="restart"/>
                  <w:shd w:val="clear" w:color="auto" w:fill="auto"/>
                  <w:vAlign w:val="center"/>
                </w:tcPr>
                <w:p w14:paraId="3F6A42D0">
                  <w:pPr>
                    <w:pStyle w:val="57"/>
                  </w:pPr>
                  <w:r>
                    <w:rPr>
                      <w:rFonts w:hint="eastAsia"/>
                      <w:lang w:val="en-US"/>
                    </w:rPr>
                    <w:t>新鲜水</w:t>
                  </w:r>
                </w:p>
              </w:tc>
              <w:tc>
                <w:tcPr>
                  <w:tcW w:w="775" w:type="dxa"/>
                  <w:vMerge w:val="restart"/>
                  <w:shd w:val="clear" w:color="auto" w:fill="auto"/>
                  <w:vAlign w:val="center"/>
                </w:tcPr>
                <w:p w14:paraId="6A920C5D">
                  <w:pPr>
                    <w:pStyle w:val="57"/>
                  </w:pPr>
                  <w:r>
                    <w:rPr>
                      <w:rFonts w:hint="eastAsia"/>
                      <w:lang w:val="en-US"/>
                    </w:rPr>
                    <w:t>软水</w:t>
                  </w:r>
                </w:p>
              </w:tc>
              <w:tc>
                <w:tcPr>
                  <w:tcW w:w="950" w:type="dxa"/>
                  <w:vMerge w:val="restart"/>
                  <w:shd w:val="clear" w:color="auto" w:fill="auto"/>
                  <w:vAlign w:val="center"/>
                </w:tcPr>
                <w:p w14:paraId="7FF12DB6">
                  <w:pPr>
                    <w:pStyle w:val="57"/>
                  </w:pPr>
                  <w:r>
                    <w:rPr>
                      <w:rFonts w:hint="eastAsia"/>
                      <w:lang w:val="en-US"/>
                    </w:rPr>
                    <w:t>回用水</w:t>
                  </w:r>
                </w:p>
              </w:tc>
              <w:tc>
                <w:tcPr>
                  <w:tcW w:w="950" w:type="dxa"/>
                  <w:vMerge w:val="restart"/>
                  <w:shd w:val="clear" w:color="auto" w:fill="auto"/>
                  <w:vAlign w:val="center"/>
                </w:tcPr>
                <w:p w14:paraId="6273AED4">
                  <w:pPr>
                    <w:pStyle w:val="57"/>
                  </w:pPr>
                  <w:r>
                    <w:rPr>
                      <w:rFonts w:hint="eastAsia"/>
                      <w:lang w:val="en-US"/>
                    </w:rPr>
                    <w:t>损耗量</w:t>
                  </w:r>
                </w:p>
              </w:tc>
              <w:tc>
                <w:tcPr>
                  <w:tcW w:w="1062" w:type="dxa"/>
                  <w:vMerge w:val="restart"/>
                  <w:shd w:val="clear" w:color="auto" w:fill="auto"/>
                  <w:vAlign w:val="center"/>
                </w:tcPr>
                <w:p w14:paraId="0B06E3D8">
                  <w:pPr>
                    <w:pStyle w:val="57"/>
                  </w:pPr>
                  <w:r>
                    <w:rPr>
                      <w:rFonts w:hint="eastAsia"/>
                      <w:lang w:val="en-US"/>
                    </w:rPr>
                    <w:t>排水量</w:t>
                  </w:r>
                </w:p>
              </w:tc>
              <w:tc>
                <w:tcPr>
                  <w:tcW w:w="2648" w:type="dxa"/>
                  <w:vMerge w:val="restart"/>
                  <w:shd w:val="clear" w:color="auto" w:fill="auto"/>
                  <w:vAlign w:val="center"/>
                </w:tcPr>
                <w:p w14:paraId="225F8D5E">
                  <w:pPr>
                    <w:pStyle w:val="57"/>
                  </w:pPr>
                  <w:r>
                    <w:rPr>
                      <w:rFonts w:hint="eastAsia"/>
                      <w:lang w:val="en-US"/>
                    </w:rPr>
                    <w:t>排放去向</w:t>
                  </w:r>
                </w:p>
              </w:tc>
            </w:tr>
            <w:tr w14:paraId="70EE6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646" w:type="dxa"/>
                  <w:vMerge w:val="continue"/>
                  <w:shd w:val="clear" w:color="auto" w:fill="auto"/>
                  <w:vAlign w:val="center"/>
                </w:tcPr>
                <w:p w14:paraId="2BBA246F">
                  <w:pPr>
                    <w:pStyle w:val="57"/>
                    <w:rPr>
                      <w:b w:val="0"/>
                      <w:bCs/>
                    </w:rPr>
                  </w:pPr>
                </w:p>
              </w:tc>
              <w:tc>
                <w:tcPr>
                  <w:tcW w:w="900" w:type="dxa"/>
                  <w:vMerge w:val="continue"/>
                  <w:shd w:val="clear" w:color="auto" w:fill="auto"/>
                  <w:vAlign w:val="center"/>
                </w:tcPr>
                <w:p w14:paraId="1F14744B">
                  <w:pPr>
                    <w:pStyle w:val="57"/>
                    <w:rPr>
                      <w:b w:val="0"/>
                      <w:bCs/>
                    </w:rPr>
                  </w:pPr>
                </w:p>
              </w:tc>
              <w:tc>
                <w:tcPr>
                  <w:tcW w:w="775" w:type="dxa"/>
                  <w:vMerge w:val="continue"/>
                  <w:shd w:val="clear" w:color="auto" w:fill="auto"/>
                  <w:vAlign w:val="center"/>
                </w:tcPr>
                <w:p w14:paraId="6EBE1D09">
                  <w:pPr>
                    <w:pStyle w:val="57"/>
                    <w:rPr>
                      <w:b w:val="0"/>
                      <w:bCs/>
                    </w:rPr>
                  </w:pPr>
                </w:p>
              </w:tc>
              <w:tc>
                <w:tcPr>
                  <w:tcW w:w="950" w:type="dxa"/>
                  <w:vMerge w:val="continue"/>
                  <w:shd w:val="clear" w:color="auto" w:fill="auto"/>
                  <w:vAlign w:val="center"/>
                </w:tcPr>
                <w:p w14:paraId="0E6CE087">
                  <w:pPr>
                    <w:pStyle w:val="57"/>
                    <w:rPr>
                      <w:b w:val="0"/>
                      <w:bCs/>
                    </w:rPr>
                  </w:pPr>
                </w:p>
              </w:tc>
              <w:tc>
                <w:tcPr>
                  <w:tcW w:w="950" w:type="dxa"/>
                  <w:vMerge w:val="continue"/>
                  <w:shd w:val="clear" w:color="auto" w:fill="auto"/>
                  <w:vAlign w:val="center"/>
                </w:tcPr>
                <w:p w14:paraId="01EE5112">
                  <w:pPr>
                    <w:pStyle w:val="57"/>
                    <w:rPr>
                      <w:b w:val="0"/>
                      <w:bCs/>
                    </w:rPr>
                  </w:pPr>
                </w:p>
              </w:tc>
              <w:tc>
                <w:tcPr>
                  <w:tcW w:w="1062" w:type="dxa"/>
                  <w:vMerge w:val="continue"/>
                  <w:shd w:val="clear" w:color="auto" w:fill="auto"/>
                  <w:vAlign w:val="center"/>
                </w:tcPr>
                <w:p w14:paraId="2EA8D198">
                  <w:pPr>
                    <w:pStyle w:val="57"/>
                    <w:rPr>
                      <w:b w:val="0"/>
                      <w:bCs/>
                    </w:rPr>
                  </w:pPr>
                </w:p>
              </w:tc>
              <w:tc>
                <w:tcPr>
                  <w:tcW w:w="2648" w:type="dxa"/>
                  <w:vMerge w:val="continue"/>
                  <w:shd w:val="clear" w:color="auto" w:fill="auto"/>
                  <w:vAlign w:val="center"/>
                </w:tcPr>
                <w:p w14:paraId="1D7D7496">
                  <w:pPr>
                    <w:pStyle w:val="57"/>
                    <w:rPr>
                      <w:b w:val="0"/>
                      <w:bCs/>
                    </w:rPr>
                  </w:pPr>
                </w:p>
              </w:tc>
            </w:tr>
            <w:tr w14:paraId="35269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6" w:type="dxa"/>
                  <w:shd w:val="clear" w:color="auto" w:fill="auto"/>
                  <w:vAlign w:val="center"/>
                </w:tcPr>
                <w:p w14:paraId="0568FF20">
                  <w:pPr>
                    <w:pStyle w:val="57"/>
                    <w:rPr>
                      <w:b w:val="0"/>
                      <w:bCs/>
                      <w:lang w:val="en-US"/>
                    </w:rPr>
                  </w:pPr>
                  <w:r>
                    <w:rPr>
                      <w:rFonts w:hint="eastAsia"/>
                      <w:b w:val="0"/>
                      <w:bCs/>
                      <w:lang w:val="en-US"/>
                    </w:rPr>
                    <w:t>电解清洗用水</w:t>
                  </w:r>
                </w:p>
              </w:tc>
              <w:tc>
                <w:tcPr>
                  <w:tcW w:w="900" w:type="dxa"/>
                  <w:shd w:val="clear" w:color="auto" w:fill="auto"/>
                  <w:vAlign w:val="center"/>
                </w:tcPr>
                <w:p w14:paraId="28103163">
                  <w:pPr>
                    <w:pStyle w:val="57"/>
                    <w:rPr>
                      <w:b w:val="0"/>
                      <w:bCs/>
                      <w:lang w:val="en-US"/>
                    </w:rPr>
                  </w:pPr>
                  <w:r>
                    <w:rPr>
                      <w:rFonts w:hint="eastAsia"/>
                      <w:b w:val="0"/>
                      <w:bCs/>
                      <w:lang w:val="en-US"/>
                    </w:rPr>
                    <w:t>0</w:t>
                  </w:r>
                </w:p>
              </w:tc>
              <w:tc>
                <w:tcPr>
                  <w:tcW w:w="775" w:type="dxa"/>
                  <w:shd w:val="clear" w:color="auto" w:fill="auto"/>
                  <w:vAlign w:val="center"/>
                </w:tcPr>
                <w:p w14:paraId="104376BD">
                  <w:pPr>
                    <w:pStyle w:val="57"/>
                    <w:rPr>
                      <w:b w:val="0"/>
                      <w:bCs/>
                      <w:lang w:val="en-US"/>
                    </w:rPr>
                  </w:pPr>
                  <w:r>
                    <w:rPr>
                      <w:rFonts w:hint="eastAsia"/>
                      <w:b w:val="0"/>
                      <w:bCs/>
                      <w:lang w:val="en-US"/>
                    </w:rPr>
                    <w:t>0</w:t>
                  </w:r>
                </w:p>
              </w:tc>
              <w:tc>
                <w:tcPr>
                  <w:tcW w:w="950" w:type="dxa"/>
                  <w:shd w:val="clear" w:color="auto" w:fill="auto"/>
                  <w:vAlign w:val="center"/>
                </w:tcPr>
                <w:p w14:paraId="072EE6FD">
                  <w:pPr>
                    <w:pStyle w:val="57"/>
                    <w:rPr>
                      <w:b w:val="0"/>
                      <w:bCs/>
                      <w:lang w:val="en-US"/>
                    </w:rPr>
                  </w:pPr>
                  <w:r>
                    <w:rPr>
                      <w:rFonts w:hint="eastAsia"/>
                      <w:b w:val="0"/>
                      <w:bCs/>
                      <w:lang w:val="en-US"/>
                    </w:rPr>
                    <w:t>2.061</w:t>
                  </w:r>
                </w:p>
              </w:tc>
              <w:tc>
                <w:tcPr>
                  <w:tcW w:w="950" w:type="dxa"/>
                  <w:shd w:val="clear" w:color="auto" w:fill="auto"/>
                  <w:vAlign w:val="center"/>
                </w:tcPr>
                <w:p w14:paraId="2D601F79">
                  <w:pPr>
                    <w:pStyle w:val="57"/>
                    <w:rPr>
                      <w:b w:val="0"/>
                      <w:bCs/>
                    </w:rPr>
                  </w:pPr>
                  <w:r>
                    <w:rPr>
                      <w:b w:val="0"/>
                      <w:bCs/>
                      <w:lang w:val="en-US"/>
                    </w:rPr>
                    <w:t>0.411</w:t>
                  </w:r>
                </w:p>
              </w:tc>
              <w:tc>
                <w:tcPr>
                  <w:tcW w:w="1062" w:type="dxa"/>
                  <w:shd w:val="clear" w:color="auto" w:fill="auto"/>
                  <w:vAlign w:val="center"/>
                </w:tcPr>
                <w:p w14:paraId="5BA43B33">
                  <w:pPr>
                    <w:pStyle w:val="57"/>
                    <w:rPr>
                      <w:b w:val="0"/>
                      <w:bCs/>
                    </w:rPr>
                  </w:pPr>
                  <w:r>
                    <w:rPr>
                      <w:b w:val="0"/>
                      <w:bCs/>
                      <w:lang w:val="en-US"/>
                    </w:rPr>
                    <w:t>2</w:t>
                  </w:r>
                </w:p>
              </w:tc>
              <w:tc>
                <w:tcPr>
                  <w:tcW w:w="2648" w:type="dxa"/>
                  <w:shd w:val="clear" w:color="auto" w:fill="auto"/>
                  <w:vAlign w:val="center"/>
                </w:tcPr>
                <w:p w14:paraId="467FEFFD">
                  <w:pPr>
                    <w:pStyle w:val="57"/>
                    <w:rPr>
                      <w:b w:val="0"/>
                      <w:bCs/>
                      <w:lang w:val="en-US"/>
                    </w:rPr>
                  </w:pPr>
                  <w:r>
                    <w:rPr>
                      <w:rFonts w:hint="eastAsia"/>
                      <w:b w:val="0"/>
                      <w:bCs/>
                      <w:lang w:val="en-US"/>
                    </w:rPr>
                    <w:t>经</w:t>
                  </w:r>
                  <w:r>
                    <w:rPr>
                      <w:b w:val="0"/>
                      <w:bCs/>
                      <w:lang w:val="en-US"/>
                    </w:rPr>
                    <w:t>“钨回收系统”废水处理</w:t>
                  </w:r>
                  <w:r>
                    <w:rPr>
                      <w:rFonts w:hint="eastAsia"/>
                      <w:b w:val="0"/>
                      <w:bCs/>
                      <w:lang w:val="en-US"/>
                    </w:rPr>
                    <w:t>后，冷凝水排入园区化粪池，最终进入岐山县五丈原污水处理厂</w:t>
                  </w:r>
                </w:p>
              </w:tc>
            </w:tr>
            <w:tr w14:paraId="33410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6" w:type="dxa"/>
                  <w:shd w:val="clear" w:color="auto" w:fill="auto"/>
                  <w:vAlign w:val="center"/>
                </w:tcPr>
                <w:p w14:paraId="2546CBDB">
                  <w:pPr>
                    <w:pStyle w:val="57"/>
                    <w:rPr>
                      <w:b w:val="0"/>
                      <w:bCs/>
                      <w:lang w:val="en-US"/>
                    </w:rPr>
                  </w:pPr>
                  <w:r>
                    <w:rPr>
                      <w:rFonts w:hint="eastAsia"/>
                      <w:b w:val="0"/>
                      <w:bCs/>
                      <w:lang w:val="en-US"/>
                    </w:rPr>
                    <w:t>水洗用水</w:t>
                  </w:r>
                </w:p>
              </w:tc>
              <w:tc>
                <w:tcPr>
                  <w:tcW w:w="900" w:type="dxa"/>
                  <w:shd w:val="clear" w:color="auto" w:fill="auto"/>
                  <w:vAlign w:val="center"/>
                </w:tcPr>
                <w:p w14:paraId="28074589">
                  <w:pPr>
                    <w:pStyle w:val="57"/>
                    <w:rPr>
                      <w:b w:val="0"/>
                      <w:bCs/>
                      <w:lang w:val="en-US"/>
                    </w:rPr>
                  </w:pPr>
                  <w:r>
                    <w:rPr>
                      <w:rFonts w:hint="eastAsia"/>
                      <w:b w:val="0"/>
                      <w:bCs/>
                      <w:lang w:val="en-US"/>
                    </w:rPr>
                    <w:t>0</w:t>
                  </w:r>
                </w:p>
              </w:tc>
              <w:tc>
                <w:tcPr>
                  <w:tcW w:w="775" w:type="dxa"/>
                  <w:shd w:val="clear" w:color="auto" w:fill="auto"/>
                  <w:vAlign w:val="center"/>
                </w:tcPr>
                <w:p w14:paraId="3A035C5B">
                  <w:pPr>
                    <w:pStyle w:val="57"/>
                    <w:rPr>
                      <w:b w:val="0"/>
                      <w:bCs/>
                    </w:rPr>
                  </w:pPr>
                  <w:r>
                    <w:rPr>
                      <w:b w:val="0"/>
                      <w:bCs/>
                      <w:lang w:val="en-US"/>
                    </w:rPr>
                    <w:t>2.831</w:t>
                  </w:r>
                </w:p>
              </w:tc>
              <w:tc>
                <w:tcPr>
                  <w:tcW w:w="950" w:type="dxa"/>
                  <w:shd w:val="clear" w:color="auto" w:fill="auto"/>
                  <w:vAlign w:val="center"/>
                </w:tcPr>
                <w:p w14:paraId="2DFAE2C1">
                  <w:pPr>
                    <w:pStyle w:val="57"/>
                    <w:rPr>
                      <w:b w:val="0"/>
                      <w:bCs/>
                      <w:lang w:val="en-US"/>
                    </w:rPr>
                  </w:pPr>
                  <w:r>
                    <w:rPr>
                      <w:rFonts w:hint="eastAsia"/>
                      <w:b w:val="0"/>
                      <w:bCs/>
                      <w:lang w:val="en-US"/>
                    </w:rPr>
                    <w:t>0</w:t>
                  </w:r>
                </w:p>
              </w:tc>
              <w:tc>
                <w:tcPr>
                  <w:tcW w:w="950" w:type="dxa"/>
                  <w:shd w:val="clear" w:color="auto" w:fill="auto"/>
                  <w:vAlign w:val="center"/>
                </w:tcPr>
                <w:p w14:paraId="0CD9DBD6">
                  <w:pPr>
                    <w:pStyle w:val="57"/>
                    <w:rPr>
                      <w:b w:val="0"/>
                      <w:bCs/>
                    </w:rPr>
                  </w:pPr>
                  <w:r>
                    <w:rPr>
                      <w:b w:val="0"/>
                      <w:bCs/>
                      <w:lang w:val="en-US"/>
                    </w:rPr>
                    <w:t>0.611</w:t>
                  </w:r>
                </w:p>
              </w:tc>
              <w:tc>
                <w:tcPr>
                  <w:tcW w:w="1062" w:type="dxa"/>
                  <w:shd w:val="clear" w:color="auto" w:fill="auto"/>
                  <w:vAlign w:val="center"/>
                </w:tcPr>
                <w:p w14:paraId="1CD34C6E">
                  <w:pPr>
                    <w:pStyle w:val="57"/>
                    <w:rPr>
                      <w:b w:val="0"/>
                      <w:bCs/>
                    </w:rPr>
                  </w:pPr>
                  <w:r>
                    <w:rPr>
                      <w:b w:val="0"/>
                      <w:bCs/>
                      <w:lang w:val="en-US"/>
                    </w:rPr>
                    <w:t>2.22</w:t>
                  </w:r>
                </w:p>
              </w:tc>
              <w:tc>
                <w:tcPr>
                  <w:tcW w:w="2648" w:type="dxa"/>
                  <w:shd w:val="clear" w:color="auto" w:fill="auto"/>
                  <w:vAlign w:val="center"/>
                </w:tcPr>
                <w:p w14:paraId="7127C776">
                  <w:pPr>
                    <w:pStyle w:val="57"/>
                    <w:rPr>
                      <w:rFonts w:hint="eastAsia" w:eastAsia="宋体"/>
                      <w:b w:val="0"/>
                      <w:bCs/>
                      <w:lang w:val="en-US" w:eastAsia="zh-CN"/>
                    </w:rPr>
                  </w:pPr>
                  <w:r>
                    <w:rPr>
                      <w:rFonts w:hint="eastAsia"/>
                      <w:b w:val="0"/>
                      <w:bCs/>
                      <w:lang w:val="en-US" w:eastAsia="zh-CN"/>
                    </w:rPr>
                    <w:t>其中</w:t>
                  </w:r>
                  <w:r>
                    <w:rPr>
                      <w:rFonts w:hint="eastAsia"/>
                      <w:b w:val="0"/>
                      <w:bCs/>
                      <w:lang w:val="en-US"/>
                    </w:rPr>
                    <w:t>2.061用作电解清洗工段碱液配置</w:t>
                  </w:r>
                  <w:r>
                    <w:rPr>
                      <w:rFonts w:hint="eastAsia"/>
                      <w:b w:val="0"/>
                      <w:bCs/>
                      <w:lang w:val="en-US" w:eastAsia="zh-CN"/>
                    </w:rPr>
                    <w:t>；</w:t>
                  </w:r>
                </w:p>
                <w:p w14:paraId="1E1C0037">
                  <w:pPr>
                    <w:pStyle w:val="57"/>
                    <w:rPr>
                      <w:b w:val="0"/>
                      <w:bCs/>
                      <w:lang w:val="en-US"/>
                    </w:rPr>
                  </w:pPr>
                  <w:r>
                    <w:rPr>
                      <w:rFonts w:hint="eastAsia"/>
                      <w:b w:val="0"/>
                      <w:bCs/>
                      <w:lang w:val="en-US"/>
                    </w:rPr>
                    <w:t>0.159进入</w:t>
                  </w:r>
                  <w:r>
                    <w:rPr>
                      <w:b w:val="0"/>
                      <w:bCs/>
                      <w:lang w:val="en-US"/>
                    </w:rPr>
                    <w:t>“钨回收系统”</w:t>
                  </w:r>
                </w:p>
              </w:tc>
            </w:tr>
            <w:tr w14:paraId="614C8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6" w:type="dxa"/>
                  <w:shd w:val="clear" w:color="auto" w:fill="auto"/>
                  <w:vAlign w:val="center"/>
                </w:tcPr>
                <w:p w14:paraId="6169F9E9">
                  <w:pPr>
                    <w:pStyle w:val="57"/>
                    <w:rPr>
                      <w:b w:val="0"/>
                      <w:bCs/>
                      <w:lang w:val="en-US"/>
                    </w:rPr>
                  </w:pPr>
                  <w:r>
                    <w:rPr>
                      <w:rFonts w:hint="eastAsia"/>
                      <w:b w:val="0"/>
                      <w:bCs/>
                      <w:lang w:val="en-US"/>
                    </w:rPr>
                    <w:t>喷淋塔用水</w:t>
                  </w:r>
                </w:p>
              </w:tc>
              <w:tc>
                <w:tcPr>
                  <w:tcW w:w="900" w:type="dxa"/>
                  <w:shd w:val="clear" w:color="auto" w:fill="auto"/>
                  <w:vAlign w:val="center"/>
                </w:tcPr>
                <w:p w14:paraId="39A54878">
                  <w:pPr>
                    <w:pStyle w:val="57"/>
                    <w:rPr>
                      <w:b w:val="0"/>
                      <w:bCs/>
                      <w:lang w:val="en-US"/>
                    </w:rPr>
                  </w:pPr>
                  <w:r>
                    <w:rPr>
                      <w:rFonts w:hint="eastAsia"/>
                      <w:b w:val="0"/>
                      <w:bCs/>
                      <w:lang w:val="en-US"/>
                    </w:rPr>
                    <w:t>0.74</w:t>
                  </w:r>
                </w:p>
              </w:tc>
              <w:tc>
                <w:tcPr>
                  <w:tcW w:w="775" w:type="dxa"/>
                  <w:shd w:val="clear" w:color="auto" w:fill="auto"/>
                  <w:vAlign w:val="center"/>
                </w:tcPr>
                <w:p w14:paraId="14DA01DB">
                  <w:pPr>
                    <w:pStyle w:val="57"/>
                    <w:rPr>
                      <w:b w:val="0"/>
                      <w:bCs/>
                      <w:lang w:val="en-US"/>
                    </w:rPr>
                  </w:pPr>
                  <w:r>
                    <w:rPr>
                      <w:rFonts w:hint="eastAsia"/>
                      <w:b w:val="0"/>
                      <w:bCs/>
                      <w:lang w:val="en-US"/>
                    </w:rPr>
                    <w:t>0</w:t>
                  </w:r>
                </w:p>
              </w:tc>
              <w:tc>
                <w:tcPr>
                  <w:tcW w:w="950" w:type="dxa"/>
                  <w:shd w:val="clear" w:color="auto" w:fill="auto"/>
                  <w:vAlign w:val="center"/>
                </w:tcPr>
                <w:p w14:paraId="0A85F55F">
                  <w:pPr>
                    <w:pStyle w:val="57"/>
                    <w:rPr>
                      <w:b w:val="0"/>
                      <w:bCs/>
                      <w:lang w:val="en-US"/>
                    </w:rPr>
                  </w:pPr>
                  <w:r>
                    <w:rPr>
                      <w:rFonts w:hint="eastAsia"/>
                      <w:b w:val="0"/>
                      <w:bCs/>
                      <w:lang w:val="en-US"/>
                    </w:rPr>
                    <w:t>0</w:t>
                  </w:r>
                </w:p>
              </w:tc>
              <w:tc>
                <w:tcPr>
                  <w:tcW w:w="950" w:type="dxa"/>
                  <w:shd w:val="clear" w:color="auto" w:fill="auto"/>
                  <w:vAlign w:val="center"/>
                </w:tcPr>
                <w:p w14:paraId="5022E393">
                  <w:pPr>
                    <w:pStyle w:val="57"/>
                    <w:rPr>
                      <w:b w:val="0"/>
                      <w:bCs/>
                      <w:lang w:val="en-US"/>
                    </w:rPr>
                  </w:pPr>
                  <w:r>
                    <w:rPr>
                      <w:rFonts w:hint="eastAsia"/>
                      <w:b w:val="0"/>
                      <w:bCs/>
                      <w:lang w:val="en-US"/>
                    </w:rPr>
                    <w:t>0.72</w:t>
                  </w:r>
                </w:p>
              </w:tc>
              <w:tc>
                <w:tcPr>
                  <w:tcW w:w="1062" w:type="dxa"/>
                  <w:shd w:val="clear" w:color="auto" w:fill="auto"/>
                  <w:vAlign w:val="center"/>
                </w:tcPr>
                <w:p w14:paraId="658162BB">
                  <w:pPr>
                    <w:pStyle w:val="57"/>
                    <w:rPr>
                      <w:b w:val="0"/>
                      <w:bCs/>
                      <w:lang w:val="en-US"/>
                    </w:rPr>
                  </w:pPr>
                  <w:r>
                    <w:rPr>
                      <w:rFonts w:hint="eastAsia"/>
                      <w:b w:val="0"/>
                      <w:bCs/>
                      <w:lang w:val="en-US"/>
                    </w:rPr>
                    <w:t>0.02</w:t>
                  </w:r>
                </w:p>
              </w:tc>
              <w:tc>
                <w:tcPr>
                  <w:tcW w:w="2648" w:type="dxa"/>
                  <w:shd w:val="clear" w:color="auto" w:fill="auto"/>
                  <w:vAlign w:val="center"/>
                </w:tcPr>
                <w:p w14:paraId="2FB58217">
                  <w:pPr>
                    <w:pStyle w:val="57"/>
                    <w:rPr>
                      <w:b w:val="0"/>
                      <w:bCs/>
                      <w:lang w:val="en-US"/>
                    </w:rPr>
                  </w:pPr>
                  <w:r>
                    <w:rPr>
                      <w:rFonts w:hint="eastAsia"/>
                      <w:b w:val="0"/>
                      <w:bCs/>
                      <w:lang w:val="en-US"/>
                    </w:rPr>
                    <w:t>危险废物</w:t>
                  </w:r>
                </w:p>
              </w:tc>
            </w:tr>
            <w:tr w14:paraId="6C580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46" w:type="dxa"/>
                  <w:shd w:val="clear" w:color="auto" w:fill="auto"/>
                  <w:vAlign w:val="center"/>
                </w:tcPr>
                <w:p w14:paraId="4F7A4133">
                  <w:pPr>
                    <w:pStyle w:val="57"/>
                    <w:rPr>
                      <w:b w:val="0"/>
                      <w:bCs/>
                    </w:rPr>
                  </w:pPr>
                  <w:r>
                    <w:rPr>
                      <w:rFonts w:hint="eastAsia"/>
                      <w:b w:val="0"/>
                      <w:bCs/>
                      <w:lang w:val="en-US"/>
                    </w:rPr>
                    <w:t>软水制备用水</w:t>
                  </w:r>
                </w:p>
              </w:tc>
              <w:tc>
                <w:tcPr>
                  <w:tcW w:w="900" w:type="dxa"/>
                  <w:shd w:val="clear" w:color="auto" w:fill="auto"/>
                  <w:vAlign w:val="center"/>
                </w:tcPr>
                <w:p w14:paraId="202412FA">
                  <w:pPr>
                    <w:pStyle w:val="57"/>
                    <w:rPr>
                      <w:b w:val="0"/>
                      <w:bCs/>
                      <w:lang w:val="en-US"/>
                    </w:rPr>
                  </w:pPr>
                  <w:r>
                    <w:rPr>
                      <w:rFonts w:hint="eastAsia"/>
                      <w:b w:val="0"/>
                      <w:bCs/>
                      <w:lang w:val="en-US"/>
                    </w:rPr>
                    <w:t>2.98</w:t>
                  </w:r>
                </w:p>
              </w:tc>
              <w:tc>
                <w:tcPr>
                  <w:tcW w:w="775" w:type="dxa"/>
                  <w:shd w:val="clear" w:color="auto" w:fill="auto"/>
                  <w:vAlign w:val="center"/>
                </w:tcPr>
                <w:p w14:paraId="22F8C54F">
                  <w:pPr>
                    <w:pStyle w:val="57"/>
                    <w:rPr>
                      <w:b w:val="0"/>
                      <w:bCs/>
                    </w:rPr>
                  </w:pPr>
                </w:p>
              </w:tc>
              <w:tc>
                <w:tcPr>
                  <w:tcW w:w="950" w:type="dxa"/>
                  <w:shd w:val="clear" w:color="auto" w:fill="auto"/>
                  <w:vAlign w:val="center"/>
                </w:tcPr>
                <w:p w14:paraId="3CB61BED">
                  <w:pPr>
                    <w:pStyle w:val="57"/>
                    <w:rPr>
                      <w:b w:val="0"/>
                      <w:bCs/>
                    </w:rPr>
                  </w:pPr>
                </w:p>
              </w:tc>
              <w:tc>
                <w:tcPr>
                  <w:tcW w:w="950" w:type="dxa"/>
                  <w:shd w:val="clear" w:color="auto" w:fill="auto"/>
                  <w:vAlign w:val="center"/>
                </w:tcPr>
                <w:p w14:paraId="315A1DBA">
                  <w:pPr>
                    <w:pStyle w:val="57"/>
                    <w:rPr>
                      <w:b w:val="0"/>
                      <w:bCs/>
                    </w:rPr>
                  </w:pPr>
                </w:p>
              </w:tc>
              <w:tc>
                <w:tcPr>
                  <w:tcW w:w="1062" w:type="dxa"/>
                  <w:shd w:val="clear" w:color="auto" w:fill="auto"/>
                  <w:vAlign w:val="center"/>
                </w:tcPr>
                <w:p w14:paraId="69333F1C">
                  <w:pPr>
                    <w:pStyle w:val="57"/>
                    <w:rPr>
                      <w:b w:val="0"/>
                      <w:bCs/>
                      <w:lang w:val="en-US"/>
                    </w:rPr>
                  </w:pPr>
                  <w:r>
                    <w:rPr>
                      <w:rFonts w:hint="eastAsia"/>
                      <w:b w:val="0"/>
                      <w:bCs/>
                      <w:lang w:val="en-US"/>
                    </w:rPr>
                    <w:t>0.149</w:t>
                  </w:r>
                </w:p>
              </w:tc>
              <w:tc>
                <w:tcPr>
                  <w:tcW w:w="2648" w:type="dxa"/>
                  <w:shd w:val="clear" w:color="auto" w:fill="auto"/>
                  <w:vAlign w:val="center"/>
                </w:tcPr>
                <w:p w14:paraId="6E090D81">
                  <w:pPr>
                    <w:pStyle w:val="57"/>
                    <w:rPr>
                      <w:b w:val="0"/>
                      <w:bCs/>
                      <w:lang w:val="en-US"/>
                    </w:rPr>
                  </w:pPr>
                  <w:r>
                    <w:rPr>
                      <w:rFonts w:hint="eastAsia"/>
                      <w:b w:val="0"/>
                      <w:bCs/>
                      <w:lang w:val="en-US"/>
                    </w:rPr>
                    <w:t>排入园区化粪池，最终进入岐山县五丈原污水处理厂</w:t>
                  </w:r>
                </w:p>
              </w:tc>
            </w:tr>
          </w:tbl>
          <w:p w14:paraId="077CC6CF">
            <w:pPr>
              <w:pStyle w:val="57"/>
            </w:pPr>
          </w:p>
          <w:p w14:paraId="58E3A121">
            <w:pPr>
              <w:pStyle w:val="57"/>
              <w:wordWrap w:val="0"/>
              <w:rPr>
                <w:lang w:val="en-US"/>
              </w:rPr>
            </w:pPr>
            <w:r>
              <w:rPr>
                <w:rFonts w:hint="eastAsia"/>
                <w:bCs/>
              </w:rPr>
              <w:drawing>
                <wp:inline distT="0" distB="0" distL="114300" distR="114300">
                  <wp:extent cx="5527675" cy="3951605"/>
                  <wp:effectExtent l="0" t="0" r="15875" b="10795"/>
                  <wp:docPr id="127" name="F360BE8B-6686-4F3D-AEAF-501FE73E4058-1" descr="C:/Users/Administrator/AppData/Local/Temp/美畅水平衡(12).png美畅水平衡(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F360BE8B-6686-4F3D-AEAF-501FE73E4058-1" descr="C:/Users/Administrator/AppData/Local/Temp/美畅水平衡(12).png美畅水平衡(12)"/>
                          <pic:cNvPicPr>
                            <a:picLocks noChangeAspect="1"/>
                          </pic:cNvPicPr>
                        </pic:nvPicPr>
                        <pic:blipFill>
                          <a:blip r:embed="rId18"/>
                          <a:stretch>
                            <a:fillRect/>
                          </a:stretch>
                        </pic:blipFill>
                        <pic:spPr>
                          <a:xfrm>
                            <a:off x="0" y="0"/>
                            <a:ext cx="5527675" cy="3951605"/>
                          </a:xfrm>
                          <a:prstGeom prst="rect">
                            <a:avLst/>
                          </a:prstGeom>
                        </pic:spPr>
                      </pic:pic>
                    </a:graphicData>
                  </a:graphic>
                </wp:inline>
              </w:drawing>
            </w:r>
          </w:p>
          <w:p w14:paraId="2FA95617">
            <w:pPr>
              <w:pStyle w:val="57"/>
              <w:wordWrap w:val="0"/>
              <w:rPr>
                <w:lang w:val="en-US"/>
              </w:rPr>
            </w:pPr>
            <w:r>
              <w:rPr>
                <w:rFonts w:hint="eastAsia"/>
                <w:lang w:val="en-US"/>
              </w:rPr>
              <w:t>图2-1项目水平衡图（m</w:t>
            </w:r>
            <w:r>
              <w:rPr>
                <w:rFonts w:hint="eastAsia"/>
                <w:vertAlign w:val="superscript"/>
                <w:lang w:val="en-US"/>
              </w:rPr>
              <w:t>3</w:t>
            </w:r>
            <w:r>
              <w:rPr>
                <w:rFonts w:hint="eastAsia"/>
                <w:lang w:val="en-US"/>
              </w:rPr>
              <w:t>/d）</w:t>
            </w:r>
          </w:p>
          <w:p w14:paraId="0E5887CD">
            <w:pPr>
              <w:pStyle w:val="111"/>
              <w:bidi w:val="0"/>
              <w:rPr>
                <w:rFonts w:hint="default"/>
                <w:b/>
                <w:bCs/>
              </w:rPr>
            </w:pPr>
            <w:bookmarkStart w:id="11" w:name="_Toc454484867"/>
            <w:bookmarkStart w:id="12" w:name="_Toc454484486"/>
            <w:r>
              <w:rPr>
                <w:rFonts w:hint="eastAsia"/>
                <w:b/>
                <w:bCs/>
                <w:lang w:eastAsia="zh-CN"/>
              </w:rPr>
              <w:t>8.</w:t>
            </w:r>
            <w:r>
              <w:rPr>
                <w:b/>
                <w:bCs/>
              </w:rPr>
              <w:t>劳动定员</w:t>
            </w:r>
            <w:bookmarkEnd w:id="11"/>
            <w:bookmarkEnd w:id="12"/>
            <w:r>
              <w:rPr>
                <w:b/>
                <w:bCs/>
              </w:rPr>
              <w:t>与工作制度</w:t>
            </w:r>
          </w:p>
          <w:p w14:paraId="755E75F9">
            <w:pPr>
              <w:pStyle w:val="111"/>
              <w:wordWrap w:val="0"/>
              <w:rPr>
                <w:rFonts w:hint="default"/>
                <w:bCs/>
                <w:color w:val="auto"/>
                <w:szCs w:val="21"/>
              </w:rPr>
            </w:pPr>
            <w:r>
              <w:rPr>
                <w:color w:val="auto"/>
              </w:rPr>
              <w:t>劳动</w:t>
            </w:r>
            <w:r>
              <w:rPr>
                <w:bCs/>
                <w:color w:val="auto"/>
                <w:szCs w:val="21"/>
              </w:rPr>
              <w:t>定员：本项目不新增劳动定员，所有员工厂内调配。</w:t>
            </w:r>
          </w:p>
          <w:p w14:paraId="43E0BBA1">
            <w:pPr>
              <w:wordWrap w:val="0"/>
              <w:adjustRightInd w:val="0"/>
              <w:snapToGrid w:val="0"/>
              <w:spacing w:line="360" w:lineRule="auto"/>
              <w:ind w:firstLine="480" w:firstLineChars="200"/>
              <w:rPr>
                <w:rFonts w:cs="宋体"/>
                <w:bCs/>
                <w:sz w:val="24"/>
                <w:szCs w:val="21"/>
              </w:rPr>
            </w:pPr>
            <w:r>
              <w:rPr>
                <w:rFonts w:hint="eastAsia" w:cs="宋体"/>
                <w:bCs/>
                <w:sz w:val="24"/>
                <w:szCs w:val="21"/>
              </w:rPr>
              <w:t>工作制度：项目年工作300天，每天2班制，每班12小时。</w:t>
            </w:r>
          </w:p>
          <w:p w14:paraId="1F8AF82A">
            <w:pPr>
              <w:pStyle w:val="111"/>
              <w:bidi w:val="0"/>
              <w:rPr>
                <w:b/>
                <w:bCs/>
              </w:rPr>
            </w:pPr>
            <w:bookmarkStart w:id="13" w:name="_Toc8176"/>
            <w:r>
              <w:rPr>
                <w:rFonts w:hint="eastAsia"/>
                <w:b/>
                <w:bCs/>
                <w:lang w:eastAsia="zh-CN"/>
              </w:rPr>
              <w:t>9.</w:t>
            </w:r>
            <w:r>
              <w:rPr>
                <w:b/>
                <w:bCs/>
              </w:rPr>
              <w:t>项目平面布置合理性</w:t>
            </w:r>
            <w:bookmarkEnd w:id="13"/>
          </w:p>
          <w:p w14:paraId="315F3395">
            <w:pPr>
              <w:keepNext/>
              <w:keepLines/>
              <w:wordWrap w:val="0"/>
              <w:adjustRightInd w:val="0"/>
              <w:snapToGrid w:val="0"/>
              <w:spacing w:line="360" w:lineRule="auto"/>
              <w:ind w:firstLine="480" w:firstLineChars="200"/>
              <w:jc w:val="left"/>
              <w:outlineLvl w:val="1"/>
              <w:rPr>
                <w:rFonts w:cs="宋体"/>
                <w:sz w:val="24"/>
              </w:rPr>
            </w:pPr>
            <w:bookmarkStart w:id="14" w:name="_Toc3216"/>
            <w:r>
              <w:rPr>
                <w:rFonts w:cs="宋体"/>
                <w:sz w:val="24"/>
              </w:rPr>
              <w:t>总平面布置原则：结合场地现状条件及其周边环境情况，合理布置</w:t>
            </w:r>
            <w:r>
              <w:rPr>
                <w:rFonts w:hint="eastAsia" w:cs="宋体"/>
                <w:sz w:val="24"/>
                <w:lang w:eastAsia="zh-CN"/>
              </w:rPr>
              <w:t>建筑</w:t>
            </w:r>
            <w:r>
              <w:rPr>
                <w:rFonts w:cs="宋体"/>
                <w:sz w:val="24"/>
              </w:rPr>
              <w:t>、构筑物，使工艺流程合理，人货流畅通；符合防火、安全、卫生等有关规范的要求。</w:t>
            </w:r>
            <w:bookmarkEnd w:id="14"/>
          </w:p>
          <w:p w14:paraId="44D41FB9">
            <w:pPr>
              <w:keepNext/>
              <w:keepLines/>
              <w:wordWrap w:val="0"/>
              <w:adjustRightInd w:val="0"/>
              <w:snapToGrid w:val="0"/>
              <w:spacing w:line="360" w:lineRule="auto"/>
              <w:ind w:firstLine="480" w:firstLineChars="200"/>
              <w:jc w:val="left"/>
              <w:outlineLvl w:val="1"/>
              <w:rPr>
                <w:rFonts w:hint="eastAsia" w:cs="宋体"/>
                <w:sz w:val="24"/>
                <w:lang w:eastAsia="zh-CN"/>
              </w:rPr>
            </w:pPr>
            <w:bookmarkStart w:id="15" w:name="_Toc23276"/>
            <w:r>
              <w:rPr>
                <w:rFonts w:cs="宋体"/>
                <w:sz w:val="24"/>
              </w:rPr>
              <w:t>本项目</w:t>
            </w:r>
            <w:r>
              <w:rPr>
                <w:rFonts w:hint="eastAsia" w:cs="宋体"/>
                <w:sz w:val="24"/>
              </w:rPr>
              <w:t>依托</w:t>
            </w:r>
            <w:r>
              <w:rPr>
                <w:rFonts w:cs="宋体"/>
                <w:sz w:val="24"/>
              </w:rPr>
              <w:t>陕西省蔡家坡经开区南环路百万平方米标</w:t>
            </w:r>
            <w:r>
              <w:rPr>
                <w:rFonts w:hint="eastAsia" w:cs="宋体"/>
                <w:sz w:val="24"/>
              </w:rPr>
              <w:t>准</w:t>
            </w:r>
            <w:r>
              <w:rPr>
                <w:rFonts w:cs="宋体"/>
                <w:sz w:val="24"/>
              </w:rPr>
              <w:t>化厂房。项目布置严格遵循安全、卫生等有关规定，功能分区明确合理。项目平面布置基本合理</w:t>
            </w:r>
            <w:r>
              <w:rPr>
                <w:rFonts w:hint="eastAsia" w:cs="宋体"/>
                <w:sz w:val="24"/>
                <w:lang w:eastAsia="zh-CN"/>
              </w:rPr>
              <w:t>。</w:t>
            </w:r>
          </w:p>
          <w:p w14:paraId="21DC890E">
            <w:pPr>
              <w:keepNext/>
              <w:keepLines/>
              <w:wordWrap w:val="0"/>
              <w:adjustRightInd w:val="0"/>
              <w:snapToGrid w:val="0"/>
              <w:spacing w:line="360" w:lineRule="auto"/>
              <w:ind w:firstLine="480" w:firstLineChars="200"/>
              <w:jc w:val="left"/>
              <w:outlineLvl w:val="1"/>
              <w:rPr>
                <w:rFonts w:hint="eastAsia" w:cs="宋体"/>
                <w:sz w:val="24"/>
                <w:lang w:eastAsia="zh-CN"/>
              </w:rPr>
            </w:pPr>
          </w:p>
          <w:p w14:paraId="3D41DB55">
            <w:pPr>
              <w:keepNext/>
              <w:keepLines/>
              <w:wordWrap w:val="0"/>
              <w:adjustRightInd w:val="0"/>
              <w:snapToGrid w:val="0"/>
              <w:spacing w:line="360" w:lineRule="auto"/>
              <w:ind w:firstLine="480" w:firstLineChars="200"/>
              <w:jc w:val="left"/>
              <w:outlineLvl w:val="1"/>
              <w:rPr>
                <w:rFonts w:hint="eastAsia" w:cs="宋体"/>
                <w:sz w:val="24"/>
                <w:lang w:eastAsia="zh-CN"/>
              </w:rPr>
            </w:pPr>
          </w:p>
          <w:p w14:paraId="7ACC1C50">
            <w:pPr>
              <w:keepNext/>
              <w:keepLines/>
              <w:wordWrap w:val="0"/>
              <w:adjustRightInd w:val="0"/>
              <w:snapToGrid w:val="0"/>
              <w:spacing w:line="360" w:lineRule="auto"/>
              <w:ind w:firstLine="480" w:firstLineChars="200"/>
              <w:jc w:val="left"/>
              <w:outlineLvl w:val="1"/>
              <w:rPr>
                <w:rFonts w:hint="eastAsia" w:cs="宋体"/>
                <w:sz w:val="24"/>
                <w:lang w:eastAsia="zh-CN"/>
              </w:rPr>
            </w:pPr>
          </w:p>
          <w:p w14:paraId="76EB733F">
            <w:pPr>
              <w:keepNext/>
              <w:keepLines/>
              <w:wordWrap w:val="0"/>
              <w:adjustRightInd w:val="0"/>
              <w:snapToGrid w:val="0"/>
              <w:spacing w:line="360" w:lineRule="auto"/>
              <w:ind w:firstLine="480" w:firstLineChars="200"/>
              <w:jc w:val="left"/>
              <w:outlineLvl w:val="1"/>
              <w:rPr>
                <w:rFonts w:hint="eastAsia" w:cs="宋体"/>
                <w:sz w:val="24"/>
                <w:lang w:eastAsia="zh-CN"/>
              </w:rPr>
            </w:pPr>
          </w:p>
          <w:p w14:paraId="784FA90C">
            <w:pPr>
              <w:keepNext/>
              <w:keepLines/>
              <w:wordWrap w:val="0"/>
              <w:adjustRightInd w:val="0"/>
              <w:snapToGrid w:val="0"/>
              <w:spacing w:line="360" w:lineRule="auto"/>
              <w:ind w:firstLine="480" w:firstLineChars="200"/>
              <w:jc w:val="left"/>
              <w:outlineLvl w:val="1"/>
              <w:rPr>
                <w:rFonts w:hint="eastAsia" w:cs="宋体"/>
                <w:sz w:val="24"/>
                <w:lang w:eastAsia="zh-CN"/>
              </w:rPr>
            </w:pPr>
          </w:p>
          <w:p w14:paraId="5E1431EB">
            <w:pPr>
              <w:keepNext/>
              <w:keepLines/>
              <w:wordWrap w:val="0"/>
              <w:adjustRightInd w:val="0"/>
              <w:snapToGrid w:val="0"/>
              <w:spacing w:line="360" w:lineRule="auto"/>
              <w:ind w:firstLine="480" w:firstLineChars="200"/>
              <w:jc w:val="left"/>
              <w:outlineLvl w:val="1"/>
              <w:rPr>
                <w:rFonts w:hint="eastAsia" w:cs="宋体"/>
                <w:sz w:val="24"/>
                <w:lang w:eastAsia="zh-CN"/>
              </w:rPr>
            </w:pPr>
          </w:p>
          <w:bookmarkEnd w:id="15"/>
          <w:p w14:paraId="2C4AAA2E">
            <w:pPr>
              <w:keepNext/>
              <w:keepLines/>
              <w:wordWrap w:val="0"/>
              <w:adjustRightInd w:val="0"/>
              <w:snapToGrid w:val="0"/>
              <w:spacing w:line="360" w:lineRule="auto"/>
              <w:ind w:firstLine="422" w:firstLineChars="200"/>
              <w:jc w:val="left"/>
              <w:outlineLvl w:val="1"/>
              <w:rPr>
                <w:b/>
              </w:rPr>
            </w:pPr>
          </w:p>
        </w:tc>
      </w:tr>
      <w:tr w14:paraId="05103E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5" w:type="dxa"/>
            <w:vAlign w:val="center"/>
          </w:tcPr>
          <w:p w14:paraId="19842B57">
            <w:pPr>
              <w:wordWrap w:val="0"/>
              <w:spacing w:line="360" w:lineRule="auto"/>
              <w:jc w:val="left"/>
              <w:rPr>
                <w:rFonts w:cs="宋体"/>
                <w:sz w:val="24"/>
              </w:rPr>
            </w:pPr>
            <w:r>
              <w:rPr>
                <w:rFonts w:hint="eastAsia" w:cs="宋体"/>
                <w:b/>
                <w:bCs/>
                <w:sz w:val="24"/>
              </w:rPr>
              <w:t>工艺流程和产排污环节</w:t>
            </w:r>
          </w:p>
        </w:tc>
        <w:tc>
          <w:tcPr>
            <w:tcW w:w="8249" w:type="dxa"/>
          </w:tcPr>
          <w:p w14:paraId="7E7F673E">
            <w:pPr>
              <w:pStyle w:val="57"/>
              <w:wordWrap w:val="0"/>
            </w:pPr>
            <w:r>
              <w:rPr>
                <w:rFonts w:hint="eastAsia"/>
              </w:rPr>
              <w:drawing>
                <wp:inline distT="0" distB="0" distL="114300" distR="114300">
                  <wp:extent cx="3963035" cy="4179570"/>
                  <wp:effectExtent l="0" t="0" r="18415" b="11430"/>
                  <wp:docPr id="142" name="F360BE8B-6686-4F3D-AEAF-501FE73E4058-2" descr="C:/Users/Administrator/AppData/Local/Temp/超强超细钨丝新材料生产项目生产工艺流程图 - 12(5).png超强超细钨丝新材料生产项目生产工艺流程图 -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F360BE8B-6686-4F3D-AEAF-501FE73E4058-2" descr="C:/Users/Administrator/AppData/Local/Temp/超强超细钨丝新材料生产项目生产工艺流程图 - 12(5).png超强超细钨丝新材料生产项目生产工艺流程图 - 12(5)"/>
                          <pic:cNvPicPr>
                            <a:picLocks noChangeAspect="1"/>
                          </pic:cNvPicPr>
                        </pic:nvPicPr>
                        <pic:blipFill>
                          <a:blip r:embed="rId19"/>
                          <a:srcRect t="255"/>
                          <a:stretch>
                            <a:fillRect/>
                          </a:stretch>
                        </pic:blipFill>
                        <pic:spPr>
                          <a:xfrm>
                            <a:off x="0" y="0"/>
                            <a:ext cx="3963035" cy="4179570"/>
                          </a:xfrm>
                          <a:prstGeom prst="rect">
                            <a:avLst/>
                          </a:prstGeom>
                        </pic:spPr>
                      </pic:pic>
                    </a:graphicData>
                  </a:graphic>
                </wp:inline>
              </w:drawing>
            </w:r>
          </w:p>
          <w:p w14:paraId="78A8B007">
            <w:pPr>
              <w:pStyle w:val="57"/>
              <w:wordWrap w:val="0"/>
              <w:rPr>
                <w:lang w:val="en-US"/>
              </w:rPr>
            </w:pPr>
            <w:r>
              <w:rPr>
                <w:rFonts w:hint="eastAsia"/>
                <w:lang w:val="en-US"/>
              </w:rPr>
              <w:t>图2-2工艺流程和产排污环节图</w:t>
            </w:r>
          </w:p>
          <w:p w14:paraId="7A75FC25">
            <w:pPr>
              <w:pStyle w:val="111"/>
              <w:wordWrap w:val="0"/>
              <w:ind w:firstLine="482"/>
              <w:rPr>
                <w:rFonts w:hint="default"/>
                <w:b/>
                <w:bCs/>
                <w:color w:val="auto"/>
              </w:rPr>
            </w:pPr>
            <w:r>
              <w:rPr>
                <w:b/>
                <w:bCs/>
                <w:color w:val="auto"/>
              </w:rPr>
              <w:t>工艺简介</w:t>
            </w:r>
          </w:p>
          <w:p w14:paraId="1B56FE2C">
            <w:pPr>
              <w:pStyle w:val="111"/>
              <w:wordWrap w:val="0"/>
              <w:rPr>
                <w:rFonts w:hint="default"/>
                <w:color w:val="auto"/>
              </w:rPr>
            </w:pPr>
            <w:r>
              <w:rPr>
                <w:color w:val="auto"/>
              </w:rPr>
              <w:t>本次扩建项目主要是对现有项目产品进行延伸加工。现有项目产品为钨丝刚线，其在压延生产过程中需用到石墨乳进行润滑，导致其产品上沾染石墨乳，呈黑色状，本次扩建项目新增洗白工序，主要去除钨丝表面上道工艺留下的石墨乳层。</w:t>
            </w:r>
          </w:p>
          <w:p w14:paraId="736192A8">
            <w:pPr>
              <w:pStyle w:val="111"/>
              <w:wordWrap w:val="0"/>
              <w:rPr>
                <w:rFonts w:hint="default"/>
                <w:color w:val="auto"/>
              </w:rPr>
            </w:pPr>
            <w:r>
              <w:rPr>
                <w:color w:val="auto"/>
              </w:rPr>
              <w:t>生产线均为建设单位自主设计成套生产线，主要是将钨丝通过复绕机从线辊上按一定的速度和张力放出，依次通过氢氧化钠电解清洗、水洗擦拭、超声热水洗、风干等一系列工艺槽，最后缠绕在收料端的收线轮上。</w:t>
            </w:r>
          </w:p>
          <w:p w14:paraId="01442B79">
            <w:pPr>
              <w:pStyle w:val="111"/>
              <w:wordWrap w:val="0"/>
              <w:ind w:firstLine="482"/>
              <w:rPr>
                <w:rFonts w:hint="default"/>
                <w:b/>
                <w:bCs/>
                <w:color w:val="auto"/>
              </w:rPr>
            </w:pPr>
            <w:r>
              <w:rPr>
                <w:b/>
                <w:bCs/>
                <w:color w:val="auto"/>
              </w:rPr>
              <w:t>1.电解清洗</w:t>
            </w:r>
          </w:p>
          <w:p w14:paraId="2F447EED">
            <w:pPr>
              <w:pStyle w:val="111"/>
              <w:wordWrap w:val="0"/>
              <w:rPr>
                <w:rFonts w:hint="default"/>
                <w:color w:val="auto"/>
              </w:rPr>
            </w:pPr>
            <w:r>
              <w:rPr>
                <w:color w:val="auto"/>
              </w:rPr>
              <w:t>钨丝钢线首先通过电解清洗槽，其电解清洗原理为：电解清洗槽</w:t>
            </w:r>
            <w:r>
              <w:rPr>
                <w:rFonts w:hint="default"/>
                <w:color w:val="auto"/>
              </w:rPr>
              <w:t>采用不锈钢作为阴极、NaOH作为电解液，钨丝作为阳极。通直流电后，钨丝表面发生氧化反应，金属钨失去电子被氧化成三氧化钨（WO₃），WO₃进一步与碱液反应生成可溶性的钨酸盐，从而溶解去除，使钨丝表面变得光滑洁净。同时，电解时在阴极产生的大量氢气或氧气气泡，对钨丝表面产生强烈的机械冲刷作用，能有效撕裂和剥离附着的石墨乳等有机物。</w:t>
            </w:r>
          </w:p>
          <w:p w14:paraId="71C605E4">
            <w:pPr>
              <w:pStyle w:val="111"/>
              <w:wordWrap w:val="0"/>
              <w:rPr>
                <w:rFonts w:hint="default"/>
                <w:color w:val="auto"/>
              </w:rPr>
            </w:pPr>
            <w:r>
              <w:rPr>
                <w:rFonts w:hint="default"/>
                <w:color w:val="auto"/>
              </w:rPr>
              <w:t>电极反应</w:t>
            </w:r>
          </w:p>
          <w:p w14:paraId="54DCDF38">
            <w:pPr>
              <w:pStyle w:val="111"/>
              <w:wordWrap w:val="0"/>
              <w:rPr>
                <w:rFonts w:hint="default"/>
                <w:color w:val="auto"/>
              </w:rPr>
            </w:pPr>
            <w:r>
              <w:rPr>
                <w:rFonts w:hint="default"/>
                <w:color w:val="auto"/>
              </w:rPr>
              <w:t>阴极：</w:t>
            </w:r>
            <w:r>
              <w:rPr>
                <w:rFonts w:ascii="Segoe UI" w:hAnsi="Segoe UI" w:eastAsia="Segoe UI" w:cs="Segoe UI"/>
                <w:color w:val="auto"/>
                <w:spacing w:val="-2"/>
                <w:shd w:val="clear" w:color="auto" w:fill="FFFFFF"/>
              </w:rPr>
              <w:t>2H₂O + 2e⁻ → H₂↑ + 2OH⁻</w:t>
            </w:r>
          </w:p>
          <w:p w14:paraId="386C526B">
            <w:pPr>
              <w:pStyle w:val="111"/>
              <w:wordWrap w:val="0"/>
              <w:rPr>
                <w:rFonts w:hint="default" w:ascii="Segoe UI" w:hAnsi="Segoe UI" w:eastAsia="Segoe UI" w:cs="Segoe UI"/>
                <w:color w:val="auto"/>
                <w:spacing w:val="-2"/>
                <w:shd w:val="clear" w:color="auto" w:fill="FFFFFF"/>
              </w:rPr>
            </w:pPr>
            <w:r>
              <w:rPr>
                <w:rFonts w:hint="default"/>
                <w:color w:val="auto"/>
              </w:rPr>
              <w:t>阳极：</w:t>
            </w:r>
            <w:r>
              <w:rPr>
                <w:rFonts w:ascii="Segoe UI" w:hAnsi="Segoe UI" w:eastAsia="Segoe UI" w:cs="Segoe UI"/>
                <w:color w:val="auto"/>
                <w:spacing w:val="-2"/>
                <w:shd w:val="clear" w:color="auto" w:fill="FFFFFF"/>
              </w:rPr>
              <w:t>4OH⁻ → 2H₂O + O₂↑ + 4e⁻</w:t>
            </w:r>
          </w:p>
          <w:p w14:paraId="2EA29C01">
            <w:pPr>
              <w:pStyle w:val="111"/>
              <w:wordWrap w:val="0"/>
              <w:ind w:left="840" w:leftChars="400" w:firstLine="472"/>
              <w:rPr>
                <w:rFonts w:hint="default" w:ascii="Segoe UI" w:hAnsi="Segoe UI" w:eastAsia="Segoe UI" w:cs="Segoe UI"/>
                <w:color w:val="auto"/>
                <w:spacing w:val="-2"/>
                <w:shd w:val="clear" w:color="auto" w:fill="FFFFFF"/>
              </w:rPr>
            </w:pPr>
            <w:r>
              <w:rPr>
                <w:rFonts w:ascii="Segoe UI" w:hAnsi="Segoe UI" w:eastAsia="Segoe UI" w:cs="Segoe UI"/>
                <w:color w:val="auto"/>
                <w:spacing w:val="-2"/>
                <w:shd w:val="clear" w:color="auto" w:fill="FFFFFF"/>
              </w:rPr>
              <w:t>WO₃ + 2OH⁻ → WO₄²⁻ + H₂O</w:t>
            </w:r>
          </w:p>
          <w:p w14:paraId="2F4790A1">
            <w:pPr>
              <w:pStyle w:val="111"/>
              <w:wordWrap w:val="0"/>
              <w:rPr>
                <w:rFonts w:hint="default"/>
                <w:color w:val="auto"/>
              </w:rPr>
            </w:pPr>
            <w:r>
              <w:rPr>
                <w:rFonts w:hint="default"/>
                <w:color w:val="auto"/>
              </w:rPr>
              <w:t>总方程式：</w:t>
            </w:r>
            <w:r>
              <w:rPr>
                <w:rFonts w:ascii="Segoe UI" w:hAnsi="Segoe UI" w:eastAsia="Segoe UI" w:cs="Segoe UI"/>
                <w:color w:val="auto"/>
                <w:spacing w:val="-2"/>
                <w:shd w:val="clear" w:color="auto" w:fill="FFFFFF"/>
              </w:rPr>
              <w:t>H₂O + WO₃ + 2NaOH → Na₂WO₄ + O₂↑ + 2H₂↑</w:t>
            </w:r>
          </w:p>
          <w:p w14:paraId="67844827">
            <w:pPr>
              <w:pStyle w:val="111"/>
              <w:wordWrap w:val="0"/>
              <w:rPr>
                <w:rFonts w:hint="default"/>
                <w:color w:val="auto"/>
              </w:rPr>
            </w:pPr>
            <w:r>
              <w:rPr>
                <w:color w:val="auto"/>
              </w:rPr>
              <w:t>项目采用12%NaOH溶液作为电解清洗液，清洗过程中温度≤32℃，根据NaOH特性，其在剧烈反应或高温作业等条件下才能产生碱雾，本项目电解清洗过程中不会产生碱雾，但是由于电解反应会产生水蒸气、氧气及氢气，水蒸气、氧气及氢气在逸出过程中会携带微量的碱液液滴进入空气，形成碱雾。</w:t>
            </w:r>
          </w:p>
          <w:p w14:paraId="58D0EDF0">
            <w:pPr>
              <w:pStyle w:val="111"/>
              <w:wordWrap w:val="0"/>
              <w:rPr>
                <w:rFonts w:hint="default"/>
                <w:color w:val="auto"/>
              </w:rPr>
            </w:pPr>
            <w:r>
              <w:rPr>
                <w:color w:val="auto"/>
              </w:rPr>
              <w:t>NaOH电解液溶液循环使用，定期补充、更换，更换的电解清洗废水进入“钨回收系统”对电解清洗废水进行处理。</w:t>
            </w:r>
          </w:p>
          <w:p w14:paraId="6244EDFF">
            <w:pPr>
              <w:pStyle w:val="111"/>
              <w:wordWrap w:val="0"/>
              <w:rPr>
                <w:rFonts w:hint="default"/>
                <w:color w:val="auto"/>
              </w:rPr>
            </w:pPr>
            <w:r>
              <w:rPr>
                <w:color w:val="auto"/>
                <w:lang w:val="zh-CN"/>
              </w:rPr>
              <w:t>本工序主要污染物：</w:t>
            </w:r>
            <w:r>
              <w:rPr>
                <w:color w:val="auto"/>
              </w:rPr>
              <w:t>废气</w:t>
            </w:r>
            <w:r>
              <w:rPr>
                <w:color w:val="auto"/>
                <w:lang w:val="zh-CN"/>
              </w:rPr>
              <w:t>、</w:t>
            </w:r>
            <w:r>
              <w:rPr>
                <w:color w:val="auto"/>
              </w:rPr>
              <w:t>废水</w:t>
            </w:r>
          </w:p>
          <w:p w14:paraId="096B395D">
            <w:pPr>
              <w:pStyle w:val="111"/>
              <w:wordWrap w:val="0"/>
              <w:ind w:firstLine="482"/>
              <w:rPr>
                <w:rFonts w:hint="default"/>
                <w:b/>
                <w:bCs/>
                <w:color w:val="auto"/>
                <w:lang w:val="zh-CN"/>
              </w:rPr>
            </w:pPr>
            <w:r>
              <w:rPr>
                <w:b/>
                <w:bCs/>
                <w:color w:val="auto"/>
              </w:rPr>
              <w:t>2</w:t>
            </w:r>
            <w:r>
              <w:rPr>
                <w:b/>
                <w:bCs/>
                <w:color w:val="auto"/>
                <w:lang w:val="zh-CN"/>
              </w:rPr>
              <w:t>.</w:t>
            </w:r>
            <w:r>
              <w:rPr>
                <w:b/>
                <w:bCs/>
                <w:color w:val="auto"/>
              </w:rPr>
              <w:t>海绵擦洗</w:t>
            </w:r>
          </w:p>
          <w:p w14:paraId="71846393">
            <w:pPr>
              <w:pStyle w:val="111"/>
              <w:wordWrap w:val="0"/>
              <w:rPr>
                <w:rFonts w:hint="default"/>
                <w:color w:val="auto"/>
              </w:rPr>
            </w:pPr>
            <w:r>
              <w:rPr>
                <w:color w:val="auto"/>
              </w:rPr>
              <w:t>钨丝电解清洗</w:t>
            </w:r>
            <w:r>
              <w:rPr>
                <w:rFonts w:hint="eastAsia"/>
                <w:color w:val="auto"/>
                <w:lang w:eastAsia="zh-CN"/>
              </w:rPr>
              <w:t>完成</w:t>
            </w:r>
            <w:r>
              <w:rPr>
                <w:color w:val="auto"/>
              </w:rPr>
              <w:t>后通过海绵擦拭对钨丝表面的石墨乳进行二次清理。</w:t>
            </w:r>
          </w:p>
          <w:p w14:paraId="7EECE07B">
            <w:pPr>
              <w:pStyle w:val="111"/>
              <w:wordWrap w:val="0"/>
              <w:rPr>
                <w:rFonts w:hint="default"/>
                <w:color w:val="auto"/>
                <w:lang w:val="zh-CN"/>
              </w:rPr>
            </w:pPr>
            <w:r>
              <w:rPr>
                <w:color w:val="auto"/>
                <w:lang w:val="zh-CN"/>
              </w:rPr>
              <w:t>本工序主要污染物：</w:t>
            </w:r>
            <w:r>
              <w:rPr>
                <w:color w:val="auto"/>
              </w:rPr>
              <w:t>固废（废海绵）</w:t>
            </w:r>
          </w:p>
          <w:p w14:paraId="606CC60B">
            <w:pPr>
              <w:pStyle w:val="111"/>
              <w:wordWrap w:val="0"/>
              <w:ind w:firstLine="482"/>
              <w:rPr>
                <w:rFonts w:hint="default"/>
                <w:b/>
                <w:bCs/>
                <w:color w:val="auto"/>
              </w:rPr>
            </w:pPr>
            <w:r>
              <w:rPr>
                <w:b/>
                <w:bCs/>
                <w:color w:val="auto"/>
              </w:rPr>
              <w:t>3.水洗</w:t>
            </w:r>
          </w:p>
          <w:p w14:paraId="47F67B79">
            <w:pPr>
              <w:pStyle w:val="111"/>
              <w:wordWrap w:val="0"/>
              <w:rPr>
                <w:rFonts w:hint="default"/>
                <w:color w:val="auto"/>
              </w:rPr>
            </w:pPr>
            <w:r>
              <w:rPr>
                <w:color w:val="auto"/>
              </w:rPr>
              <w:t>对海绵擦洗后的钨丝进行水洗，进一步去除其避免沾染的石墨乳。水洗过程依次进入常温水洗槽→超声波清洗槽→热水洗槽，水洗采用连续式逆流清洗，是通过多级清洗槽对工件进行漂洗的工业技术，其水流方向与工件运行方向相反，末级热水洗槽作为补水起点实施常流补水，首级常温水洗槽作为排水终点，排水进入水循环系统，经过滤后，再次作为水洗补充水，水洗水定期更换。</w:t>
            </w:r>
          </w:p>
          <w:p w14:paraId="55EBA4E0">
            <w:pPr>
              <w:pStyle w:val="111"/>
              <w:wordWrap w:val="0"/>
              <w:rPr>
                <w:rFonts w:hint="default"/>
                <w:color w:val="auto"/>
              </w:rPr>
            </w:pPr>
            <w:r>
              <w:rPr>
                <w:color w:val="auto"/>
              </w:rPr>
              <w:t>热水洗槽体采用电加热，加热温度约为45℃；超声波清洗不使用清洗剂。</w:t>
            </w:r>
          </w:p>
          <w:p w14:paraId="4C210FFF">
            <w:pPr>
              <w:pStyle w:val="111"/>
              <w:wordWrap w:val="0"/>
              <w:rPr>
                <w:rFonts w:hint="default"/>
                <w:color w:val="auto"/>
                <w:lang w:val="zh-CN"/>
              </w:rPr>
            </w:pPr>
            <w:r>
              <w:rPr>
                <w:color w:val="auto"/>
                <w:lang w:val="zh-CN"/>
              </w:rPr>
              <w:t>本工序主要污染物：</w:t>
            </w:r>
            <w:r>
              <w:rPr>
                <w:color w:val="auto"/>
              </w:rPr>
              <w:t>废水</w:t>
            </w:r>
            <w:r>
              <w:rPr>
                <w:color w:val="auto"/>
                <w:lang w:val="zh-CN"/>
              </w:rPr>
              <w:t>。</w:t>
            </w:r>
          </w:p>
          <w:p w14:paraId="2B6F95AF">
            <w:pPr>
              <w:pStyle w:val="111"/>
              <w:wordWrap w:val="0"/>
              <w:ind w:firstLine="482"/>
              <w:rPr>
                <w:rFonts w:hint="default"/>
                <w:b/>
                <w:bCs/>
                <w:color w:val="auto"/>
              </w:rPr>
            </w:pPr>
            <w:r>
              <w:rPr>
                <w:b/>
                <w:bCs/>
                <w:color w:val="auto"/>
              </w:rPr>
              <w:t>4</w:t>
            </w:r>
            <w:r>
              <w:rPr>
                <w:b/>
                <w:bCs/>
                <w:color w:val="auto"/>
                <w:lang w:val="zh-CN"/>
              </w:rPr>
              <w:t>.</w:t>
            </w:r>
            <w:r>
              <w:rPr>
                <w:b/>
                <w:bCs/>
                <w:color w:val="auto"/>
              </w:rPr>
              <w:t>风干槽</w:t>
            </w:r>
          </w:p>
          <w:p w14:paraId="72CE3190">
            <w:pPr>
              <w:pStyle w:val="111"/>
              <w:wordWrap w:val="0"/>
              <w:rPr>
                <w:rFonts w:hint="default"/>
                <w:color w:val="auto"/>
              </w:rPr>
            </w:pPr>
            <w:r>
              <w:rPr>
                <w:color w:val="auto"/>
              </w:rPr>
              <w:t>经水洗后的钨丝已经达到产品洗白要求，随后进入风干槽进行风干，风干槽前端设置海绵擦洗，进一步去除钨丝表面的石墨乳及水分，随后经过风切吹气装置，进一步</w:t>
            </w:r>
            <w:r>
              <w:rPr>
                <w:rFonts w:hint="eastAsia"/>
                <w:color w:val="auto"/>
                <w:lang w:eastAsia="zh-CN"/>
              </w:rPr>
              <w:t>去</w:t>
            </w:r>
            <w:r>
              <w:rPr>
                <w:color w:val="auto"/>
              </w:rPr>
              <w:t>除钨丝上的水分。风干后的钨丝通过绕线机即可成为项目产品。</w:t>
            </w:r>
          </w:p>
          <w:p w14:paraId="6B505D17">
            <w:pPr>
              <w:pStyle w:val="111"/>
              <w:wordWrap w:val="0"/>
              <w:rPr>
                <w:rFonts w:hint="default"/>
                <w:color w:val="auto"/>
              </w:rPr>
            </w:pPr>
            <w:r>
              <w:rPr>
                <w:color w:val="auto"/>
                <w:lang w:val="zh-CN"/>
              </w:rPr>
              <w:t>本工序主要污染物：</w:t>
            </w:r>
            <w:r>
              <w:rPr>
                <w:color w:val="auto"/>
              </w:rPr>
              <w:t>固废（废海绵）</w:t>
            </w:r>
            <w:r>
              <w:rPr>
                <w:color w:val="auto"/>
                <w:lang w:val="zh-CN"/>
              </w:rPr>
              <w:t>。</w:t>
            </w:r>
          </w:p>
        </w:tc>
      </w:tr>
      <w:tr w14:paraId="0977BA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5" w:hRule="atLeast"/>
          <w:jc w:val="center"/>
        </w:trPr>
        <w:tc>
          <w:tcPr>
            <w:tcW w:w="735" w:type="dxa"/>
            <w:vAlign w:val="center"/>
          </w:tcPr>
          <w:p w14:paraId="5B312A0A">
            <w:pPr>
              <w:wordWrap w:val="0"/>
              <w:spacing w:line="360" w:lineRule="auto"/>
              <w:jc w:val="left"/>
              <w:rPr>
                <w:rFonts w:cs="宋体"/>
                <w:sz w:val="24"/>
              </w:rPr>
            </w:pPr>
            <w:r>
              <w:rPr>
                <w:rFonts w:hint="eastAsia" w:cs="宋体"/>
                <w:b/>
                <w:bCs/>
                <w:sz w:val="24"/>
              </w:rPr>
              <w:t>与项目有关的原有环境污染问题</w:t>
            </w:r>
          </w:p>
        </w:tc>
        <w:tc>
          <w:tcPr>
            <w:tcW w:w="8249" w:type="dxa"/>
          </w:tcPr>
          <w:p w14:paraId="0826A717">
            <w:pPr>
              <w:pStyle w:val="111"/>
              <w:wordWrap w:val="0"/>
              <w:ind w:firstLine="482"/>
              <w:rPr>
                <w:rFonts w:hint="default"/>
                <w:b/>
                <w:bCs/>
                <w:color w:val="auto"/>
              </w:rPr>
            </w:pPr>
            <w:r>
              <w:rPr>
                <w:rFonts w:hint="eastAsia"/>
                <w:b/>
                <w:bCs/>
                <w:color w:val="auto"/>
                <w:lang w:eastAsia="zh-CN"/>
              </w:rPr>
              <w:t>1.</w:t>
            </w:r>
            <w:r>
              <w:rPr>
                <w:b/>
                <w:bCs/>
                <w:color w:val="auto"/>
              </w:rPr>
              <w:t>现有项目环保手续履行情况</w:t>
            </w:r>
          </w:p>
          <w:p w14:paraId="4DE4CE95">
            <w:pPr>
              <w:pStyle w:val="57"/>
              <w:wordWrap w:val="0"/>
              <w:rPr>
                <w:lang w:val="en-US"/>
              </w:rPr>
            </w:pPr>
            <w:r>
              <w:rPr>
                <w:rFonts w:hint="eastAsia"/>
                <w:lang w:val="en-US"/>
              </w:rPr>
              <w:t>表2-</w:t>
            </w:r>
            <w:r>
              <w:rPr>
                <w:rFonts w:hint="eastAsia"/>
                <w:lang w:val="en-US" w:eastAsia="zh-CN"/>
              </w:rPr>
              <w:t>9</w:t>
            </w:r>
            <w:r>
              <w:rPr>
                <w:rFonts w:hint="eastAsia"/>
                <w:lang w:val="en-US"/>
              </w:rPr>
              <w:t>厂区项目建设历程及环保手续履行情况表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2930"/>
              <w:gridCol w:w="2788"/>
              <w:gridCol w:w="2514"/>
            </w:tblGrid>
            <w:tr w14:paraId="0D5D9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9" w:type="dxa"/>
                  <w:vAlign w:val="center"/>
                </w:tcPr>
                <w:p w14:paraId="5DD610EE">
                  <w:pPr>
                    <w:pStyle w:val="57"/>
                    <w:wordWrap w:val="0"/>
                    <w:rPr>
                      <w:lang w:val="en-US"/>
                    </w:rPr>
                  </w:pPr>
                  <w:r>
                    <w:rPr>
                      <w:rFonts w:hint="eastAsia"/>
                      <w:lang w:val="en-US"/>
                    </w:rPr>
                    <w:t>序号</w:t>
                  </w:r>
                </w:p>
              </w:tc>
              <w:tc>
                <w:tcPr>
                  <w:tcW w:w="2930" w:type="dxa"/>
                  <w:vAlign w:val="center"/>
                </w:tcPr>
                <w:p w14:paraId="78545C64">
                  <w:pPr>
                    <w:pStyle w:val="57"/>
                    <w:wordWrap w:val="0"/>
                    <w:rPr>
                      <w:lang w:val="en-US"/>
                    </w:rPr>
                  </w:pPr>
                  <w:r>
                    <w:rPr>
                      <w:rFonts w:hint="eastAsia"/>
                      <w:lang w:val="en-US"/>
                    </w:rPr>
                    <w:t>项目名称</w:t>
                  </w:r>
                </w:p>
              </w:tc>
              <w:tc>
                <w:tcPr>
                  <w:tcW w:w="2788" w:type="dxa"/>
                  <w:vAlign w:val="center"/>
                </w:tcPr>
                <w:p w14:paraId="576951AD">
                  <w:pPr>
                    <w:pStyle w:val="57"/>
                    <w:wordWrap w:val="0"/>
                    <w:rPr>
                      <w:lang w:val="en-US"/>
                    </w:rPr>
                  </w:pPr>
                  <w:r>
                    <w:rPr>
                      <w:rFonts w:hint="eastAsia"/>
                      <w:lang w:val="en-US"/>
                    </w:rPr>
                    <w:t>环评批复及时间</w:t>
                  </w:r>
                </w:p>
              </w:tc>
              <w:tc>
                <w:tcPr>
                  <w:tcW w:w="2514" w:type="dxa"/>
                  <w:vAlign w:val="center"/>
                </w:tcPr>
                <w:p w14:paraId="7E6F42AB">
                  <w:pPr>
                    <w:pStyle w:val="57"/>
                    <w:wordWrap w:val="0"/>
                    <w:rPr>
                      <w:lang w:val="en-US"/>
                    </w:rPr>
                  </w:pPr>
                  <w:r>
                    <w:rPr>
                      <w:rFonts w:hint="eastAsia"/>
                      <w:lang w:val="en-US"/>
                    </w:rPr>
                    <w:t>验收/批复及时间</w:t>
                  </w:r>
                </w:p>
              </w:tc>
            </w:tr>
            <w:tr w14:paraId="2E95E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9" w:type="dxa"/>
                  <w:vAlign w:val="center"/>
                </w:tcPr>
                <w:p w14:paraId="5B9FCC58">
                  <w:pPr>
                    <w:pStyle w:val="57"/>
                    <w:wordWrap w:val="0"/>
                    <w:rPr>
                      <w:b w:val="0"/>
                      <w:bCs/>
                      <w:lang w:val="en-US"/>
                    </w:rPr>
                  </w:pPr>
                  <w:r>
                    <w:rPr>
                      <w:rFonts w:hint="eastAsia"/>
                      <w:b w:val="0"/>
                      <w:bCs/>
                      <w:lang w:val="en-US"/>
                    </w:rPr>
                    <w:t>1</w:t>
                  </w:r>
                </w:p>
              </w:tc>
              <w:tc>
                <w:tcPr>
                  <w:tcW w:w="2930" w:type="dxa"/>
                  <w:vAlign w:val="center"/>
                </w:tcPr>
                <w:p w14:paraId="1C6F2656">
                  <w:pPr>
                    <w:pStyle w:val="57"/>
                    <w:wordWrap w:val="0"/>
                    <w:rPr>
                      <w:b w:val="0"/>
                      <w:bCs/>
                      <w:lang w:val="en-US"/>
                    </w:rPr>
                  </w:pPr>
                  <w:r>
                    <w:rPr>
                      <w:rFonts w:hint="eastAsia"/>
                      <w:b w:val="0"/>
                      <w:bCs/>
                      <w:lang w:val="en-US"/>
                    </w:rPr>
                    <w:t>《超强超细合金金属材料生产项目环境影响报告表》</w:t>
                  </w:r>
                </w:p>
              </w:tc>
              <w:tc>
                <w:tcPr>
                  <w:tcW w:w="2788" w:type="dxa"/>
                  <w:vAlign w:val="center"/>
                </w:tcPr>
                <w:p w14:paraId="6F1E66F7">
                  <w:pPr>
                    <w:pStyle w:val="57"/>
                    <w:wordWrap w:val="0"/>
                    <w:rPr>
                      <w:b w:val="0"/>
                      <w:bCs/>
                      <w:lang w:val="en-US"/>
                    </w:rPr>
                  </w:pPr>
                  <w:r>
                    <w:rPr>
                      <w:rFonts w:hint="eastAsia"/>
                      <w:b w:val="0"/>
                      <w:bCs/>
                      <w:lang w:val="en-US"/>
                    </w:rPr>
                    <w:t>（宝环岐函〔2022〕39号），2022年5月31日</w:t>
                  </w:r>
                </w:p>
              </w:tc>
              <w:tc>
                <w:tcPr>
                  <w:tcW w:w="2514" w:type="dxa"/>
                  <w:vAlign w:val="center"/>
                </w:tcPr>
                <w:p w14:paraId="7C60F4A2">
                  <w:pPr>
                    <w:pStyle w:val="57"/>
                    <w:wordWrap w:val="0"/>
                    <w:rPr>
                      <w:b w:val="0"/>
                      <w:bCs/>
                      <w:lang w:val="en-US"/>
                    </w:rPr>
                  </w:pPr>
                  <w:r>
                    <w:rPr>
                      <w:rFonts w:hint="eastAsia"/>
                      <w:b w:val="0"/>
                      <w:bCs/>
                      <w:lang w:val="en-US"/>
                    </w:rPr>
                    <w:t>自主分阶段验收；2022年11月、2024年9月</w:t>
                  </w:r>
                </w:p>
              </w:tc>
            </w:tr>
            <w:tr w14:paraId="7EFA5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9" w:type="dxa"/>
                  <w:vAlign w:val="center"/>
                </w:tcPr>
                <w:p w14:paraId="470E595A">
                  <w:pPr>
                    <w:pStyle w:val="57"/>
                    <w:wordWrap w:val="0"/>
                    <w:rPr>
                      <w:b w:val="0"/>
                      <w:bCs/>
                      <w:lang w:val="en-US"/>
                    </w:rPr>
                  </w:pPr>
                  <w:r>
                    <w:rPr>
                      <w:rFonts w:hint="eastAsia"/>
                      <w:b w:val="0"/>
                      <w:bCs/>
                      <w:lang w:val="en-US"/>
                    </w:rPr>
                    <w:t>2</w:t>
                  </w:r>
                </w:p>
              </w:tc>
              <w:tc>
                <w:tcPr>
                  <w:tcW w:w="2930" w:type="dxa"/>
                  <w:vAlign w:val="center"/>
                </w:tcPr>
                <w:p w14:paraId="0C86ADDC">
                  <w:pPr>
                    <w:pStyle w:val="57"/>
                    <w:wordWrap w:val="0"/>
                    <w:rPr>
                      <w:b w:val="0"/>
                      <w:bCs/>
                      <w:lang w:val="en-US"/>
                    </w:rPr>
                  </w:pPr>
                  <w:r>
                    <w:rPr>
                      <w:rFonts w:hint="eastAsia"/>
                      <w:b w:val="0"/>
                      <w:bCs/>
                      <w:lang w:val="en-US"/>
                    </w:rPr>
                    <w:t>《超强超细光伏新材料生产项目环境影响报告表》</w:t>
                  </w:r>
                </w:p>
              </w:tc>
              <w:tc>
                <w:tcPr>
                  <w:tcW w:w="2788" w:type="dxa"/>
                  <w:vAlign w:val="center"/>
                </w:tcPr>
                <w:p w14:paraId="25C8946F">
                  <w:pPr>
                    <w:pStyle w:val="57"/>
                    <w:wordWrap w:val="0"/>
                    <w:rPr>
                      <w:b w:val="0"/>
                      <w:bCs/>
                      <w:lang w:val="en-US"/>
                    </w:rPr>
                  </w:pPr>
                  <w:r>
                    <w:rPr>
                      <w:rFonts w:hint="eastAsia"/>
                      <w:b w:val="0"/>
                      <w:bCs/>
                      <w:lang w:val="en-US"/>
                    </w:rPr>
                    <w:t>（宝环岐函〔2024〕5号），2021年8月2日</w:t>
                  </w:r>
                </w:p>
              </w:tc>
              <w:tc>
                <w:tcPr>
                  <w:tcW w:w="2514" w:type="dxa"/>
                  <w:vAlign w:val="center"/>
                </w:tcPr>
                <w:p w14:paraId="1AF3330E">
                  <w:pPr>
                    <w:pStyle w:val="57"/>
                    <w:wordWrap w:val="0"/>
                    <w:rPr>
                      <w:b w:val="0"/>
                      <w:bCs/>
                      <w:lang w:val="en-US"/>
                    </w:rPr>
                  </w:pPr>
                  <w:r>
                    <w:rPr>
                      <w:rFonts w:hint="eastAsia"/>
                      <w:b w:val="0"/>
                      <w:bCs/>
                      <w:lang w:val="en-US"/>
                    </w:rPr>
                    <w:t>自主验收；2024年9月</w:t>
                  </w:r>
                </w:p>
              </w:tc>
            </w:tr>
            <w:tr w14:paraId="22F1B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9" w:type="dxa"/>
                  <w:vAlign w:val="center"/>
                </w:tcPr>
                <w:p w14:paraId="64648CFC">
                  <w:pPr>
                    <w:pStyle w:val="57"/>
                    <w:wordWrap w:val="0"/>
                    <w:rPr>
                      <w:b w:val="0"/>
                      <w:bCs/>
                      <w:lang w:val="en-US"/>
                    </w:rPr>
                  </w:pPr>
                  <w:r>
                    <w:rPr>
                      <w:rFonts w:hint="eastAsia"/>
                      <w:b w:val="0"/>
                      <w:bCs/>
                      <w:lang w:val="en-US"/>
                    </w:rPr>
                    <w:t>3</w:t>
                  </w:r>
                </w:p>
              </w:tc>
              <w:tc>
                <w:tcPr>
                  <w:tcW w:w="2930" w:type="dxa"/>
                  <w:vAlign w:val="center"/>
                </w:tcPr>
                <w:p w14:paraId="00817917">
                  <w:pPr>
                    <w:pStyle w:val="57"/>
                    <w:wordWrap w:val="0"/>
                    <w:rPr>
                      <w:b w:val="0"/>
                      <w:bCs/>
                      <w:lang w:val="en-US"/>
                    </w:rPr>
                  </w:pPr>
                  <w:r>
                    <w:rPr>
                      <w:rFonts w:hint="eastAsia"/>
                      <w:b w:val="0"/>
                      <w:bCs/>
                      <w:lang w:val="en-US"/>
                    </w:rPr>
                    <w:t>《超强超细钨丝新材料生产项目（二期）（重大变动）》</w:t>
                  </w:r>
                </w:p>
              </w:tc>
              <w:tc>
                <w:tcPr>
                  <w:tcW w:w="2788" w:type="dxa"/>
                  <w:vAlign w:val="center"/>
                </w:tcPr>
                <w:p w14:paraId="020F1D28">
                  <w:pPr>
                    <w:pStyle w:val="57"/>
                    <w:wordWrap w:val="0"/>
                    <w:rPr>
                      <w:b w:val="0"/>
                      <w:bCs/>
                      <w:lang w:val="en-US"/>
                    </w:rPr>
                  </w:pPr>
                  <w:r>
                    <w:rPr>
                      <w:rFonts w:hint="eastAsia"/>
                      <w:b w:val="0"/>
                      <w:bCs/>
                      <w:lang w:val="en-US"/>
                    </w:rPr>
                    <w:t>（宝环岐函〔2025〕52号）</w:t>
                  </w:r>
                </w:p>
              </w:tc>
              <w:tc>
                <w:tcPr>
                  <w:tcW w:w="2514" w:type="dxa"/>
                  <w:vAlign w:val="center"/>
                </w:tcPr>
                <w:p w14:paraId="18DE4B0C">
                  <w:pPr>
                    <w:pStyle w:val="57"/>
                    <w:wordWrap w:val="0"/>
                    <w:rPr>
                      <w:b w:val="0"/>
                      <w:bCs/>
                      <w:lang w:val="en-US"/>
                    </w:rPr>
                  </w:pPr>
                  <w:r>
                    <w:rPr>
                      <w:rFonts w:hint="eastAsia"/>
                      <w:b w:val="0"/>
                      <w:bCs/>
                      <w:lang w:val="en-US"/>
                    </w:rPr>
                    <w:t>在建中</w:t>
                  </w:r>
                </w:p>
              </w:tc>
            </w:tr>
            <w:tr w14:paraId="4349E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9" w:type="dxa"/>
                  <w:vAlign w:val="center"/>
                </w:tcPr>
                <w:p w14:paraId="2EF50531">
                  <w:pPr>
                    <w:pStyle w:val="57"/>
                    <w:wordWrap w:val="0"/>
                    <w:rPr>
                      <w:b w:val="0"/>
                      <w:bCs/>
                      <w:lang w:val="en-US"/>
                    </w:rPr>
                  </w:pPr>
                  <w:r>
                    <w:rPr>
                      <w:rFonts w:hint="eastAsia"/>
                      <w:b w:val="0"/>
                      <w:bCs/>
                      <w:lang w:val="en-US"/>
                    </w:rPr>
                    <w:t>4</w:t>
                  </w:r>
                </w:p>
              </w:tc>
              <w:tc>
                <w:tcPr>
                  <w:tcW w:w="2930" w:type="dxa"/>
                  <w:vAlign w:val="center"/>
                </w:tcPr>
                <w:p w14:paraId="08D503F4">
                  <w:pPr>
                    <w:pStyle w:val="57"/>
                    <w:wordWrap w:val="0"/>
                    <w:rPr>
                      <w:b w:val="0"/>
                      <w:bCs/>
                      <w:highlight w:val="none"/>
                      <w:lang w:val="en-US"/>
                    </w:rPr>
                  </w:pPr>
                  <w:r>
                    <w:rPr>
                      <w:rFonts w:hint="eastAsia"/>
                      <w:b w:val="0"/>
                      <w:bCs/>
                      <w:highlight w:val="none"/>
                      <w:lang w:val="en-US"/>
                    </w:rPr>
                    <w:t>排污许可</w:t>
                  </w:r>
                </w:p>
              </w:tc>
              <w:tc>
                <w:tcPr>
                  <w:tcW w:w="2788" w:type="dxa"/>
                  <w:vAlign w:val="center"/>
                </w:tcPr>
                <w:p w14:paraId="6F056CFC">
                  <w:pPr>
                    <w:pStyle w:val="57"/>
                    <w:wordWrap w:val="0"/>
                    <w:rPr>
                      <w:b w:val="0"/>
                      <w:bCs/>
                      <w:highlight w:val="none"/>
                      <w:lang w:val="en-US"/>
                    </w:rPr>
                  </w:pPr>
                  <w:r>
                    <w:rPr>
                      <w:rFonts w:hint="eastAsia"/>
                      <w:b w:val="0"/>
                      <w:bCs/>
                      <w:highlight w:val="none"/>
                      <w:lang w:val="en-US"/>
                    </w:rPr>
                    <w:t>简化管理：91610323MACOGDARXB001U</w:t>
                  </w:r>
                </w:p>
              </w:tc>
              <w:tc>
                <w:tcPr>
                  <w:tcW w:w="2514" w:type="dxa"/>
                  <w:vAlign w:val="center"/>
                </w:tcPr>
                <w:p w14:paraId="3E32F0BA">
                  <w:pPr>
                    <w:pStyle w:val="57"/>
                    <w:wordWrap w:val="0"/>
                    <w:rPr>
                      <w:b w:val="0"/>
                      <w:bCs/>
                      <w:highlight w:val="none"/>
                      <w:lang w:val="en-US"/>
                    </w:rPr>
                  </w:pPr>
                  <w:r>
                    <w:rPr>
                      <w:rFonts w:hint="eastAsia"/>
                      <w:b w:val="0"/>
                      <w:bCs/>
                      <w:highlight w:val="none"/>
                      <w:lang w:val="en-US"/>
                    </w:rPr>
                    <w:t>有效期自</w:t>
                  </w:r>
                  <w:r>
                    <w:rPr>
                      <w:rFonts w:hint="eastAsia"/>
                      <w:b w:val="0"/>
                      <w:bCs/>
                      <w:highlight w:val="none"/>
                      <w:lang w:val="en-US" w:eastAsia="zh-CN"/>
                    </w:rPr>
                    <w:t>2025年6月16日</w:t>
                  </w:r>
                  <w:r>
                    <w:rPr>
                      <w:rFonts w:hint="eastAsia"/>
                      <w:b w:val="0"/>
                      <w:bCs/>
                      <w:highlight w:val="none"/>
                      <w:lang w:val="en-US"/>
                    </w:rPr>
                    <w:t>至</w:t>
                  </w:r>
                  <w:r>
                    <w:rPr>
                      <w:rFonts w:hint="eastAsia"/>
                      <w:b w:val="0"/>
                      <w:bCs/>
                      <w:highlight w:val="none"/>
                      <w:lang w:val="en-US" w:eastAsia="zh-CN"/>
                    </w:rPr>
                    <w:t>2030年6月15日</w:t>
                  </w:r>
                </w:p>
              </w:tc>
            </w:tr>
            <w:tr w14:paraId="1432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9" w:type="dxa"/>
                  <w:vAlign w:val="center"/>
                </w:tcPr>
                <w:p w14:paraId="04CE7B5B">
                  <w:pPr>
                    <w:pStyle w:val="57"/>
                    <w:wordWrap w:val="0"/>
                    <w:rPr>
                      <w:b w:val="0"/>
                      <w:bCs/>
                      <w:lang w:val="en-US"/>
                    </w:rPr>
                  </w:pPr>
                  <w:r>
                    <w:rPr>
                      <w:rFonts w:hint="eastAsia"/>
                      <w:b w:val="0"/>
                      <w:bCs/>
                      <w:lang w:val="en-US"/>
                    </w:rPr>
                    <w:t>5</w:t>
                  </w:r>
                </w:p>
              </w:tc>
              <w:tc>
                <w:tcPr>
                  <w:tcW w:w="2930" w:type="dxa"/>
                  <w:vAlign w:val="center"/>
                </w:tcPr>
                <w:p w14:paraId="005F0889">
                  <w:pPr>
                    <w:pStyle w:val="57"/>
                    <w:wordWrap w:val="0"/>
                    <w:rPr>
                      <w:b w:val="0"/>
                      <w:bCs/>
                      <w:highlight w:val="none"/>
                      <w:lang w:val="en-US"/>
                    </w:rPr>
                  </w:pPr>
                  <w:r>
                    <w:rPr>
                      <w:rFonts w:hint="eastAsia"/>
                      <w:b w:val="0"/>
                      <w:bCs/>
                      <w:highlight w:val="none"/>
                      <w:lang w:val="en-US"/>
                    </w:rPr>
                    <w:t>突发环境事件应急预案</w:t>
                  </w:r>
                </w:p>
              </w:tc>
              <w:tc>
                <w:tcPr>
                  <w:tcW w:w="2788" w:type="dxa"/>
                  <w:vAlign w:val="center"/>
                </w:tcPr>
                <w:p w14:paraId="58D72544">
                  <w:pPr>
                    <w:pStyle w:val="10"/>
                    <w:rPr>
                      <w:rFonts w:hint="eastAsia"/>
                      <w:bCs/>
                      <w:sz w:val="21"/>
                      <w:highlight w:val="none"/>
                    </w:rPr>
                  </w:pPr>
                  <w:r>
                    <w:rPr>
                      <w:rFonts w:hint="eastAsia"/>
                      <w:bCs/>
                      <w:sz w:val="21"/>
                      <w:highlight w:val="none"/>
                    </w:rPr>
                    <w:t>610323-2025-055-L</w:t>
                  </w:r>
                </w:p>
              </w:tc>
              <w:tc>
                <w:tcPr>
                  <w:tcW w:w="2514" w:type="dxa"/>
                  <w:vAlign w:val="center"/>
                </w:tcPr>
                <w:p w14:paraId="50BD9611">
                  <w:pPr>
                    <w:pStyle w:val="10"/>
                    <w:rPr>
                      <w:rFonts w:hint="eastAsia"/>
                      <w:bCs/>
                      <w:sz w:val="21"/>
                      <w:highlight w:val="none"/>
                    </w:rPr>
                  </w:pPr>
                  <w:r>
                    <w:rPr>
                      <w:rFonts w:hint="eastAsia"/>
                      <w:bCs/>
                      <w:sz w:val="21"/>
                      <w:highlight w:val="none"/>
                    </w:rPr>
                    <w:t>2025年10月21日</w:t>
                  </w:r>
                </w:p>
              </w:tc>
            </w:tr>
          </w:tbl>
          <w:p w14:paraId="020B807B">
            <w:pPr>
              <w:pStyle w:val="111"/>
              <w:numPr>
                <w:ilvl w:val="0"/>
                <w:numId w:val="21"/>
              </w:numPr>
              <w:wordWrap w:val="0"/>
              <w:ind w:firstLine="482"/>
              <w:rPr>
                <w:rFonts w:hint="default"/>
                <w:b/>
                <w:bCs/>
                <w:color w:val="auto"/>
              </w:rPr>
            </w:pPr>
            <w:r>
              <w:rPr>
                <w:b/>
                <w:bCs/>
                <w:color w:val="auto"/>
              </w:rPr>
              <w:t>现有工程污染物实际排放总量</w:t>
            </w:r>
          </w:p>
          <w:p w14:paraId="0E4C901B">
            <w:pPr>
              <w:pStyle w:val="111"/>
              <w:wordWrap w:val="0"/>
              <w:rPr>
                <w:rFonts w:hint="default"/>
                <w:color w:val="auto"/>
              </w:rPr>
            </w:pPr>
            <w:r>
              <w:rPr>
                <w:color w:val="auto"/>
              </w:rPr>
              <w:t>根据现有工程竣工验收报告、年度监测报告、排污许可证执行报告等，汇总现有工程污染物实际排放总量；根据在建工程</w:t>
            </w:r>
            <w:r>
              <w:rPr>
                <w:rFonts w:hint="eastAsia"/>
                <w:color w:val="auto"/>
                <w:lang w:eastAsia="zh-CN"/>
              </w:rPr>
              <w:t>环境</w:t>
            </w:r>
            <w:r>
              <w:rPr>
                <w:color w:val="auto"/>
              </w:rPr>
              <w:t>影响报告表，汇总在建工程污染物排放量。见下表：</w:t>
            </w:r>
          </w:p>
          <w:p w14:paraId="2A410FBD">
            <w:pPr>
              <w:pStyle w:val="57"/>
              <w:wordWrap w:val="0"/>
              <w:rPr>
                <w:rFonts w:hint="eastAsia" w:eastAsia="宋体"/>
                <w:lang w:val="en-US" w:eastAsia="zh-CN"/>
              </w:rPr>
            </w:pPr>
            <w:r>
              <w:rPr>
                <w:lang w:val="en-US"/>
              </w:rPr>
              <w:t>表2-</w:t>
            </w:r>
            <w:r>
              <w:rPr>
                <w:rFonts w:hint="eastAsia"/>
                <w:lang w:val="en-US"/>
              </w:rPr>
              <w:t>1</w:t>
            </w:r>
            <w:r>
              <w:rPr>
                <w:rFonts w:hint="eastAsia"/>
                <w:lang w:val="en-US" w:eastAsia="zh-CN"/>
              </w:rPr>
              <w:t>0</w:t>
            </w:r>
            <w:r>
              <w:rPr>
                <w:lang w:val="en-US"/>
              </w:rPr>
              <w:t>现有工程污染物排放情况一览表</w:t>
            </w:r>
            <w:r>
              <w:rPr>
                <w:rFonts w:hint="eastAsia"/>
                <w:lang w:val="en-US" w:eastAsia="zh-CN"/>
              </w:rPr>
              <w:t>（单位：t）</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2047"/>
              <w:gridCol w:w="1114"/>
              <w:gridCol w:w="1276"/>
              <w:gridCol w:w="1238"/>
              <w:gridCol w:w="2189"/>
            </w:tblGrid>
            <w:tr w14:paraId="0FA6B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tcBorders>
                    <w:tl2br w:val="single" w:color="auto" w:sz="4" w:space="0"/>
                  </w:tcBorders>
                  <w:tcMar>
                    <w:left w:w="28" w:type="dxa"/>
                    <w:right w:w="28" w:type="dxa"/>
                  </w:tcMar>
                  <w:vAlign w:val="center"/>
                </w:tcPr>
                <w:p w14:paraId="1D058B6C">
                  <w:pPr>
                    <w:pStyle w:val="57"/>
                    <w:wordWrap w:val="0"/>
                  </w:pPr>
                  <w:r>
                    <w:rPr>
                      <w:rFonts w:hint="eastAsia"/>
                    </w:rPr>
                    <w:t>项目</w:t>
                  </w:r>
                </w:p>
                <w:p w14:paraId="78C265D4">
                  <w:pPr>
                    <w:pStyle w:val="57"/>
                    <w:wordWrap w:val="0"/>
                  </w:pPr>
                  <w:r>
                    <w:rPr>
                      <w:rFonts w:hint="eastAsia"/>
                    </w:rPr>
                    <w:t>分类</w:t>
                  </w:r>
                </w:p>
              </w:tc>
              <w:tc>
                <w:tcPr>
                  <w:tcW w:w="2047" w:type="dxa"/>
                  <w:tcMar>
                    <w:left w:w="28" w:type="dxa"/>
                    <w:right w:w="28" w:type="dxa"/>
                  </w:tcMar>
                  <w:vAlign w:val="center"/>
                </w:tcPr>
                <w:p w14:paraId="54C96DAD">
                  <w:pPr>
                    <w:pStyle w:val="57"/>
                    <w:wordWrap w:val="0"/>
                  </w:pPr>
                  <w:r>
                    <w:rPr>
                      <w:rFonts w:hint="eastAsia"/>
                    </w:rPr>
                    <w:t>污染物名称</w:t>
                  </w:r>
                </w:p>
              </w:tc>
              <w:tc>
                <w:tcPr>
                  <w:tcW w:w="1114" w:type="dxa"/>
                  <w:tcMar>
                    <w:left w:w="28" w:type="dxa"/>
                    <w:right w:w="28" w:type="dxa"/>
                  </w:tcMar>
                  <w:vAlign w:val="center"/>
                </w:tcPr>
                <w:p w14:paraId="4E8162D5">
                  <w:pPr>
                    <w:pStyle w:val="57"/>
                    <w:wordWrap w:val="0"/>
                  </w:pPr>
                  <w:r>
                    <w:t>现有工程</w:t>
                  </w:r>
                </w:p>
                <w:p w14:paraId="54B96F2D">
                  <w:pPr>
                    <w:pStyle w:val="57"/>
                    <w:wordWrap w:val="0"/>
                  </w:pPr>
                  <w:r>
                    <w:t>排放量</w:t>
                  </w:r>
                </w:p>
              </w:tc>
              <w:tc>
                <w:tcPr>
                  <w:tcW w:w="1276" w:type="dxa"/>
                  <w:tcMar>
                    <w:left w:w="28" w:type="dxa"/>
                    <w:right w:w="28" w:type="dxa"/>
                  </w:tcMar>
                  <w:vAlign w:val="center"/>
                </w:tcPr>
                <w:p w14:paraId="68EAFD78">
                  <w:pPr>
                    <w:pStyle w:val="57"/>
                    <w:wordWrap w:val="0"/>
                  </w:pPr>
                  <w:r>
                    <w:t>现有工程</w:t>
                  </w:r>
                </w:p>
                <w:p w14:paraId="1A0AC28E">
                  <w:pPr>
                    <w:pStyle w:val="57"/>
                    <w:wordWrap w:val="0"/>
                  </w:pPr>
                  <w:r>
                    <w:t>许可排放量</w:t>
                  </w:r>
                </w:p>
              </w:tc>
              <w:tc>
                <w:tcPr>
                  <w:tcW w:w="1238" w:type="dxa"/>
                  <w:tcMar>
                    <w:left w:w="28" w:type="dxa"/>
                    <w:right w:w="28" w:type="dxa"/>
                  </w:tcMar>
                  <w:vAlign w:val="center"/>
                </w:tcPr>
                <w:p w14:paraId="29D692E3">
                  <w:pPr>
                    <w:pStyle w:val="57"/>
                    <w:wordWrap w:val="0"/>
                  </w:pPr>
                  <w:r>
                    <w:t>在建工程</w:t>
                  </w:r>
                </w:p>
                <w:p w14:paraId="27CDC504">
                  <w:pPr>
                    <w:pStyle w:val="57"/>
                    <w:wordWrap w:val="0"/>
                  </w:pPr>
                  <w:r>
                    <w:t>排放量</w:t>
                  </w:r>
                </w:p>
              </w:tc>
              <w:tc>
                <w:tcPr>
                  <w:tcW w:w="2189" w:type="dxa"/>
                  <w:tcMar>
                    <w:left w:w="28" w:type="dxa"/>
                    <w:right w:w="28" w:type="dxa"/>
                  </w:tcMar>
                  <w:vAlign w:val="center"/>
                </w:tcPr>
                <w:p w14:paraId="1C0BE6EC">
                  <w:pPr>
                    <w:pStyle w:val="57"/>
                    <w:wordWrap w:val="0"/>
                  </w:pPr>
                  <w:r>
                    <w:rPr>
                      <w:rFonts w:hint="eastAsia"/>
                    </w:rPr>
                    <w:t>全厂</w:t>
                  </w:r>
                  <w:r>
                    <w:t>排放量</w:t>
                  </w:r>
                </w:p>
              </w:tc>
            </w:tr>
            <w:tr w14:paraId="5698B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restart"/>
                  <w:vAlign w:val="center"/>
                </w:tcPr>
                <w:p w14:paraId="099225A0">
                  <w:pPr>
                    <w:pStyle w:val="57"/>
                    <w:wordWrap w:val="0"/>
                    <w:rPr>
                      <w:b w:val="0"/>
                      <w:bCs/>
                    </w:rPr>
                  </w:pPr>
                  <w:r>
                    <w:rPr>
                      <w:rFonts w:hint="eastAsia"/>
                      <w:b w:val="0"/>
                      <w:bCs/>
                    </w:rPr>
                    <w:t>废气</w:t>
                  </w:r>
                </w:p>
              </w:tc>
              <w:tc>
                <w:tcPr>
                  <w:tcW w:w="2047" w:type="dxa"/>
                  <w:shd w:val="clear" w:color="auto" w:fill="auto"/>
                  <w:vAlign w:val="center"/>
                </w:tcPr>
                <w:p w14:paraId="46BA1995">
                  <w:pPr>
                    <w:pStyle w:val="57"/>
                    <w:wordWrap w:val="0"/>
                    <w:rPr>
                      <w:b w:val="0"/>
                      <w:bCs/>
                      <w:lang w:val="en-US"/>
                    </w:rPr>
                  </w:pPr>
                  <w:r>
                    <w:rPr>
                      <w:rFonts w:hint="eastAsia"/>
                      <w:b w:val="0"/>
                      <w:bCs/>
                      <w:lang w:val="en-US"/>
                    </w:rPr>
                    <w:t>颗粒物</w:t>
                  </w:r>
                </w:p>
              </w:tc>
              <w:tc>
                <w:tcPr>
                  <w:tcW w:w="1114" w:type="dxa"/>
                  <w:shd w:val="clear" w:color="auto" w:fill="auto"/>
                  <w:vAlign w:val="center"/>
                </w:tcPr>
                <w:p w14:paraId="6C743448">
                  <w:pPr>
                    <w:pStyle w:val="57"/>
                    <w:wordWrap w:val="0"/>
                    <w:rPr>
                      <w:b w:val="0"/>
                      <w:bCs/>
                      <w:lang w:val="en-US"/>
                    </w:rPr>
                  </w:pPr>
                  <w:r>
                    <w:rPr>
                      <w:rFonts w:hint="eastAsia"/>
                      <w:b w:val="0"/>
                      <w:bCs/>
                      <w:lang w:val="en-US"/>
                    </w:rPr>
                    <w:t xml:space="preserve">1.179 </w:t>
                  </w:r>
                </w:p>
              </w:tc>
              <w:tc>
                <w:tcPr>
                  <w:tcW w:w="1276" w:type="dxa"/>
                  <w:vAlign w:val="center"/>
                </w:tcPr>
                <w:p w14:paraId="41068F1D">
                  <w:pPr>
                    <w:pStyle w:val="57"/>
                    <w:wordWrap w:val="0"/>
                    <w:rPr>
                      <w:b w:val="0"/>
                      <w:bCs/>
                      <w:lang w:val="en-US"/>
                    </w:rPr>
                  </w:pPr>
                  <w:r>
                    <w:rPr>
                      <w:rFonts w:hint="eastAsia"/>
                      <w:b w:val="0"/>
                      <w:bCs/>
                      <w:lang w:val="en-US"/>
                    </w:rPr>
                    <w:t>/</w:t>
                  </w:r>
                </w:p>
              </w:tc>
              <w:tc>
                <w:tcPr>
                  <w:tcW w:w="1238" w:type="dxa"/>
                  <w:shd w:val="clear" w:color="auto" w:fill="auto"/>
                  <w:vAlign w:val="center"/>
                </w:tcPr>
                <w:p w14:paraId="33AD272C">
                  <w:pPr>
                    <w:pStyle w:val="57"/>
                    <w:wordWrap w:val="0"/>
                    <w:rPr>
                      <w:b w:val="0"/>
                      <w:bCs/>
                      <w:lang w:val="en-US"/>
                    </w:rPr>
                  </w:pPr>
                  <w:r>
                    <w:rPr>
                      <w:rFonts w:hint="eastAsia"/>
                      <w:b w:val="0"/>
                      <w:bCs/>
                      <w:lang w:val="en-US"/>
                    </w:rPr>
                    <w:t>1.327</w:t>
                  </w:r>
                </w:p>
              </w:tc>
              <w:tc>
                <w:tcPr>
                  <w:tcW w:w="2189" w:type="dxa"/>
                  <w:vAlign w:val="center"/>
                </w:tcPr>
                <w:p w14:paraId="14C4A272">
                  <w:pPr>
                    <w:pStyle w:val="57"/>
                    <w:wordWrap w:val="0"/>
                    <w:rPr>
                      <w:b w:val="0"/>
                      <w:bCs/>
                      <w:lang w:val="en-US"/>
                    </w:rPr>
                  </w:pPr>
                  <w:r>
                    <w:rPr>
                      <w:b w:val="0"/>
                      <w:bCs/>
                      <w:lang w:val="en-US"/>
                    </w:rPr>
                    <w:t>2.506</w:t>
                  </w:r>
                </w:p>
              </w:tc>
            </w:tr>
            <w:tr w14:paraId="0C74C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3B097B58">
                  <w:pPr>
                    <w:pStyle w:val="57"/>
                    <w:wordWrap w:val="0"/>
                    <w:rPr>
                      <w:b w:val="0"/>
                      <w:bCs/>
                    </w:rPr>
                  </w:pPr>
                </w:p>
              </w:tc>
              <w:tc>
                <w:tcPr>
                  <w:tcW w:w="2047" w:type="dxa"/>
                  <w:shd w:val="clear" w:color="auto" w:fill="auto"/>
                  <w:vAlign w:val="center"/>
                </w:tcPr>
                <w:p w14:paraId="75CDA2ED">
                  <w:pPr>
                    <w:pStyle w:val="57"/>
                    <w:wordWrap w:val="0"/>
                    <w:rPr>
                      <w:b w:val="0"/>
                      <w:bCs/>
                      <w:lang w:val="en-US"/>
                    </w:rPr>
                  </w:pPr>
                  <w:r>
                    <w:rPr>
                      <w:rFonts w:hint="eastAsia"/>
                      <w:b w:val="0"/>
                      <w:bCs/>
                      <w:lang w:val="en-US"/>
                    </w:rPr>
                    <w:t>氮氧化物</w:t>
                  </w:r>
                </w:p>
              </w:tc>
              <w:tc>
                <w:tcPr>
                  <w:tcW w:w="1114" w:type="dxa"/>
                  <w:shd w:val="clear" w:color="auto" w:fill="auto"/>
                  <w:vAlign w:val="center"/>
                </w:tcPr>
                <w:p w14:paraId="6CF054A2">
                  <w:pPr>
                    <w:pStyle w:val="57"/>
                    <w:wordWrap w:val="0"/>
                    <w:rPr>
                      <w:b w:val="0"/>
                      <w:bCs/>
                      <w:lang w:val="en-US"/>
                    </w:rPr>
                  </w:pPr>
                  <w:r>
                    <w:rPr>
                      <w:rFonts w:hint="eastAsia"/>
                      <w:b w:val="0"/>
                      <w:bCs/>
                      <w:lang w:val="en-US"/>
                    </w:rPr>
                    <w:t xml:space="preserve">0.591 </w:t>
                  </w:r>
                </w:p>
              </w:tc>
              <w:tc>
                <w:tcPr>
                  <w:tcW w:w="1276" w:type="dxa"/>
                  <w:vAlign w:val="center"/>
                </w:tcPr>
                <w:p w14:paraId="5AEBB27A">
                  <w:pPr>
                    <w:pStyle w:val="57"/>
                    <w:wordWrap w:val="0"/>
                    <w:rPr>
                      <w:b w:val="0"/>
                      <w:bCs/>
                      <w:lang w:val="en-US"/>
                    </w:rPr>
                  </w:pPr>
                  <w:r>
                    <w:rPr>
                      <w:rFonts w:hint="eastAsia"/>
                      <w:b w:val="0"/>
                      <w:bCs/>
                      <w:lang w:val="en-US"/>
                    </w:rPr>
                    <w:t>9.52</w:t>
                  </w:r>
                </w:p>
              </w:tc>
              <w:tc>
                <w:tcPr>
                  <w:tcW w:w="1238" w:type="dxa"/>
                  <w:shd w:val="clear" w:color="auto" w:fill="auto"/>
                  <w:vAlign w:val="center"/>
                </w:tcPr>
                <w:p w14:paraId="1F2AD441">
                  <w:pPr>
                    <w:pStyle w:val="57"/>
                    <w:wordWrap w:val="0"/>
                    <w:rPr>
                      <w:b w:val="0"/>
                      <w:bCs/>
                      <w:lang w:val="en-US"/>
                    </w:rPr>
                  </w:pPr>
                  <w:r>
                    <w:rPr>
                      <w:rFonts w:hint="eastAsia"/>
                      <w:b w:val="0"/>
                      <w:bCs/>
                      <w:lang w:val="en-US"/>
                    </w:rPr>
                    <w:t>7.177</w:t>
                  </w:r>
                </w:p>
              </w:tc>
              <w:tc>
                <w:tcPr>
                  <w:tcW w:w="2189" w:type="dxa"/>
                  <w:vAlign w:val="center"/>
                </w:tcPr>
                <w:p w14:paraId="491D8499">
                  <w:pPr>
                    <w:pStyle w:val="57"/>
                    <w:wordWrap w:val="0"/>
                    <w:rPr>
                      <w:b w:val="0"/>
                      <w:bCs/>
                      <w:lang w:val="en-US"/>
                    </w:rPr>
                  </w:pPr>
                  <w:r>
                    <w:rPr>
                      <w:b w:val="0"/>
                      <w:bCs/>
                      <w:lang w:val="en-US"/>
                    </w:rPr>
                    <w:t>7.768</w:t>
                  </w:r>
                </w:p>
              </w:tc>
            </w:tr>
            <w:tr w14:paraId="7C1A7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7780164C">
                  <w:pPr>
                    <w:pStyle w:val="57"/>
                    <w:wordWrap w:val="0"/>
                    <w:rPr>
                      <w:b w:val="0"/>
                      <w:bCs/>
                    </w:rPr>
                  </w:pPr>
                </w:p>
              </w:tc>
              <w:tc>
                <w:tcPr>
                  <w:tcW w:w="2047" w:type="dxa"/>
                  <w:shd w:val="clear" w:color="auto" w:fill="auto"/>
                  <w:vAlign w:val="center"/>
                </w:tcPr>
                <w:p w14:paraId="07E45707">
                  <w:pPr>
                    <w:pStyle w:val="57"/>
                    <w:wordWrap w:val="0"/>
                    <w:rPr>
                      <w:b w:val="0"/>
                      <w:bCs/>
                      <w:lang w:val="en-US"/>
                    </w:rPr>
                  </w:pPr>
                  <w:r>
                    <w:rPr>
                      <w:rFonts w:hint="eastAsia"/>
                      <w:b w:val="0"/>
                      <w:bCs/>
                      <w:lang w:val="en-US"/>
                    </w:rPr>
                    <w:t>二氧化硫</w:t>
                  </w:r>
                </w:p>
              </w:tc>
              <w:tc>
                <w:tcPr>
                  <w:tcW w:w="1114" w:type="dxa"/>
                  <w:shd w:val="clear" w:color="auto" w:fill="auto"/>
                  <w:vAlign w:val="center"/>
                </w:tcPr>
                <w:p w14:paraId="5DEB4CEE">
                  <w:pPr>
                    <w:pStyle w:val="57"/>
                    <w:wordWrap w:val="0"/>
                    <w:rPr>
                      <w:b w:val="0"/>
                      <w:bCs/>
                      <w:lang w:val="en-US"/>
                    </w:rPr>
                  </w:pPr>
                  <w:r>
                    <w:rPr>
                      <w:rFonts w:hint="eastAsia"/>
                      <w:b w:val="0"/>
                      <w:bCs/>
                      <w:lang w:val="en-US"/>
                    </w:rPr>
                    <w:t xml:space="preserve">0.213 </w:t>
                  </w:r>
                </w:p>
              </w:tc>
              <w:tc>
                <w:tcPr>
                  <w:tcW w:w="1276" w:type="dxa"/>
                  <w:vAlign w:val="center"/>
                </w:tcPr>
                <w:p w14:paraId="26F338CE">
                  <w:pPr>
                    <w:pStyle w:val="57"/>
                    <w:wordWrap w:val="0"/>
                    <w:rPr>
                      <w:b w:val="0"/>
                      <w:bCs/>
                      <w:lang w:val="en-US"/>
                    </w:rPr>
                  </w:pPr>
                  <w:r>
                    <w:rPr>
                      <w:rFonts w:hint="eastAsia"/>
                      <w:b w:val="0"/>
                      <w:bCs/>
                      <w:lang w:val="en-US"/>
                    </w:rPr>
                    <w:t>0.226</w:t>
                  </w:r>
                </w:p>
              </w:tc>
              <w:tc>
                <w:tcPr>
                  <w:tcW w:w="1238" w:type="dxa"/>
                  <w:shd w:val="clear" w:color="auto" w:fill="auto"/>
                  <w:vAlign w:val="center"/>
                </w:tcPr>
                <w:p w14:paraId="5BD6F15B">
                  <w:pPr>
                    <w:pStyle w:val="57"/>
                    <w:wordWrap w:val="0"/>
                    <w:rPr>
                      <w:b w:val="0"/>
                      <w:bCs/>
                      <w:lang w:val="en-US"/>
                    </w:rPr>
                  </w:pPr>
                  <w:r>
                    <w:rPr>
                      <w:rFonts w:hint="eastAsia"/>
                      <w:b w:val="0"/>
                      <w:bCs/>
                      <w:lang w:val="en-US"/>
                    </w:rPr>
                    <w:t>1.2</w:t>
                  </w:r>
                </w:p>
              </w:tc>
              <w:tc>
                <w:tcPr>
                  <w:tcW w:w="2189" w:type="dxa"/>
                  <w:vAlign w:val="center"/>
                </w:tcPr>
                <w:p w14:paraId="5FF60493">
                  <w:pPr>
                    <w:pStyle w:val="57"/>
                    <w:wordWrap w:val="0"/>
                    <w:rPr>
                      <w:b w:val="0"/>
                      <w:bCs/>
                      <w:lang w:val="en-US"/>
                    </w:rPr>
                  </w:pPr>
                  <w:r>
                    <w:rPr>
                      <w:b w:val="0"/>
                      <w:bCs/>
                      <w:lang w:val="en-US"/>
                    </w:rPr>
                    <w:t>1.413</w:t>
                  </w:r>
                </w:p>
              </w:tc>
            </w:tr>
            <w:tr w14:paraId="00B87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restart"/>
                  <w:vAlign w:val="center"/>
                </w:tcPr>
                <w:p w14:paraId="1E63C23A">
                  <w:pPr>
                    <w:pStyle w:val="57"/>
                    <w:wordWrap w:val="0"/>
                    <w:rPr>
                      <w:b w:val="0"/>
                      <w:bCs/>
                    </w:rPr>
                  </w:pPr>
                  <w:r>
                    <w:rPr>
                      <w:rFonts w:hint="eastAsia"/>
                      <w:b w:val="0"/>
                      <w:bCs/>
                    </w:rPr>
                    <w:t>废水</w:t>
                  </w:r>
                </w:p>
              </w:tc>
              <w:tc>
                <w:tcPr>
                  <w:tcW w:w="2047" w:type="dxa"/>
                  <w:vAlign w:val="center"/>
                </w:tcPr>
                <w:p w14:paraId="741EDED8">
                  <w:pPr>
                    <w:pStyle w:val="57"/>
                    <w:wordWrap w:val="0"/>
                    <w:rPr>
                      <w:b w:val="0"/>
                      <w:bCs/>
                      <w:lang w:val="en-US"/>
                    </w:rPr>
                  </w:pPr>
                  <w:r>
                    <w:rPr>
                      <w:b w:val="0"/>
                      <w:bCs/>
                      <w:lang w:val="en-US"/>
                    </w:rPr>
                    <w:t>COD</w:t>
                  </w:r>
                </w:p>
              </w:tc>
              <w:tc>
                <w:tcPr>
                  <w:tcW w:w="1114" w:type="dxa"/>
                  <w:vAlign w:val="bottom"/>
                </w:tcPr>
                <w:p w14:paraId="5F57F203">
                  <w:pPr>
                    <w:pStyle w:val="57"/>
                    <w:wordWrap w:val="0"/>
                    <w:rPr>
                      <w:b w:val="0"/>
                      <w:bCs/>
                      <w:lang w:val="en-US"/>
                    </w:rPr>
                  </w:pPr>
                  <w:r>
                    <w:rPr>
                      <w:rFonts w:hint="eastAsia"/>
                      <w:b w:val="0"/>
                      <w:bCs/>
                      <w:lang w:val="en-US"/>
                    </w:rPr>
                    <w:t>0.002</w:t>
                  </w:r>
                </w:p>
              </w:tc>
              <w:tc>
                <w:tcPr>
                  <w:tcW w:w="1276" w:type="dxa"/>
                  <w:vAlign w:val="center"/>
                </w:tcPr>
                <w:p w14:paraId="4BEC4C82">
                  <w:pPr>
                    <w:pStyle w:val="57"/>
                    <w:wordWrap w:val="0"/>
                    <w:rPr>
                      <w:b w:val="0"/>
                      <w:bCs/>
                    </w:rPr>
                  </w:pPr>
                  <w:r>
                    <w:rPr>
                      <w:rFonts w:hint="eastAsia"/>
                      <w:b w:val="0"/>
                      <w:bCs/>
                      <w:lang w:val="en-US"/>
                    </w:rPr>
                    <w:t>/</w:t>
                  </w:r>
                </w:p>
              </w:tc>
              <w:tc>
                <w:tcPr>
                  <w:tcW w:w="1238" w:type="dxa"/>
                  <w:shd w:val="clear" w:color="auto" w:fill="auto"/>
                  <w:vAlign w:val="bottom"/>
                </w:tcPr>
                <w:p w14:paraId="433FF4E3">
                  <w:pPr>
                    <w:pStyle w:val="57"/>
                    <w:wordWrap w:val="0"/>
                    <w:rPr>
                      <w:b w:val="0"/>
                      <w:bCs/>
                      <w:lang w:val="en-US"/>
                    </w:rPr>
                  </w:pPr>
                  <w:r>
                    <w:rPr>
                      <w:rFonts w:hint="eastAsia"/>
                      <w:b w:val="0"/>
                      <w:bCs/>
                      <w:lang w:val="en-US"/>
                    </w:rPr>
                    <w:t>0.862</w:t>
                  </w:r>
                </w:p>
              </w:tc>
              <w:tc>
                <w:tcPr>
                  <w:tcW w:w="2189" w:type="dxa"/>
                  <w:vAlign w:val="center"/>
                </w:tcPr>
                <w:p w14:paraId="07A28441">
                  <w:pPr>
                    <w:pStyle w:val="57"/>
                    <w:wordWrap w:val="0"/>
                    <w:rPr>
                      <w:b w:val="0"/>
                      <w:bCs/>
                      <w:lang w:val="en-US"/>
                    </w:rPr>
                  </w:pPr>
                  <w:r>
                    <w:rPr>
                      <w:b w:val="0"/>
                      <w:bCs/>
                      <w:lang w:val="en-US"/>
                    </w:rPr>
                    <w:t>0.864</w:t>
                  </w:r>
                </w:p>
              </w:tc>
            </w:tr>
            <w:tr w14:paraId="07DEA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3FF93346">
                  <w:pPr>
                    <w:pStyle w:val="57"/>
                    <w:wordWrap w:val="0"/>
                    <w:rPr>
                      <w:b w:val="0"/>
                      <w:bCs/>
                    </w:rPr>
                  </w:pPr>
                </w:p>
              </w:tc>
              <w:tc>
                <w:tcPr>
                  <w:tcW w:w="2047" w:type="dxa"/>
                  <w:vAlign w:val="center"/>
                </w:tcPr>
                <w:p w14:paraId="5630DC65">
                  <w:pPr>
                    <w:pStyle w:val="57"/>
                    <w:wordWrap w:val="0"/>
                    <w:rPr>
                      <w:b w:val="0"/>
                      <w:bCs/>
                    </w:rPr>
                  </w:pPr>
                  <w:r>
                    <w:rPr>
                      <w:b w:val="0"/>
                      <w:bCs/>
                      <w:lang w:val="en-US"/>
                    </w:rPr>
                    <w:t>BOD5</w:t>
                  </w:r>
                </w:p>
              </w:tc>
              <w:tc>
                <w:tcPr>
                  <w:tcW w:w="1114" w:type="dxa"/>
                  <w:vAlign w:val="bottom"/>
                </w:tcPr>
                <w:p w14:paraId="2B83FD70">
                  <w:pPr>
                    <w:pStyle w:val="57"/>
                    <w:wordWrap w:val="0"/>
                    <w:rPr>
                      <w:b w:val="0"/>
                      <w:bCs/>
                      <w:lang w:val="en-US"/>
                    </w:rPr>
                  </w:pPr>
                  <w:r>
                    <w:rPr>
                      <w:rFonts w:hint="eastAsia"/>
                      <w:b w:val="0"/>
                      <w:bCs/>
                      <w:lang w:val="en-US"/>
                    </w:rPr>
                    <w:t>/</w:t>
                  </w:r>
                </w:p>
              </w:tc>
              <w:tc>
                <w:tcPr>
                  <w:tcW w:w="1276" w:type="dxa"/>
                  <w:vAlign w:val="center"/>
                </w:tcPr>
                <w:p w14:paraId="019E7700">
                  <w:pPr>
                    <w:pStyle w:val="57"/>
                    <w:wordWrap w:val="0"/>
                    <w:rPr>
                      <w:b w:val="0"/>
                      <w:bCs/>
                      <w:lang w:val="en-US"/>
                    </w:rPr>
                  </w:pPr>
                  <w:r>
                    <w:rPr>
                      <w:rFonts w:hint="eastAsia"/>
                      <w:b w:val="0"/>
                      <w:bCs/>
                      <w:lang w:val="en-US"/>
                    </w:rPr>
                    <w:t>/</w:t>
                  </w:r>
                </w:p>
              </w:tc>
              <w:tc>
                <w:tcPr>
                  <w:tcW w:w="1238" w:type="dxa"/>
                  <w:shd w:val="clear" w:color="auto" w:fill="auto"/>
                  <w:vAlign w:val="bottom"/>
                </w:tcPr>
                <w:p w14:paraId="3747EF27">
                  <w:pPr>
                    <w:pStyle w:val="57"/>
                    <w:wordWrap w:val="0"/>
                    <w:rPr>
                      <w:b w:val="0"/>
                      <w:bCs/>
                      <w:lang w:val="en-US"/>
                    </w:rPr>
                  </w:pPr>
                  <w:r>
                    <w:rPr>
                      <w:rFonts w:hint="eastAsia"/>
                      <w:b w:val="0"/>
                      <w:bCs/>
                      <w:lang w:val="en-US"/>
                    </w:rPr>
                    <w:t>0.729</w:t>
                  </w:r>
                </w:p>
              </w:tc>
              <w:tc>
                <w:tcPr>
                  <w:tcW w:w="2189" w:type="dxa"/>
                  <w:vAlign w:val="center"/>
                </w:tcPr>
                <w:p w14:paraId="5DAE6ED4">
                  <w:pPr>
                    <w:pStyle w:val="57"/>
                    <w:wordWrap w:val="0"/>
                    <w:rPr>
                      <w:b w:val="0"/>
                      <w:bCs/>
                      <w:lang w:val="en-US"/>
                    </w:rPr>
                  </w:pPr>
                  <w:r>
                    <w:rPr>
                      <w:rFonts w:hint="eastAsia"/>
                      <w:b w:val="0"/>
                      <w:bCs/>
                      <w:lang w:val="en-US"/>
                    </w:rPr>
                    <w:t>/</w:t>
                  </w:r>
                </w:p>
              </w:tc>
            </w:tr>
            <w:tr w14:paraId="16C0A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02D8D206">
                  <w:pPr>
                    <w:pStyle w:val="57"/>
                    <w:wordWrap w:val="0"/>
                    <w:rPr>
                      <w:b w:val="0"/>
                      <w:bCs/>
                    </w:rPr>
                  </w:pPr>
                </w:p>
              </w:tc>
              <w:tc>
                <w:tcPr>
                  <w:tcW w:w="2047" w:type="dxa"/>
                  <w:vAlign w:val="center"/>
                </w:tcPr>
                <w:p w14:paraId="52FDF1E4">
                  <w:pPr>
                    <w:pStyle w:val="57"/>
                    <w:wordWrap w:val="0"/>
                    <w:rPr>
                      <w:b w:val="0"/>
                      <w:bCs/>
                      <w:lang w:val="en-US"/>
                    </w:rPr>
                  </w:pPr>
                  <w:r>
                    <w:rPr>
                      <w:b w:val="0"/>
                      <w:bCs/>
                      <w:lang w:val="en-US"/>
                    </w:rPr>
                    <w:t>SS</w:t>
                  </w:r>
                </w:p>
              </w:tc>
              <w:tc>
                <w:tcPr>
                  <w:tcW w:w="1114" w:type="dxa"/>
                  <w:vAlign w:val="bottom"/>
                </w:tcPr>
                <w:p w14:paraId="73359D21">
                  <w:pPr>
                    <w:pStyle w:val="57"/>
                    <w:wordWrap w:val="0"/>
                    <w:rPr>
                      <w:b w:val="0"/>
                      <w:bCs/>
                      <w:lang w:val="en-US"/>
                    </w:rPr>
                  </w:pPr>
                  <w:r>
                    <w:rPr>
                      <w:rFonts w:hint="eastAsia"/>
                      <w:b w:val="0"/>
                      <w:bCs/>
                      <w:lang w:val="en-US"/>
                    </w:rPr>
                    <w:t>0.001</w:t>
                  </w:r>
                </w:p>
              </w:tc>
              <w:tc>
                <w:tcPr>
                  <w:tcW w:w="1276" w:type="dxa"/>
                  <w:vAlign w:val="center"/>
                </w:tcPr>
                <w:p w14:paraId="6ADA0202">
                  <w:pPr>
                    <w:pStyle w:val="57"/>
                    <w:wordWrap w:val="0"/>
                    <w:rPr>
                      <w:b w:val="0"/>
                      <w:bCs/>
                      <w:lang w:val="en-US"/>
                    </w:rPr>
                  </w:pPr>
                  <w:r>
                    <w:rPr>
                      <w:rFonts w:hint="eastAsia"/>
                      <w:b w:val="0"/>
                      <w:bCs/>
                      <w:lang w:val="en-US"/>
                    </w:rPr>
                    <w:t>/</w:t>
                  </w:r>
                </w:p>
              </w:tc>
              <w:tc>
                <w:tcPr>
                  <w:tcW w:w="1238" w:type="dxa"/>
                  <w:shd w:val="clear" w:color="auto" w:fill="auto"/>
                  <w:vAlign w:val="bottom"/>
                </w:tcPr>
                <w:p w14:paraId="488BECDB">
                  <w:pPr>
                    <w:pStyle w:val="57"/>
                    <w:wordWrap w:val="0"/>
                    <w:rPr>
                      <w:b w:val="0"/>
                      <w:bCs/>
                      <w:lang w:val="en-US"/>
                    </w:rPr>
                  </w:pPr>
                  <w:r>
                    <w:rPr>
                      <w:rFonts w:hint="eastAsia"/>
                      <w:b w:val="0"/>
                      <w:bCs/>
                      <w:lang w:val="en-US"/>
                    </w:rPr>
                    <w:t>0.265</w:t>
                  </w:r>
                </w:p>
              </w:tc>
              <w:tc>
                <w:tcPr>
                  <w:tcW w:w="2189" w:type="dxa"/>
                  <w:vAlign w:val="center"/>
                </w:tcPr>
                <w:p w14:paraId="3B0A5737">
                  <w:pPr>
                    <w:pStyle w:val="57"/>
                    <w:wordWrap w:val="0"/>
                    <w:rPr>
                      <w:b w:val="0"/>
                      <w:bCs/>
                      <w:lang w:val="en-US"/>
                    </w:rPr>
                  </w:pPr>
                  <w:r>
                    <w:rPr>
                      <w:b w:val="0"/>
                      <w:bCs/>
                      <w:lang w:val="en-US"/>
                    </w:rPr>
                    <w:t>0.266</w:t>
                  </w:r>
                </w:p>
              </w:tc>
            </w:tr>
            <w:tr w14:paraId="14E7F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7706B193">
                  <w:pPr>
                    <w:pStyle w:val="57"/>
                    <w:wordWrap w:val="0"/>
                    <w:rPr>
                      <w:b w:val="0"/>
                      <w:bCs/>
                    </w:rPr>
                  </w:pPr>
                </w:p>
              </w:tc>
              <w:tc>
                <w:tcPr>
                  <w:tcW w:w="2047" w:type="dxa"/>
                  <w:vAlign w:val="center"/>
                </w:tcPr>
                <w:p w14:paraId="56D744CB">
                  <w:pPr>
                    <w:pStyle w:val="57"/>
                    <w:wordWrap w:val="0"/>
                    <w:rPr>
                      <w:b w:val="0"/>
                      <w:bCs/>
                    </w:rPr>
                  </w:pPr>
                  <w:r>
                    <w:rPr>
                      <w:b w:val="0"/>
                      <w:bCs/>
                      <w:lang w:val="en-US"/>
                    </w:rPr>
                    <w:t>氨氮</w:t>
                  </w:r>
                </w:p>
              </w:tc>
              <w:tc>
                <w:tcPr>
                  <w:tcW w:w="1114" w:type="dxa"/>
                  <w:vAlign w:val="bottom"/>
                </w:tcPr>
                <w:p w14:paraId="1B770B45">
                  <w:pPr>
                    <w:pStyle w:val="57"/>
                    <w:wordWrap w:val="0"/>
                    <w:rPr>
                      <w:b w:val="0"/>
                      <w:bCs/>
                      <w:lang w:val="en-US"/>
                    </w:rPr>
                  </w:pPr>
                  <w:r>
                    <w:rPr>
                      <w:rFonts w:hint="eastAsia"/>
                      <w:b w:val="0"/>
                      <w:bCs/>
                      <w:lang w:val="en-US"/>
                    </w:rPr>
                    <w:t>/</w:t>
                  </w:r>
                </w:p>
              </w:tc>
              <w:tc>
                <w:tcPr>
                  <w:tcW w:w="1276" w:type="dxa"/>
                  <w:vAlign w:val="center"/>
                </w:tcPr>
                <w:p w14:paraId="40F822A5">
                  <w:pPr>
                    <w:pStyle w:val="57"/>
                    <w:wordWrap w:val="0"/>
                    <w:rPr>
                      <w:b w:val="0"/>
                      <w:bCs/>
                      <w:lang w:val="en-US"/>
                    </w:rPr>
                  </w:pPr>
                  <w:r>
                    <w:rPr>
                      <w:rFonts w:hint="eastAsia"/>
                      <w:b w:val="0"/>
                      <w:bCs/>
                      <w:lang w:val="en-US"/>
                    </w:rPr>
                    <w:t>/</w:t>
                  </w:r>
                </w:p>
              </w:tc>
              <w:tc>
                <w:tcPr>
                  <w:tcW w:w="1238" w:type="dxa"/>
                  <w:shd w:val="clear" w:color="auto" w:fill="auto"/>
                  <w:vAlign w:val="bottom"/>
                </w:tcPr>
                <w:p w14:paraId="0A55DFD9">
                  <w:pPr>
                    <w:pStyle w:val="57"/>
                    <w:wordWrap w:val="0"/>
                    <w:rPr>
                      <w:b w:val="0"/>
                      <w:bCs/>
                      <w:lang w:val="en-US"/>
                    </w:rPr>
                  </w:pPr>
                  <w:r>
                    <w:rPr>
                      <w:rFonts w:hint="eastAsia"/>
                      <w:b w:val="0"/>
                      <w:bCs/>
                      <w:lang w:val="en-US"/>
                    </w:rPr>
                    <w:t>0.083</w:t>
                  </w:r>
                </w:p>
              </w:tc>
              <w:tc>
                <w:tcPr>
                  <w:tcW w:w="2189" w:type="dxa"/>
                  <w:shd w:val="clear" w:color="auto" w:fill="auto"/>
                  <w:vAlign w:val="center"/>
                </w:tcPr>
                <w:p w14:paraId="1B793B63">
                  <w:pPr>
                    <w:pStyle w:val="57"/>
                    <w:wordWrap w:val="0"/>
                    <w:rPr>
                      <w:b w:val="0"/>
                      <w:bCs/>
                      <w:lang w:val="en-US"/>
                    </w:rPr>
                  </w:pPr>
                  <w:r>
                    <w:rPr>
                      <w:rFonts w:hint="eastAsia"/>
                      <w:b w:val="0"/>
                      <w:bCs/>
                      <w:lang w:val="en-US"/>
                    </w:rPr>
                    <w:t>/</w:t>
                  </w:r>
                </w:p>
              </w:tc>
            </w:tr>
            <w:tr w14:paraId="00F35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3294D282">
                  <w:pPr>
                    <w:pStyle w:val="57"/>
                    <w:wordWrap w:val="0"/>
                    <w:rPr>
                      <w:b w:val="0"/>
                      <w:bCs/>
                    </w:rPr>
                  </w:pPr>
                </w:p>
              </w:tc>
              <w:tc>
                <w:tcPr>
                  <w:tcW w:w="2047" w:type="dxa"/>
                  <w:vAlign w:val="center"/>
                </w:tcPr>
                <w:p w14:paraId="125C94A7">
                  <w:pPr>
                    <w:pStyle w:val="57"/>
                    <w:wordWrap w:val="0"/>
                    <w:rPr>
                      <w:b w:val="0"/>
                      <w:bCs/>
                      <w:lang w:val="en-US"/>
                    </w:rPr>
                  </w:pPr>
                  <w:r>
                    <w:rPr>
                      <w:rFonts w:hint="eastAsia"/>
                      <w:b w:val="0"/>
                      <w:bCs/>
                      <w:lang w:val="en-US"/>
                    </w:rPr>
                    <w:t>石油类</w:t>
                  </w:r>
                </w:p>
              </w:tc>
              <w:tc>
                <w:tcPr>
                  <w:tcW w:w="1114" w:type="dxa"/>
                  <w:vAlign w:val="bottom"/>
                </w:tcPr>
                <w:p w14:paraId="04BF92D4">
                  <w:pPr>
                    <w:pStyle w:val="57"/>
                    <w:wordWrap w:val="0"/>
                    <w:rPr>
                      <w:b w:val="0"/>
                      <w:bCs/>
                      <w:lang w:val="en-US"/>
                    </w:rPr>
                  </w:pPr>
                  <w:r>
                    <w:rPr>
                      <w:rFonts w:hint="eastAsia"/>
                      <w:b w:val="0"/>
                      <w:bCs/>
                      <w:lang w:val="en-US"/>
                    </w:rPr>
                    <w:t>/</w:t>
                  </w:r>
                </w:p>
              </w:tc>
              <w:tc>
                <w:tcPr>
                  <w:tcW w:w="1276" w:type="dxa"/>
                  <w:vAlign w:val="center"/>
                </w:tcPr>
                <w:p w14:paraId="44707F6B">
                  <w:pPr>
                    <w:pStyle w:val="57"/>
                    <w:wordWrap w:val="0"/>
                    <w:rPr>
                      <w:b w:val="0"/>
                      <w:bCs/>
                      <w:lang w:val="en-US"/>
                    </w:rPr>
                  </w:pPr>
                  <w:r>
                    <w:rPr>
                      <w:rFonts w:hint="eastAsia"/>
                      <w:b w:val="0"/>
                      <w:bCs/>
                      <w:lang w:val="en-US"/>
                    </w:rPr>
                    <w:t>/</w:t>
                  </w:r>
                </w:p>
              </w:tc>
              <w:tc>
                <w:tcPr>
                  <w:tcW w:w="1238" w:type="dxa"/>
                  <w:shd w:val="clear" w:color="auto" w:fill="auto"/>
                  <w:vAlign w:val="bottom"/>
                </w:tcPr>
                <w:p w14:paraId="2AD512C0">
                  <w:pPr>
                    <w:pStyle w:val="57"/>
                    <w:wordWrap w:val="0"/>
                    <w:rPr>
                      <w:b w:val="0"/>
                      <w:bCs/>
                      <w:lang w:val="en-US"/>
                    </w:rPr>
                  </w:pPr>
                  <w:r>
                    <w:rPr>
                      <w:rFonts w:hint="eastAsia"/>
                      <w:b w:val="0"/>
                      <w:bCs/>
                      <w:lang w:val="en-US"/>
                    </w:rPr>
                    <w:t>0.002</w:t>
                  </w:r>
                </w:p>
              </w:tc>
              <w:tc>
                <w:tcPr>
                  <w:tcW w:w="2189" w:type="dxa"/>
                  <w:shd w:val="clear" w:color="auto" w:fill="auto"/>
                  <w:vAlign w:val="center"/>
                </w:tcPr>
                <w:p w14:paraId="4B3D1249">
                  <w:pPr>
                    <w:pStyle w:val="57"/>
                    <w:wordWrap w:val="0"/>
                    <w:rPr>
                      <w:b w:val="0"/>
                      <w:bCs/>
                      <w:lang w:val="en-US"/>
                    </w:rPr>
                  </w:pPr>
                  <w:r>
                    <w:rPr>
                      <w:rFonts w:hint="eastAsia"/>
                      <w:b w:val="0"/>
                      <w:bCs/>
                      <w:lang w:val="en-US"/>
                    </w:rPr>
                    <w:t>/</w:t>
                  </w:r>
                </w:p>
              </w:tc>
            </w:tr>
            <w:tr w14:paraId="32066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restart"/>
                  <w:vAlign w:val="center"/>
                </w:tcPr>
                <w:p w14:paraId="13AD0B70">
                  <w:pPr>
                    <w:pStyle w:val="57"/>
                    <w:wordWrap w:val="0"/>
                    <w:rPr>
                      <w:b w:val="0"/>
                      <w:bCs/>
                    </w:rPr>
                  </w:pPr>
                  <w:r>
                    <w:rPr>
                      <w:rFonts w:hint="eastAsia"/>
                      <w:b w:val="0"/>
                      <w:bCs/>
                    </w:rPr>
                    <w:t>一般工业</w:t>
                  </w:r>
                </w:p>
                <w:p w14:paraId="709C947D">
                  <w:pPr>
                    <w:pStyle w:val="57"/>
                    <w:wordWrap w:val="0"/>
                    <w:rPr>
                      <w:b w:val="0"/>
                      <w:bCs/>
                    </w:rPr>
                  </w:pPr>
                  <w:r>
                    <w:rPr>
                      <w:rFonts w:hint="eastAsia"/>
                      <w:b w:val="0"/>
                      <w:bCs/>
                    </w:rPr>
                    <w:t>固体废物</w:t>
                  </w:r>
                </w:p>
              </w:tc>
              <w:tc>
                <w:tcPr>
                  <w:tcW w:w="2047" w:type="dxa"/>
                  <w:shd w:val="clear" w:color="auto" w:fill="auto"/>
                  <w:vAlign w:val="center"/>
                </w:tcPr>
                <w:p w14:paraId="41F96BB8">
                  <w:pPr>
                    <w:pStyle w:val="57"/>
                    <w:wordWrap w:val="0"/>
                    <w:rPr>
                      <w:b w:val="0"/>
                      <w:bCs/>
                      <w:lang w:val="en-US"/>
                    </w:rPr>
                  </w:pPr>
                  <w:r>
                    <w:rPr>
                      <w:b w:val="0"/>
                      <w:bCs/>
                    </w:rPr>
                    <w:t>废包装物</w:t>
                  </w:r>
                </w:p>
              </w:tc>
              <w:tc>
                <w:tcPr>
                  <w:tcW w:w="1114" w:type="dxa"/>
                  <w:shd w:val="clear" w:color="auto" w:fill="auto"/>
                  <w:vAlign w:val="center"/>
                </w:tcPr>
                <w:p w14:paraId="18A64E15">
                  <w:pPr>
                    <w:pStyle w:val="57"/>
                    <w:wordWrap w:val="0"/>
                    <w:rPr>
                      <w:b w:val="0"/>
                      <w:bCs/>
                      <w:lang w:val="en-US"/>
                    </w:rPr>
                  </w:pPr>
                  <w:r>
                    <w:rPr>
                      <w:rFonts w:hint="eastAsia"/>
                      <w:b w:val="0"/>
                      <w:bCs/>
                      <w:lang w:val="en-US"/>
                    </w:rPr>
                    <w:t>13</w:t>
                  </w:r>
                </w:p>
              </w:tc>
              <w:tc>
                <w:tcPr>
                  <w:tcW w:w="1276" w:type="dxa"/>
                  <w:shd w:val="clear" w:color="auto" w:fill="auto"/>
                  <w:vAlign w:val="center"/>
                </w:tcPr>
                <w:p w14:paraId="3F0E461C">
                  <w:pPr>
                    <w:pStyle w:val="57"/>
                    <w:wordWrap w:val="0"/>
                    <w:rPr>
                      <w:b w:val="0"/>
                      <w:bCs/>
                      <w:lang w:val="en-US"/>
                    </w:rPr>
                  </w:pPr>
                  <w:r>
                    <w:rPr>
                      <w:rFonts w:hint="eastAsia"/>
                      <w:b w:val="0"/>
                      <w:bCs/>
                      <w:lang w:val="en-US"/>
                    </w:rPr>
                    <w:t>/</w:t>
                  </w:r>
                </w:p>
              </w:tc>
              <w:tc>
                <w:tcPr>
                  <w:tcW w:w="1238" w:type="dxa"/>
                  <w:shd w:val="clear" w:color="auto" w:fill="auto"/>
                  <w:vAlign w:val="center"/>
                </w:tcPr>
                <w:p w14:paraId="21A468C8">
                  <w:pPr>
                    <w:pStyle w:val="57"/>
                    <w:wordWrap w:val="0"/>
                    <w:rPr>
                      <w:b w:val="0"/>
                      <w:bCs/>
                      <w:lang w:val="en-US"/>
                    </w:rPr>
                  </w:pPr>
                  <w:r>
                    <w:rPr>
                      <w:rFonts w:hint="eastAsia"/>
                      <w:b w:val="0"/>
                      <w:bCs/>
                      <w:lang w:val="en-US"/>
                    </w:rPr>
                    <w:t>20</w:t>
                  </w:r>
                </w:p>
              </w:tc>
              <w:tc>
                <w:tcPr>
                  <w:tcW w:w="2189" w:type="dxa"/>
                  <w:vAlign w:val="center"/>
                </w:tcPr>
                <w:p w14:paraId="3B547482">
                  <w:pPr>
                    <w:pStyle w:val="57"/>
                    <w:wordWrap w:val="0"/>
                    <w:rPr>
                      <w:b w:val="0"/>
                      <w:bCs/>
                      <w:lang w:val="en-US"/>
                    </w:rPr>
                  </w:pPr>
                  <w:r>
                    <w:rPr>
                      <w:b w:val="0"/>
                      <w:bCs/>
                      <w:lang w:val="en-US"/>
                    </w:rPr>
                    <w:t>33</w:t>
                  </w:r>
                </w:p>
              </w:tc>
            </w:tr>
            <w:tr w14:paraId="660D6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3B9EE706">
                  <w:pPr>
                    <w:pStyle w:val="57"/>
                    <w:wordWrap w:val="0"/>
                    <w:rPr>
                      <w:b w:val="0"/>
                      <w:bCs/>
                    </w:rPr>
                  </w:pPr>
                </w:p>
              </w:tc>
              <w:tc>
                <w:tcPr>
                  <w:tcW w:w="2047" w:type="dxa"/>
                  <w:shd w:val="clear" w:color="auto" w:fill="auto"/>
                  <w:vAlign w:val="center"/>
                </w:tcPr>
                <w:p w14:paraId="5A11A147">
                  <w:pPr>
                    <w:pStyle w:val="57"/>
                    <w:wordWrap w:val="0"/>
                    <w:rPr>
                      <w:b w:val="0"/>
                      <w:bCs/>
                      <w:lang w:val="en-US"/>
                    </w:rPr>
                  </w:pPr>
                  <w:r>
                    <w:rPr>
                      <w:b w:val="0"/>
                      <w:bCs/>
                    </w:rPr>
                    <w:t>除尘器收尘灰</w:t>
                  </w:r>
                </w:p>
              </w:tc>
              <w:tc>
                <w:tcPr>
                  <w:tcW w:w="1114" w:type="dxa"/>
                  <w:shd w:val="clear" w:color="auto" w:fill="auto"/>
                  <w:vAlign w:val="center"/>
                </w:tcPr>
                <w:p w14:paraId="7165014C">
                  <w:pPr>
                    <w:pStyle w:val="57"/>
                    <w:wordWrap w:val="0"/>
                    <w:rPr>
                      <w:b w:val="0"/>
                      <w:bCs/>
                      <w:lang w:val="en-US"/>
                    </w:rPr>
                  </w:pPr>
                  <w:r>
                    <w:rPr>
                      <w:rFonts w:hint="eastAsia"/>
                      <w:b w:val="0"/>
                      <w:bCs/>
                      <w:lang w:val="en-US"/>
                    </w:rPr>
                    <w:t>0.3</w:t>
                  </w:r>
                </w:p>
              </w:tc>
              <w:tc>
                <w:tcPr>
                  <w:tcW w:w="1276" w:type="dxa"/>
                  <w:shd w:val="clear" w:color="auto" w:fill="auto"/>
                  <w:vAlign w:val="center"/>
                </w:tcPr>
                <w:p w14:paraId="4AEFBF03">
                  <w:pPr>
                    <w:pStyle w:val="57"/>
                    <w:wordWrap w:val="0"/>
                    <w:rPr>
                      <w:b w:val="0"/>
                      <w:bCs/>
                      <w:lang w:val="en-US"/>
                    </w:rPr>
                  </w:pPr>
                  <w:r>
                    <w:rPr>
                      <w:rFonts w:hint="eastAsia"/>
                      <w:b w:val="0"/>
                      <w:bCs/>
                      <w:lang w:val="en-US"/>
                    </w:rPr>
                    <w:t>/</w:t>
                  </w:r>
                </w:p>
              </w:tc>
              <w:tc>
                <w:tcPr>
                  <w:tcW w:w="1238" w:type="dxa"/>
                  <w:shd w:val="clear" w:color="auto" w:fill="auto"/>
                  <w:vAlign w:val="center"/>
                </w:tcPr>
                <w:p w14:paraId="6A7FC069">
                  <w:pPr>
                    <w:pStyle w:val="57"/>
                    <w:wordWrap w:val="0"/>
                    <w:rPr>
                      <w:b w:val="0"/>
                      <w:bCs/>
                      <w:lang w:val="en-US"/>
                    </w:rPr>
                  </w:pPr>
                  <w:r>
                    <w:rPr>
                      <w:rFonts w:hint="eastAsia"/>
                      <w:b w:val="0"/>
                      <w:bCs/>
                      <w:lang w:val="en-US"/>
                    </w:rPr>
                    <w:t>6.496</w:t>
                  </w:r>
                </w:p>
              </w:tc>
              <w:tc>
                <w:tcPr>
                  <w:tcW w:w="2189" w:type="dxa"/>
                  <w:shd w:val="clear" w:color="auto" w:fill="auto"/>
                  <w:vAlign w:val="center"/>
                </w:tcPr>
                <w:p w14:paraId="420572AE">
                  <w:pPr>
                    <w:pStyle w:val="57"/>
                    <w:wordWrap w:val="0"/>
                    <w:rPr>
                      <w:b w:val="0"/>
                      <w:bCs/>
                      <w:lang w:val="en-US"/>
                    </w:rPr>
                  </w:pPr>
                  <w:r>
                    <w:rPr>
                      <w:b w:val="0"/>
                      <w:bCs/>
                      <w:lang w:val="en-US"/>
                    </w:rPr>
                    <w:t>6.796</w:t>
                  </w:r>
                </w:p>
              </w:tc>
            </w:tr>
            <w:tr w14:paraId="3DD0A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2ADC87DC">
                  <w:pPr>
                    <w:pStyle w:val="57"/>
                    <w:wordWrap w:val="0"/>
                    <w:rPr>
                      <w:b w:val="0"/>
                      <w:bCs/>
                      <w:lang w:val="en-US"/>
                    </w:rPr>
                  </w:pPr>
                </w:p>
              </w:tc>
              <w:tc>
                <w:tcPr>
                  <w:tcW w:w="2047" w:type="dxa"/>
                  <w:shd w:val="clear" w:color="auto" w:fill="auto"/>
                  <w:vAlign w:val="center"/>
                </w:tcPr>
                <w:p w14:paraId="6954C72E">
                  <w:pPr>
                    <w:pStyle w:val="57"/>
                    <w:wordWrap w:val="0"/>
                    <w:rPr>
                      <w:b w:val="0"/>
                      <w:bCs/>
                      <w:lang w:val="en-US"/>
                    </w:rPr>
                  </w:pPr>
                  <w:r>
                    <w:rPr>
                      <w:rFonts w:hint="eastAsia"/>
                      <w:b w:val="0"/>
                      <w:bCs/>
                    </w:rPr>
                    <w:t>废模具</w:t>
                  </w:r>
                </w:p>
              </w:tc>
              <w:tc>
                <w:tcPr>
                  <w:tcW w:w="1114" w:type="dxa"/>
                  <w:shd w:val="clear" w:color="auto" w:fill="auto"/>
                  <w:vAlign w:val="center"/>
                </w:tcPr>
                <w:p w14:paraId="746A1BC1">
                  <w:pPr>
                    <w:pStyle w:val="57"/>
                    <w:wordWrap w:val="0"/>
                    <w:rPr>
                      <w:b w:val="0"/>
                      <w:bCs/>
                      <w:lang w:val="en-US"/>
                    </w:rPr>
                  </w:pPr>
                  <w:r>
                    <w:rPr>
                      <w:b w:val="0"/>
                      <w:bCs/>
                      <w:lang w:val="en-US"/>
                    </w:rPr>
                    <w:t>0.24</w:t>
                  </w:r>
                </w:p>
              </w:tc>
              <w:tc>
                <w:tcPr>
                  <w:tcW w:w="1276" w:type="dxa"/>
                  <w:shd w:val="clear" w:color="auto" w:fill="auto"/>
                  <w:vAlign w:val="center"/>
                </w:tcPr>
                <w:p w14:paraId="25B7B878">
                  <w:pPr>
                    <w:pStyle w:val="57"/>
                    <w:wordWrap w:val="0"/>
                    <w:rPr>
                      <w:b w:val="0"/>
                      <w:bCs/>
                      <w:lang w:val="en-US"/>
                    </w:rPr>
                  </w:pPr>
                  <w:r>
                    <w:rPr>
                      <w:rFonts w:hint="eastAsia"/>
                      <w:b w:val="0"/>
                      <w:bCs/>
                      <w:lang w:val="en-US"/>
                    </w:rPr>
                    <w:t>/</w:t>
                  </w:r>
                </w:p>
              </w:tc>
              <w:tc>
                <w:tcPr>
                  <w:tcW w:w="1238" w:type="dxa"/>
                  <w:shd w:val="clear" w:color="auto" w:fill="auto"/>
                  <w:vAlign w:val="center"/>
                </w:tcPr>
                <w:p w14:paraId="142CA917">
                  <w:pPr>
                    <w:pStyle w:val="57"/>
                    <w:wordWrap w:val="0"/>
                    <w:rPr>
                      <w:b w:val="0"/>
                      <w:bCs/>
                      <w:lang w:val="en-US"/>
                    </w:rPr>
                  </w:pPr>
                  <w:r>
                    <w:rPr>
                      <w:rFonts w:hint="eastAsia"/>
                      <w:b w:val="0"/>
                      <w:bCs/>
                      <w:lang w:val="en-US"/>
                    </w:rPr>
                    <w:t>/</w:t>
                  </w:r>
                </w:p>
              </w:tc>
              <w:tc>
                <w:tcPr>
                  <w:tcW w:w="2189" w:type="dxa"/>
                  <w:shd w:val="clear" w:color="auto" w:fill="auto"/>
                  <w:vAlign w:val="center"/>
                </w:tcPr>
                <w:p w14:paraId="105F9480">
                  <w:pPr>
                    <w:pStyle w:val="57"/>
                    <w:wordWrap w:val="0"/>
                    <w:rPr>
                      <w:b w:val="0"/>
                      <w:bCs/>
                      <w:lang w:val="en-US"/>
                    </w:rPr>
                  </w:pPr>
                  <w:r>
                    <w:rPr>
                      <w:rFonts w:hint="eastAsia"/>
                      <w:b w:val="0"/>
                      <w:bCs/>
                      <w:lang w:val="en-US"/>
                    </w:rPr>
                    <w:t>/</w:t>
                  </w:r>
                </w:p>
              </w:tc>
            </w:tr>
            <w:tr w14:paraId="2D219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09BE2B03">
                  <w:pPr>
                    <w:pStyle w:val="57"/>
                    <w:wordWrap w:val="0"/>
                    <w:rPr>
                      <w:b w:val="0"/>
                      <w:bCs/>
                    </w:rPr>
                  </w:pPr>
                </w:p>
              </w:tc>
              <w:tc>
                <w:tcPr>
                  <w:tcW w:w="2047" w:type="dxa"/>
                  <w:shd w:val="clear" w:color="auto" w:fill="auto"/>
                  <w:vAlign w:val="center"/>
                </w:tcPr>
                <w:p w14:paraId="5F84C3EA">
                  <w:pPr>
                    <w:pStyle w:val="57"/>
                    <w:wordWrap w:val="0"/>
                    <w:rPr>
                      <w:b w:val="0"/>
                      <w:bCs/>
                      <w:lang w:val="en-US"/>
                    </w:rPr>
                  </w:pPr>
                  <w:r>
                    <w:rPr>
                      <w:rFonts w:hint="eastAsia"/>
                      <w:b w:val="0"/>
                      <w:bCs/>
                    </w:rPr>
                    <w:t>污泥</w:t>
                  </w:r>
                </w:p>
              </w:tc>
              <w:tc>
                <w:tcPr>
                  <w:tcW w:w="1114" w:type="dxa"/>
                  <w:shd w:val="clear" w:color="auto" w:fill="auto"/>
                  <w:vAlign w:val="center"/>
                </w:tcPr>
                <w:p w14:paraId="035CE032">
                  <w:pPr>
                    <w:pStyle w:val="57"/>
                    <w:wordWrap w:val="0"/>
                    <w:rPr>
                      <w:b w:val="0"/>
                      <w:bCs/>
                      <w:lang w:val="en-US"/>
                    </w:rPr>
                  </w:pPr>
                  <w:r>
                    <w:rPr>
                      <w:b w:val="0"/>
                      <w:bCs/>
                      <w:lang w:val="en-US"/>
                    </w:rPr>
                    <w:t>1.39</w:t>
                  </w:r>
                </w:p>
              </w:tc>
              <w:tc>
                <w:tcPr>
                  <w:tcW w:w="1276" w:type="dxa"/>
                  <w:shd w:val="clear" w:color="auto" w:fill="auto"/>
                  <w:vAlign w:val="center"/>
                </w:tcPr>
                <w:p w14:paraId="1D119F21">
                  <w:pPr>
                    <w:pStyle w:val="57"/>
                    <w:wordWrap w:val="0"/>
                    <w:rPr>
                      <w:b w:val="0"/>
                      <w:bCs/>
                      <w:lang w:val="en-US"/>
                    </w:rPr>
                  </w:pPr>
                  <w:r>
                    <w:rPr>
                      <w:rFonts w:hint="eastAsia"/>
                      <w:b w:val="0"/>
                      <w:bCs/>
                      <w:lang w:val="en-US"/>
                    </w:rPr>
                    <w:t>/</w:t>
                  </w:r>
                </w:p>
              </w:tc>
              <w:tc>
                <w:tcPr>
                  <w:tcW w:w="1238" w:type="dxa"/>
                  <w:shd w:val="clear" w:color="auto" w:fill="auto"/>
                  <w:vAlign w:val="center"/>
                </w:tcPr>
                <w:p w14:paraId="48127AF9">
                  <w:pPr>
                    <w:pStyle w:val="57"/>
                    <w:wordWrap w:val="0"/>
                    <w:rPr>
                      <w:b w:val="0"/>
                      <w:bCs/>
                      <w:lang w:val="en-US"/>
                    </w:rPr>
                  </w:pPr>
                  <w:r>
                    <w:rPr>
                      <w:rFonts w:hint="eastAsia"/>
                      <w:b w:val="0"/>
                      <w:bCs/>
                      <w:lang w:val="en-US"/>
                    </w:rPr>
                    <w:t>0.8</w:t>
                  </w:r>
                </w:p>
              </w:tc>
              <w:tc>
                <w:tcPr>
                  <w:tcW w:w="2189" w:type="dxa"/>
                  <w:shd w:val="clear" w:color="auto" w:fill="auto"/>
                  <w:vAlign w:val="center"/>
                </w:tcPr>
                <w:p w14:paraId="08046EF6">
                  <w:pPr>
                    <w:pStyle w:val="57"/>
                    <w:wordWrap w:val="0"/>
                    <w:rPr>
                      <w:b w:val="0"/>
                      <w:bCs/>
                      <w:lang w:val="en-US"/>
                    </w:rPr>
                  </w:pPr>
                  <w:r>
                    <w:rPr>
                      <w:b w:val="0"/>
                      <w:bCs/>
                      <w:lang w:val="en-US"/>
                    </w:rPr>
                    <w:t>2.19</w:t>
                  </w:r>
                </w:p>
              </w:tc>
            </w:tr>
            <w:tr w14:paraId="48D2F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56" w:type="dxa"/>
                  <w:vMerge w:val="continue"/>
                  <w:vAlign w:val="center"/>
                </w:tcPr>
                <w:p w14:paraId="7CDCA001">
                  <w:pPr>
                    <w:pStyle w:val="57"/>
                    <w:wordWrap w:val="0"/>
                    <w:rPr>
                      <w:b w:val="0"/>
                      <w:bCs/>
                    </w:rPr>
                  </w:pPr>
                </w:p>
              </w:tc>
              <w:tc>
                <w:tcPr>
                  <w:tcW w:w="2047" w:type="dxa"/>
                  <w:shd w:val="clear" w:color="auto" w:fill="auto"/>
                  <w:vAlign w:val="center"/>
                </w:tcPr>
                <w:p w14:paraId="36F344FE">
                  <w:pPr>
                    <w:pStyle w:val="57"/>
                    <w:wordWrap w:val="0"/>
                    <w:rPr>
                      <w:b w:val="0"/>
                      <w:bCs/>
                    </w:rPr>
                  </w:pPr>
                  <w:r>
                    <w:rPr>
                      <w:rFonts w:hint="eastAsia"/>
                      <w:b w:val="0"/>
                      <w:bCs/>
                    </w:rPr>
                    <w:t>蒸发干化物（钨酸钾杂盐、钨酸钠杂盐）</w:t>
                  </w:r>
                </w:p>
              </w:tc>
              <w:tc>
                <w:tcPr>
                  <w:tcW w:w="1114" w:type="dxa"/>
                  <w:shd w:val="clear" w:color="auto" w:fill="auto"/>
                  <w:vAlign w:val="center"/>
                </w:tcPr>
                <w:p w14:paraId="2DAA9D37">
                  <w:pPr>
                    <w:pStyle w:val="57"/>
                    <w:wordWrap w:val="0"/>
                    <w:rPr>
                      <w:b w:val="0"/>
                      <w:bCs/>
                      <w:lang w:val="en-US"/>
                    </w:rPr>
                  </w:pPr>
                  <w:r>
                    <w:rPr>
                      <w:rFonts w:hint="eastAsia"/>
                      <w:b w:val="0"/>
                      <w:bCs/>
                      <w:lang w:val="en-US"/>
                    </w:rPr>
                    <w:t>/</w:t>
                  </w:r>
                </w:p>
              </w:tc>
              <w:tc>
                <w:tcPr>
                  <w:tcW w:w="1276" w:type="dxa"/>
                  <w:shd w:val="clear" w:color="auto" w:fill="auto"/>
                  <w:vAlign w:val="center"/>
                </w:tcPr>
                <w:p w14:paraId="055E11C3">
                  <w:pPr>
                    <w:pStyle w:val="57"/>
                    <w:wordWrap w:val="0"/>
                    <w:rPr>
                      <w:b w:val="0"/>
                      <w:bCs/>
                      <w:lang w:val="en-US"/>
                    </w:rPr>
                  </w:pPr>
                  <w:r>
                    <w:rPr>
                      <w:rFonts w:hint="eastAsia"/>
                      <w:b w:val="0"/>
                      <w:bCs/>
                      <w:lang w:val="en-US"/>
                    </w:rPr>
                    <w:t>/</w:t>
                  </w:r>
                </w:p>
              </w:tc>
              <w:tc>
                <w:tcPr>
                  <w:tcW w:w="1238" w:type="dxa"/>
                  <w:shd w:val="clear" w:color="auto" w:fill="auto"/>
                  <w:vAlign w:val="center"/>
                </w:tcPr>
                <w:p w14:paraId="04DC23F6">
                  <w:pPr>
                    <w:pStyle w:val="57"/>
                    <w:wordWrap w:val="0"/>
                    <w:rPr>
                      <w:b w:val="0"/>
                      <w:bCs/>
                      <w:lang w:val="en-US"/>
                    </w:rPr>
                  </w:pPr>
                  <w:r>
                    <w:rPr>
                      <w:rFonts w:hint="eastAsia"/>
                      <w:b w:val="0"/>
                      <w:bCs/>
                      <w:lang w:val="en-US"/>
                    </w:rPr>
                    <w:t>6.13</w:t>
                  </w:r>
                </w:p>
              </w:tc>
              <w:tc>
                <w:tcPr>
                  <w:tcW w:w="2189" w:type="dxa"/>
                  <w:shd w:val="clear" w:color="auto" w:fill="auto"/>
                  <w:vAlign w:val="center"/>
                </w:tcPr>
                <w:p w14:paraId="0C5C37BD">
                  <w:pPr>
                    <w:pStyle w:val="57"/>
                    <w:wordWrap w:val="0"/>
                    <w:rPr>
                      <w:b w:val="0"/>
                      <w:bCs/>
                      <w:lang w:val="en-US"/>
                    </w:rPr>
                  </w:pPr>
                  <w:r>
                    <w:rPr>
                      <w:rFonts w:hint="eastAsia"/>
                      <w:b w:val="0"/>
                      <w:bCs/>
                      <w:lang w:val="en-US"/>
                    </w:rPr>
                    <w:t>/</w:t>
                  </w:r>
                </w:p>
              </w:tc>
            </w:tr>
            <w:tr w14:paraId="2B0E7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60587EF9">
                  <w:pPr>
                    <w:pStyle w:val="57"/>
                    <w:wordWrap w:val="0"/>
                    <w:rPr>
                      <w:b w:val="0"/>
                      <w:bCs/>
                    </w:rPr>
                  </w:pPr>
                </w:p>
              </w:tc>
              <w:tc>
                <w:tcPr>
                  <w:tcW w:w="2047" w:type="dxa"/>
                  <w:shd w:val="clear" w:color="auto" w:fill="auto"/>
                  <w:vAlign w:val="center"/>
                </w:tcPr>
                <w:p w14:paraId="3E0C0739">
                  <w:pPr>
                    <w:pStyle w:val="57"/>
                    <w:wordWrap w:val="0"/>
                    <w:rPr>
                      <w:b w:val="0"/>
                      <w:bCs/>
                      <w:lang w:val="en-US"/>
                    </w:rPr>
                  </w:pPr>
                  <w:r>
                    <w:rPr>
                      <w:rFonts w:hint="eastAsia"/>
                      <w:b w:val="0"/>
                      <w:bCs/>
                    </w:rPr>
                    <w:t>化尖产生的钨酸钠</w:t>
                  </w:r>
                  <w:r>
                    <w:rPr>
                      <w:rFonts w:hint="eastAsia"/>
                      <w:b w:val="0"/>
                      <w:bCs/>
                      <w:lang w:val="en-US"/>
                    </w:rPr>
                    <w:t xml:space="preserve"> </w:t>
                  </w:r>
                </w:p>
              </w:tc>
              <w:tc>
                <w:tcPr>
                  <w:tcW w:w="1114" w:type="dxa"/>
                  <w:shd w:val="clear" w:color="auto" w:fill="auto"/>
                  <w:vAlign w:val="center"/>
                </w:tcPr>
                <w:p w14:paraId="6E7DFDB4">
                  <w:pPr>
                    <w:pStyle w:val="57"/>
                    <w:wordWrap w:val="0"/>
                    <w:rPr>
                      <w:b w:val="0"/>
                      <w:bCs/>
                      <w:lang w:val="en-US"/>
                    </w:rPr>
                  </w:pPr>
                  <w:r>
                    <w:rPr>
                      <w:rFonts w:hint="eastAsia"/>
                      <w:b w:val="0"/>
                      <w:bCs/>
                      <w:lang w:val="en-US"/>
                    </w:rPr>
                    <w:t>/</w:t>
                  </w:r>
                </w:p>
              </w:tc>
              <w:tc>
                <w:tcPr>
                  <w:tcW w:w="1276" w:type="dxa"/>
                  <w:shd w:val="clear" w:color="auto" w:fill="auto"/>
                  <w:vAlign w:val="center"/>
                </w:tcPr>
                <w:p w14:paraId="727AE716">
                  <w:pPr>
                    <w:pStyle w:val="57"/>
                    <w:wordWrap w:val="0"/>
                    <w:rPr>
                      <w:b w:val="0"/>
                      <w:bCs/>
                      <w:lang w:val="en-US"/>
                    </w:rPr>
                  </w:pPr>
                  <w:r>
                    <w:rPr>
                      <w:rFonts w:hint="eastAsia"/>
                      <w:b w:val="0"/>
                      <w:bCs/>
                      <w:lang w:val="en-US"/>
                    </w:rPr>
                    <w:t>/</w:t>
                  </w:r>
                </w:p>
              </w:tc>
              <w:tc>
                <w:tcPr>
                  <w:tcW w:w="1238" w:type="dxa"/>
                  <w:shd w:val="clear" w:color="auto" w:fill="auto"/>
                  <w:vAlign w:val="center"/>
                </w:tcPr>
                <w:p w14:paraId="70002B34">
                  <w:pPr>
                    <w:pStyle w:val="57"/>
                    <w:wordWrap w:val="0"/>
                    <w:rPr>
                      <w:b w:val="0"/>
                      <w:bCs/>
                      <w:lang w:val="en-US"/>
                    </w:rPr>
                  </w:pPr>
                  <w:r>
                    <w:rPr>
                      <w:rFonts w:hint="eastAsia"/>
                      <w:b w:val="0"/>
                      <w:bCs/>
                      <w:lang w:val="en-US"/>
                    </w:rPr>
                    <w:t>2.4</w:t>
                  </w:r>
                </w:p>
              </w:tc>
              <w:tc>
                <w:tcPr>
                  <w:tcW w:w="2189" w:type="dxa"/>
                  <w:shd w:val="clear" w:color="auto" w:fill="auto"/>
                  <w:vAlign w:val="center"/>
                </w:tcPr>
                <w:p w14:paraId="51865F9A">
                  <w:pPr>
                    <w:pStyle w:val="57"/>
                    <w:wordWrap w:val="0"/>
                    <w:rPr>
                      <w:b w:val="0"/>
                      <w:bCs/>
                      <w:lang w:val="en-US"/>
                    </w:rPr>
                  </w:pPr>
                  <w:r>
                    <w:rPr>
                      <w:rFonts w:hint="eastAsia"/>
                      <w:b w:val="0"/>
                      <w:bCs/>
                      <w:lang w:val="en-US"/>
                    </w:rPr>
                    <w:t>/</w:t>
                  </w:r>
                </w:p>
              </w:tc>
            </w:tr>
            <w:tr w14:paraId="5FB1B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vAlign w:val="center"/>
                </w:tcPr>
                <w:p w14:paraId="661A88E5">
                  <w:pPr>
                    <w:pStyle w:val="57"/>
                    <w:wordWrap w:val="0"/>
                    <w:rPr>
                      <w:b w:val="0"/>
                      <w:bCs/>
                      <w:lang w:val="en-US"/>
                    </w:rPr>
                  </w:pPr>
                </w:p>
              </w:tc>
              <w:tc>
                <w:tcPr>
                  <w:tcW w:w="2047" w:type="dxa"/>
                  <w:shd w:val="clear" w:color="auto" w:fill="auto"/>
                  <w:vAlign w:val="center"/>
                </w:tcPr>
                <w:p w14:paraId="23029B93">
                  <w:pPr>
                    <w:pStyle w:val="57"/>
                    <w:wordWrap w:val="0"/>
                    <w:rPr>
                      <w:b w:val="0"/>
                      <w:bCs/>
                      <w:lang w:val="en-US"/>
                    </w:rPr>
                  </w:pPr>
                  <w:r>
                    <w:rPr>
                      <w:rFonts w:hint="eastAsia"/>
                      <w:b w:val="0"/>
                      <w:bCs/>
                    </w:rPr>
                    <w:t>石墨乳废渣</w:t>
                  </w:r>
                </w:p>
              </w:tc>
              <w:tc>
                <w:tcPr>
                  <w:tcW w:w="1114" w:type="dxa"/>
                  <w:shd w:val="clear" w:color="auto" w:fill="auto"/>
                  <w:vAlign w:val="center"/>
                </w:tcPr>
                <w:p w14:paraId="36171CD6">
                  <w:pPr>
                    <w:pStyle w:val="57"/>
                    <w:wordWrap w:val="0"/>
                    <w:rPr>
                      <w:b w:val="0"/>
                      <w:bCs/>
                      <w:lang w:val="en-US"/>
                    </w:rPr>
                  </w:pPr>
                  <w:r>
                    <w:rPr>
                      <w:b w:val="0"/>
                      <w:bCs/>
                      <w:lang w:val="en-US"/>
                    </w:rPr>
                    <w:t>1.8</w:t>
                  </w:r>
                </w:p>
              </w:tc>
              <w:tc>
                <w:tcPr>
                  <w:tcW w:w="1276" w:type="dxa"/>
                  <w:shd w:val="clear" w:color="auto" w:fill="auto"/>
                  <w:vAlign w:val="center"/>
                </w:tcPr>
                <w:p w14:paraId="2FBA0DB1">
                  <w:pPr>
                    <w:pStyle w:val="57"/>
                    <w:wordWrap w:val="0"/>
                    <w:rPr>
                      <w:b w:val="0"/>
                      <w:bCs/>
                      <w:lang w:val="en-US"/>
                    </w:rPr>
                  </w:pPr>
                  <w:r>
                    <w:rPr>
                      <w:rFonts w:hint="eastAsia"/>
                      <w:b w:val="0"/>
                      <w:bCs/>
                      <w:lang w:val="en-US"/>
                    </w:rPr>
                    <w:t>/</w:t>
                  </w:r>
                </w:p>
              </w:tc>
              <w:tc>
                <w:tcPr>
                  <w:tcW w:w="1238" w:type="dxa"/>
                  <w:shd w:val="clear" w:color="auto" w:fill="auto"/>
                  <w:vAlign w:val="center"/>
                </w:tcPr>
                <w:p w14:paraId="0FAC11E0">
                  <w:pPr>
                    <w:pStyle w:val="57"/>
                    <w:wordWrap w:val="0"/>
                    <w:rPr>
                      <w:b w:val="0"/>
                      <w:bCs/>
                      <w:lang w:val="en-US"/>
                    </w:rPr>
                  </w:pPr>
                  <w:r>
                    <w:rPr>
                      <w:rFonts w:hint="eastAsia"/>
                      <w:b w:val="0"/>
                      <w:bCs/>
                      <w:lang w:val="en-US"/>
                    </w:rPr>
                    <w:t>37.8</w:t>
                  </w:r>
                </w:p>
              </w:tc>
              <w:tc>
                <w:tcPr>
                  <w:tcW w:w="2189" w:type="dxa"/>
                  <w:shd w:val="clear" w:color="auto" w:fill="auto"/>
                  <w:vAlign w:val="center"/>
                </w:tcPr>
                <w:p w14:paraId="5736784B">
                  <w:pPr>
                    <w:pStyle w:val="57"/>
                    <w:wordWrap w:val="0"/>
                    <w:rPr>
                      <w:b w:val="0"/>
                      <w:bCs/>
                      <w:lang w:val="en-US"/>
                    </w:rPr>
                  </w:pPr>
                  <w:r>
                    <w:rPr>
                      <w:b w:val="0"/>
                      <w:bCs/>
                      <w:lang w:val="en-US"/>
                    </w:rPr>
                    <w:t>39.6</w:t>
                  </w:r>
                </w:p>
              </w:tc>
            </w:tr>
            <w:tr w14:paraId="61578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restart"/>
                  <w:vAlign w:val="center"/>
                </w:tcPr>
                <w:p w14:paraId="40EF75A3">
                  <w:pPr>
                    <w:pStyle w:val="57"/>
                    <w:wordWrap w:val="0"/>
                    <w:rPr>
                      <w:b w:val="0"/>
                      <w:bCs/>
                      <w:lang w:val="en-US"/>
                    </w:rPr>
                  </w:pPr>
                  <w:r>
                    <w:rPr>
                      <w:rFonts w:hint="eastAsia"/>
                      <w:b w:val="0"/>
                      <w:bCs/>
                    </w:rPr>
                    <w:t>危险废物</w:t>
                  </w:r>
                </w:p>
              </w:tc>
              <w:tc>
                <w:tcPr>
                  <w:tcW w:w="2047" w:type="dxa"/>
                  <w:shd w:val="clear" w:color="auto" w:fill="auto"/>
                  <w:vAlign w:val="center"/>
                </w:tcPr>
                <w:p w14:paraId="3D80B64C">
                  <w:pPr>
                    <w:pStyle w:val="57"/>
                    <w:wordWrap w:val="0"/>
                    <w:rPr>
                      <w:b w:val="0"/>
                      <w:bCs/>
                      <w:lang w:val="en-US"/>
                    </w:rPr>
                  </w:pPr>
                  <w:r>
                    <w:rPr>
                      <w:b w:val="0"/>
                      <w:bCs/>
                    </w:rPr>
                    <w:t>废润滑油</w:t>
                  </w:r>
                </w:p>
              </w:tc>
              <w:tc>
                <w:tcPr>
                  <w:tcW w:w="1114" w:type="dxa"/>
                  <w:shd w:val="clear" w:color="auto" w:fill="auto"/>
                  <w:vAlign w:val="center"/>
                </w:tcPr>
                <w:p w14:paraId="0DDE5169">
                  <w:pPr>
                    <w:pStyle w:val="57"/>
                    <w:wordWrap w:val="0"/>
                    <w:rPr>
                      <w:b w:val="0"/>
                      <w:bCs/>
                      <w:lang w:val="en-US"/>
                    </w:rPr>
                  </w:pPr>
                  <w:r>
                    <w:rPr>
                      <w:b w:val="0"/>
                      <w:bCs/>
                      <w:lang w:val="en-US"/>
                    </w:rPr>
                    <w:t>1.75</w:t>
                  </w:r>
                </w:p>
              </w:tc>
              <w:tc>
                <w:tcPr>
                  <w:tcW w:w="1276" w:type="dxa"/>
                  <w:shd w:val="clear" w:color="auto" w:fill="auto"/>
                  <w:vAlign w:val="center"/>
                </w:tcPr>
                <w:p w14:paraId="24E5EDC8">
                  <w:pPr>
                    <w:pStyle w:val="57"/>
                    <w:wordWrap w:val="0"/>
                    <w:rPr>
                      <w:b w:val="0"/>
                      <w:bCs/>
                      <w:lang w:val="en-US"/>
                    </w:rPr>
                  </w:pPr>
                  <w:r>
                    <w:rPr>
                      <w:rFonts w:hint="eastAsia"/>
                      <w:b w:val="0"/>
                      <w:bCs/>
                      <w:lang w:val="en-US"/>
                    </w:rPr>
                    <w:t>/</w:t>
                  </w:r>
                </w:p>
              </w:tc>
              <w:tc>
                <w:tcPr>
                  <w:tcW w:w="1238" w:type="dxa"/>
                  <w:shd w:val="clear" w:color="auto" w:fill="auto"/>
                  <w:vAlign w:val="center"/>
                </w:tcPr>
                <w:p w14:paraId="23DFD3D2">
                  <w:pPr>
                    <w:pStyle w:val="57"/>
                    <w:wordWrap w:val="0"/>
                    <w:rPr>
                      <w:b w:val="0"/>
                      <w:bCs/>
                      <w:lang w:val="en-US"/>
                    </w:rPr>
                  </w:pPr>
                  <w:r>
                    <w:rPr>
                      <w:rFonts w:hint="eastAsia"/>
                      <w:b w:val="0"/>
                      <w:bCs/>
                      <w:lang w:val="en-US"/>
                    </w:rPr>
                    <w:t>4.2</w:t>
                  </w:r>
                </w:p>
              </w:tc>
              <w:tc>
                <w:tcPr>
                  <w:tcW w:w="2189" w:type="dxa"/>
                  <w:shd w:val="clear" w:color="auto" w:fill="auto"/>
                  <w:vAlign w:val="center"/>
                </w:tcPr>
                <w:p w14:paraId="5CCDE1AD">
                  <w:pPr>
                    <w:pStyle w:val="57"/>
                    <w:wordWrap w:val="0"/>
                    <w:rPr>
                      <w:b w:val="0"/>
                      <w:bCs/>
                      <w:lang w:val="en-US"/>
                    </w:rPr>
                  </w:pPr>
                  <w:r>
                    <w:rPr>
                      <w:b w:val="0"/>
                      <w:bCs/>
                      <w:lang w:val="en-US"/>
                    </w:rPr>
                    <w:t>5.95</w:t>
                  </w:r>
                </w:p>
              </w:tc>
            </w:tr>
            <w:tr w14:paraId="4AD9F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tcPr>
                <w:p w14:paraId="75020D01">
                  <w:pPr>
                    <w:pStyle w:val="57"/>
                    <w:wordWrap w:val="0"/>
                    <w:rPr>
                      <w:b w:val="0"/>
                      <w:bCs/>
                      <w:lang w:val="en-US"/>
                    </w:rPr>
                  </w:pPr>
                </w:p>
              </w:tc>
              <w:tc>
                <w:tcPr>
                  <w:tcW w:w="2047" w:type="dxa"/>
                  <w:shd w:val="clear" w:color="auto" w:fill="auto"/>
                  <w:vAlign w:val="center"/>
                </w:tcPr>
                <w:p w14:paraId="6AB9D1C7">
                  <w:pPr>
                    <w:pStyle w:val="57"/>
                    <w:wordWrap w:val="0"/>
                    <w:rPr>
                      <w:b w:val="0"/>
                      <w:bCs/>
                      <w:lang w:val="en-US"/>
                    </w:rPr>
                  </w:pPr>
                  <w:r>
                    <w:rPr>
                      <w:b w:val="0"/>
                      <w:bCs/>
                    </w:rPr>
                    <w:t>含油手套、抹布</w:t>
                  </w:r>
                </w:p>
              </w:tc>
              <w:tc>
                <w:tcPr>
                  <w:tcW w:w="1114" w:type="dxa"/>
                  <w:shd w:val="clear" w:color="auto" w:fill="auto"/>
                  <w:vAlign w:val="center"/>
                </w:tcPr>
                <w:p w14:paraId="75B1A737">
                  <w:pPr>
                    <w:pStyle w:val="57"/>
                    <w:wordWrap w:val="0"/>
                    <w:rPr>
                      <w:b w:val="0"/>
                      <w:bCs/>
                      <w:lang w:val="en-US"/>
                    </w:rPr>
                  </w:pPr>
                  <w:r>
                    <w:rPr>
                      <w:b w:val="0"/>
                      <w:bCs/>
                      <w:lang w:val="en-US"/>
                    </w:rPr>
                    <w:t>0.5</w:t>
                  </w:r>
                </w:p>
              </w:tc>
              <w:tc>
                <w:tcPr>
                  <w:tcW w:w="1276" w:type="dxa"/>
                  <w:vAlign w:val="center"/>
                </w:tcPr>
                <w:p w14:paraId="3B68E6B6">
                  <w:pPr>
                    <w:pStyle w:val="57"/>
                    <w:wordWrap w:val="0"/>
                    <w:rPr>
                      <w:b w:val="0"/>
                      <w:bCs/>
                      <w:lang w:val="en-US"/>
                    </w:rPr>
                  </w:pPr>
                  <w:r>
                    <w:rPr>
                      <w:rFonts w:hint="eastAsia"/>
                      <w:b w:val="0"/>
                      <w:bCs/>
                      <w:lang w:val="en-US"/>
                    </w:rPr>
                    <w:t>/</w:t>
                  </w:r>
                </w:p>
              </w:tc>
              <w:tc>
                <w:tcPr>
                  <w:tcW w:w="1238" w:type="dxa"/>
                  <w:shd w:val="clear" w:color="auto" w:fill="auto"/>
                  <w:vAlign w:val="center"/>
                </w:tcPr>
                <w:p w14:paraId="4267A62A">
                  <w:pPr>
                    <w:pStyle w:val="57"/>
                    <w:wordWrap w:val="0"/>
                    <w:rPr>
                      <w:b w:val="0"/>
                      <w:bCs/>
                      <w:lang w:val="en-US"/>
                    </w:rPr>
                  </w:pPr>
                  <w:r>
                    <w:rPr>
                      <w:rFonts w:hint="eastAsia"/>
                      <w:b w:val="0"/>
                      <w:bCs/>
                      <w:lang w:val="en-US"/>
                    </w:rPr>
                    <w:t>0.5</w:t>
                  </w:r>
                </w:p>
              </w:tc>
              <w:tc>
                <w:tcPr>
                  <w:tcW w:w="2189" w:type="dxa"/>
                  <w:shd w:val="clear" w:color="auto" w:fill="auto"/>
                  <w:vAlign w:val="center"/>
                </w:tcPr>
                <w:p w14:paraId="1D5E6F21">
                  <w:pPr>
                    <w:pStyle w:val="57"/>
                    <w:wordWrap w:val="0"/>
                    <w:rPr>
                      <w:b w:val="0"/>
                      <w:bCs/>
                      <w:lang w:val="en-US"/>
                    </w:rPr>
                  </w:pPr>
                  <w:r>
                    <w:rPr>
                      <w:b w:val="0"/>
                      <w:bCs/>
                      <w:lang w:val="en-US"/>
                    </w:rPr>
                    <w:t>1</w:t>
                  </w:r>
                </w:p>
              </w:tc>
            </w:tr>
            <w:tr w14:paraId="1A75E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tcPr>
                <w:p w14:paraId="2809744D">
                  <w:pPr>
                    <w:pStyle w:val="57"/>
                    <w:wordWrap w:val="0"/>
                    <w:rPr>
                      <w:b w:val="0"/>
                      <w:bCs/>
                      <w:lang w:val="en-US"/>
                    </w:rPr>
                  </w:pPr>
                </w:p>
              </w:tc>
              <w:tc>
                <w:tcPr>
                  <w:tcW w:w="2047" w:type="dxa"/>
                  <w:shd w:val="clear" w:color="auto" w:fill="auto"/>
                  <w:vAlign w:val="center"/>
                </w:tcPr>
                <w:p w14:paraId="0DBF6858">
                  <w:pPr>
                    <w:pStyle w:val="57"/>
                    <w:wordWrap w:val="0"/>
                    <w:rPr>
                      <w:b w:val="0"/>
                      <w:bCs/>
                      <w:lang w:val="en-US"/>
                    </w:rPr>
                  </w:pPr>
                  <w:r>
                    <w:rPr>
                      <w:b w:val="0"/>
                      <w:bCs/>
                    </w:rPr>
                    <w:t>废乳化液</w:t>
                  </w:r>
                </w:p>
              </w:tc>
              <w:tc>
                <w:tcPr>
                  <w:tcW w:w="1114" w:type="dxa"/>
                  <w:shd w:val="clear" w:color="auto" w:fill="auto"/>
                  <w:vAlign w:val="center"/>
                </w:tcPr>
                <w:p w14:paraId="0312BE8E">
                  <w:pPr>
                    <w:pStyle w:val="57"/>
                    <w:wordWrap w:val="0"/>
                    <w:rPr>
                      <w:b w:val="0"/>
                      <w:bCs/>
                      <w:lang w:val="en-US"/>
                    </w:rPr>
                  </w:pPr>
                  <w:r>
                    <w:rPr>
                      <w:b w:val="0"/>
                      <w:bCs/>
                      <w:lang w:val="en-US"/>
                    </w:rPr>
                    <w:t>1.5</w:t>
                  </w:r>
                </w:p>
              </w:tc>
              <w:tc>
                <w:tcPr>
                  <w:tcW w:w="1276" w:type="dxa"/>
                  <w:vAlign w:val="center"/>
                </w:tcPr>
                <w:p w14:paraId="0125051D">
                  <w:pPr>
                    <w:pStyle w:val="57"/>
                    <w:wordWrap w:val="0"/>
                    <w:rPr>
                      <w:b w:val="0"/>
                      <w:bCs/>
                      <w:lang w:val="en-US"/>
                    </w:rPr>
                  </w:pPr>
                  <w:r>
                    <w:rPr>
                      <w:rFonts w:hint="eastAsia"/>
                      <w:b w:val="0"/>
                      <w:bCs/>
                      <w:lang w:val="en-US"/>
                    </w:rPr>
                    <w:t>/</w:t>
                  </w:r>
                </w:p>
              </w:tc>
              <w:tc>
                <w:tcPr>
                  <w:tcW w:w="1238" w:type="dxa"/>
                  <w:shd w:val="clear" w:color="auto" w:fill="auto"/>
                  <w:vAlign w:val="center"/>
                </w:tcPr>
                <w:p w14:paraId="0441CD82">
                  <w:pPr>
                    <w:pStyle w:val="57"/>
                    <w:wordWrap w:val="0"/>
                    <w:rPr>
                      <w:b w:val="0"/>
                      <w:bCs/>
                      <w:lang w:val="en-US"/>
                    </w:rPr>
                  </w:pPr>
                  <w:r>
                    <w:rPr>
                      <w:rFonts w:hint="eastAsia"/>
                      <w:b w:val="0"/>
                      <w:bCs/>
                      <w:lang w:val="en-US"/>
                    </w:rPr>
                    <w:t>0.9</w:t>
                  </w:r>
                </w:p>
              </w:tc>
              <w:tc>
                <w:tcPr>
                  <w:tcW w:w="2189" w:type="dxa"/>
                  <w:shd w:val="clear" w:color="auto" w:fill="auto"/>
                  <w:vAlign w:val="center"/>
                </w:tcPr>
                <w:p w14:paraId="6B759F87">
                  <w:pPr>
                    <w:pStyle w:val="57"/>
                    <w:wordWrap w:val="0"/>
                    <w:rPr>
                      <w:b w:val="0"/>
                      <w:bCs/>
                      <w:lang w:val="en-US"/>
                    </w:rPr>
                  </w:pPr>
                  <w:r>
                    <w:rPr>
                      <w:b w:val="0"/>
                      <w:bCs/>
                      <w:lang w:val="en-US"/>
                    </w:rPr>
                    <w:t>2.4</w:t>
                  </w:r>
                </w:p>
              </w:tc>
            </w:tr>
            <w:tr w14:paraId="45AE3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tcPr>
                <w:p w14:paraId="38B89270">
                  <w:pPr>
                    <w:pStyle w:val="57"/>
                    <w:wordWrap w:val="0"/>
                    <w:rPr>
                      <w:b w:val="0"/>
                      <w:bCs/>
                      <w:lang w:val="en-US"/>
                    </w:rPr>
                  </w:pPr>
                </w:p>
              </w:tc>
              <w:tc>
                <w:tcPr>
                  <w:tcW w:w="2047" w:type="dxa"/>
                  <w:shd w:val="clear" w:color="auto" w:fill="auto"/>
                  <w:vAlign w:val="center"/>
                </w:tcPr>
                <w:p w14:paraId="1BD6B73E">
                  <w:pPr>
                    <w:pStyle w:val="57"/>
                    <w:wordWrap w:val="0"/>
                    <w:rPr>
                      <w:b w:val="0"/>
                      <w:bCs/>
                      <w:lang w:val="en-US"/>
                    </w:rPr>
                  </w:pPr>
                  <w:r>
                    <w:rPr>
                      <w:b w:val="0"/>
                      <w:bCs/>
                    </w:rPr>
                    <w:t>废碱液</w:t>
                  </w:r>
                </w:p>
              </w:tc>
              <w:tc>
                <w:tcPr>
                  <w:tcW w:w="1114" w:type="dxa"/>
                  <w:shd w:val="clear" w:color="auto" w:fill="auto"/>
                  <w:vAlign w:val="center"/>
                </w:tcPr>
                <w:p w14:paraId="17409639">
                  <w:pPr>
                    <w:pStyle w:val="57"/>
                    <w:wordWrap w:val="0"/>
                    <w:rPr>
                      <w:b w:val="0"/>
                      <w:bCs/>
                      <w:lang w:val="en-US"/>
                    </w:rPr>
                  </w:pPr>
                  <w:r>
                    <w:rPr>
                      <w:rFonts w:hint="eastAsia"/>
                      <w:b w:val="0"/>
                      <w:bCs/>
                      <w:lang w:val="en-US"/>
                    </w:rPr>
                    <w:t>2</w:t>
                  </w:r>
                </w:p>
              </w:tc>
              <w:tc>
                <w:tcPr>
                  <w:tcW w:w="1276" w:type="dxa"/>
                  <w:vAlign w:val="center"/>
                </w:tcPr>
                <w:p w14:paraId="23CFD43D">
                  <w:pPr>
                    <w:pStyle w:val="57"/>
                    <w:wordWrap w:val="0"/>
                    <w:rPr>
                      <w:b w:val="0"/>
                      <w:bCs/>
                      <w:lang w:val="en-US"/>
                    </w:rPr>
                  </w:pPr>
                  <w:r>
                    <w:rPr>
                      <w:rFonts w:hint="eastAsia"/>
                      <w:b w:val="0"/>
                      <w:bCs/>
                      <w:lang w:val="en-US"/>
                    </w:rPr>
                    <w:t>/</w:t>
                  </w:r>
                </w:p>
              </w:tc>
              <w:tc>
                <w:tcPr>
                  <w:tcW w:w="1238" w:type="dxa"/>
                  <w:shd w:val="clear" w:color="auto" w:fill="auto"/>
                  <w:vAlign w:val="center"/>
                </w:tcPr>
                <w:p w14:paraId="770DDF3B">
                  <w:pPr>
                    <w:pStyle w:val="57"/>
                    <w:wordWrap w:val="0"/>
                    <w:rPr>
                      <w:b w:val="0"/>
                      <w:bCs/>
                      <w:lang w:val="en-US"/>
                    </w:rPr>
                  </w:pPr>
                  <w:r>
                    <w:rPr>
                      <w:rFonts w:hint="eastAsia"/>
                      <w:b w:val="0"/>
                      <w:bCs/>
                      <w:lang w:val="en-US"/>
                    </w:rPr>
                    <w:t>/</w:t>
                  </w:r>
                </w:p>
              </w:tc>
              <w:tc>
                <w:tcPr>
                  <w:tcW w:w="2189" w:type="dxa"/>
                  <w:vAlign w:val="center"/>
                </w:tcPr>
                <w:p w14:paraId="6A39C7AD">
                  <w:pPr>
                    <w:pStyle w:val="57"/>
                    <w:wordWrap w:val="0"/>
                    <w:rPr>
                      <w:b w:val="0"/>
                      <w:bCs/>
                      <w:lang w:val="en-US"/>
                    </w:rPr>
                  </w:pPr>
                  <w:r>
                    <w:rPr>
                      <w:rFonts w:hint="eastAsia"/>
                      <w:b w:val="0"/>
                      <w:bCs/>
                      <w:lang w:val="en-US"/>
                    </w:rPr>
                    <w:t>/</w:t>
                  </w:r>
                </w:p>
              </w:tc>
            </w:tr>
            <w:tr w14:paraId="4EE20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shd w:val="clear" w:color="auto" w:fill="auto"/>
                </w:tcPr>
                <w:p w14:paraId="46B7A742">
                  <w:pPr>
                    <w:pStyle w:val="57"/>
                    <w:wordWrap w:val="0"/>
                    <w:rPr>
                      <w:b w:val="0"/>
                      <w:bCs/>
                      <w:lang w:val="en-US"/>
                    </w:rPr>
                  </w:pPr>
                  <w:r>
                    <w:rPr>
                      <w:rFonts w:hint="eastAsia"/>
                      <w:b w:val="0"/>
                      <w:bCs/>
                      <w:lang w:val="en-US"/>
                    </w:rPr>
                    <w:t>生活垃圾</w:t>
                  </w:r>
                </w:p>
              </w:tc>
              <w:tc>
                <w:tcPr>
                  <w:tcW w:w="2047" w:type="dxa"/>
                  <w:shd w:val="clear" w:color="auto" w:fill="auto"/>
                  <w:vAlign w:val="center"/>
                </w:tcPr>
                <w:p w14:paraId="0E986945">
                  <w:pPr>
                    <w:pStyle w:val="57"/>
                    <w:wordWrap w:val="0"/>
                    <w:rPr>
                      <w:b w:val="0"/>
                      <w:bCs/>
                      <w:lang w:val="en-US"/>
                    </w:rPr>
                  </w:pPr>
                  <w:r>
                    <w:rPr>
                      <w:rFonts w:hint="eastAsia"/>
                      <w:b w:val="0"/>
                      <w:bCs/>
                      <w:lang w:val="en-US"/>
                    </w:rPr>
                    <w:t>生活垃圾</w:t>
                  </w:r>
                </w:p>
              </w:tc>
              <w:tc>
                <w:tcPr>
                  <w:tcW w:w="1114" w:type="dxa"/>
                  <w:shd w:val="clear" w:color="auto" w:fill="auto"/>
                  <w:vAlign w:val="center"/>
                </w:tcPr>
                <w:p w14:paraId="080B2AD3">
                  <w:pPr>
                    <w:pStyle w:val="57"/>
                    <w:wordWrap w:val="0"/>
                    <w:rPr>
                      <w:b w:val="0"/>
                      <w:bCs/>
                      <w:lang w:val="en-US"/>
                    </w:rPr>
                  </w:pPr>
                  <w:r>
                    <w:rPr>
                      <w:rFonts w:hint="eastAsia"/>
                      <w:b w:val="0"/>
                      <w:bCs/>
                      <w:lang w:val="en-US"/>
                    </w:rPr>
                    <w:t>15</w:t>
                  </w:r>
                </w:p>
              </w:tc>
              <w:tc>
                <w:tcPr>
                  <w:tcW w:w="1276" w:type="dxa"/>
                  <w:shd w:val="clear" w:color="auto" w:fill="auto"/>
                  <w:vAlign w:val="center"/>
                </w:tcPr>
                <w:p w14:paraId="2F76A151">
                  <w:pPr>
                    <w:pStyle w:val="57"/>
                    <w:wordWrap w:val="0"/>
                    <w:rPr>
                      <w:b w:val="0"/>
                      <w:bCs/>
                      <w:lang w:val="en-US"/>
                    </w:rPr>
                  </w:pPr>
                  <w:r>
                    <w:rPr>
                      <w:rFonts w:hint="eastAsia"/>
                      <w:b w:val="0"/>
                      <w:bCs/>
                      <w:lang w:val="en-US"/>
                    </w:rPr>
                    <w:t>/</w:t>
                  </w:r>
                </w:p>
              </w:tc>
              <w:tc>
                <w:tcPr>
                  <w:tcW w:w="1238" w:type="dxa"/>
                  <w:shd w:val="clear" w:color="auto" w:fill="auto"/>
                  <w:vAlign w:val="center"/>
                </w:tcPr>
                <w:p w14:paraId="751770E5">
                  <w:pPr>
                    <w:pStyle w:val="57"/>
                    <w:wordWrap w:val="0"/>
                    <w:rPr>
                      <w:b w:val="0"/>
                      <w:bCs/>
                      <w:lang w:val="en-US"/>
                    </w:rPr>
                  </w:pPr>
                  <w:r>
                    <w:rPr>
                      <w:rFonts w:hint="eastAsia"/>
                      <w:b w:val="0"/>
                      <w:bCs/>
                      <w:lang w:val="en-US"/>
                    </w:rPr>
                    <w:t>15</w:t>
                  </w:r>
                </w:p>
              </w:tc>
              <w:tc>
                <w:tcPr>
                  <w:tcW w:w="2189" w:type="dxa"/>
                  <w:vAlign w:val="center"/>
                </w:tcPr>
                <w:p w14:paraId="1F53048B">
                  <w:pPr>
                    <w:pStyle w:val="57"/>
                    <w:wordWrap w:val="0"/>
                    <w:rPr>
                      <w:b w:val="0"/>
                      <w:bCs/>
                      <w:lang w:val="en-US"/>
                    </w:rPr>
                  </w:pPr>
                  <w:r>
                    <w:rPr>
                      <w:b w:val="0"/>
                      <w:bCs/>
                      <w:lang w:val="en-US"/>
                    </w:rPr>
                    <w:t>30</w:t>
                  </w:r>
                </w:p>
              </w:tc>
            </w:tr>
          </w:tbl>
          <w:p w14:paraId="50F37574">
            <w:pPr>
              <w:pStyle w:val="111"/>
              <w:numPr>
                <w:ilvl w:val="0"/>
                <w:numId w:val="21"/>
              </w:numPr>
              <w:wordWrap w:val="0"/>
              <w:ind w:firstLine="482"/>
              <w:rPr>
                <w:rFonts w:hint="default"/>
                <w:b/>
                <w:bCs/>
                <w:color w:val="auto"/>
              </w:rPr>
            </w:pPr>
            <w:r>
              <w:rPr>
                <w:b/>
                <w:bCs/>
                <w:color w:val="auto"/>
              </w:rPr>
              <w:t>与该项目有关的主要环境问题并提出整改措施</w:t>
            </w:r>
          </w:p>
          <w:p w14:paraId="26EDBCFB">
            <w:pPr>
              <w:pStyle w:val="111"/>
              <w:wordWrap w:val="0"/>
              <w:rPr>
                <w:rFonts w:hint="default"/>
                <w:color w:val="auto"/>
              </w:rPr>
            </w:pPr>
            <w:r>
              <w:rPr>
                <w:color w:val="auto"/>
              </w:rPr>
              <w:t>根据现场踏勘，现有项目已完成环评、排污许可、验收等环保手续，现有项目废气、噪声均做到了达标排放，厂区危险废物贮存设施内标识、防渗等均按要求设置。不存在与该项目有关的主要环境问题。</w:t>
            </w:r>
          </w:p>
        </w:tc>
      </w:tr>
    </w:tbl>
    <w:p w14:paraId="51483CF3">
      <w:pPr>
        <w:pStyle w:val="31"/>
        <w:wordWrap w:val="0"/>
        <w:jc w:val="center"/>
        <w:rPr>
          <w:rFonts w:ascii="Times New Roman" w:hAnsi="Times New Roman" w:eastAsia="黑体"/>
          <w:snapToGrid w:val="0"/>
          <w:sz w:val="36"/>
          <w:szCs w:val="36"/>
        </w:rPr>
        <w:sectPr>
          <w:pgSz w:w="11906" w:h="16838"/>
          <w:pgMar w:top="1440" w:right="1080" w:bottom="1440" w:left="1080" w:header="851" w:footer="851" w:gutter="0"/>
          <w:cols w:space="720" w:num="1"/>
          <w:docGrid w:linePitch="312" w:charSpace="0"/>
        </w:sectPr>
      </w:pPr>
    </w:p>
    <w:p w14:paraId="5B570480">
      <w:pPr>
        <w:pStyle w:val="31"/>
        <w:wordWrap w:val="0"/>
        <w:spacing w:before="0" w:beforeAutospacing="0" w:after="0" w:afterAutospacing="0"/>
        <w:jc w:val="center"/>
        <w:outlineLvl w:val="0"/>
        <w:rPr>
          <w:rFonts w:ascii="Times New Roman" w:hAnsi="Times New Roman" w:eastAsia="黑体"/>
          <w:snapToGrid w:val="0"/>
          <w:sz w:val="30"/>
          <w:szCs w:val="30"/>
        </w:rPr>
      </w:pPr>
      <w:bookmarkStart w:id="16" w:name="_Toc8150"/>
      <w:bookmarkStart w:id="17" w:name="_Toc17040"/>
      <w:bookmarkStart w:id="18" w:name="_Toc10497"/>
      <w:bookmarkStart w:id="19" w:name="_Toc21448"/>
      <w:bookmarkStart w:id="20" w:name="_Toc9513"/>
      <w:bookmarkStart w:id="21" w:name="_Toc24154"/>
      <w:r>
        <w:rPr>
          <w:rFonts w:hint="eastAsia" w:ascii="Times New Roman" w:hAnsi="Times New Roman" w:eastAsia="黑体"/>
          <w:snapToGrid w:val="0"/>
          <w:sz w:val="30"/>
          <w:szCs w:val="30"/>
        </w:rPr>
        <w:t>三、区域环境质量现状、环境保护目标及评价标准</w:t>
      </w:r>
      <w:bookmarkEnd w:id="16"/>
      <w:bookmarkEnd w:id="17"/>
      <w:bookmarkEnd w:id="18"/>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7"/>
        <w:gridCol w:w="9076"/>
      </w:tblGrid>
      <w:tr w14:paraId="4833B6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0" w:type="dxa"/>
            <w:vAlign w:val="center"/>
          </w:tcPr>
          <w:p w14:paraId="3454949E">
            <w:pPr>
              <w:wordWrap w:val="0"/>
              <w:adjustRightInd w:val="0"/>
              <w:snapToGrid w:val="0"/>
              <w:spacing w:line="360" w:lineRule="auto"/>
              <w:jc w:val="center"/>
              <w:rPr>
                <w:rFonts w:cs="宋体"/>
                <w:b/>
                <w:bCs/>
                <w:kern w:val="0"/>
                <w:sz w:val="24"/>
              </w:rPr>
            </w:pPr>
            <w:r>
              <w:rPr>
                <w:rFonts w:hint="eastAsia" w:cs="宋体"/>
                <w:b/>
                <w:bCs/>
                <w:kern w:val="0"/>
                <w:sz w:val="24"/>
              </w:rPr>
              <w:t>区域</w:t>
            </w:r>
          </w:p>
          <w:p w14:paraId="2BD63D61">
            <w:pPr>
              <w:wordWrap w:val="0"/>
              <w:adjustRightInd w:val="0"/>
              <w:snapToGrid w:val="0"/>
              <w:spacing w:line="360" w:lineRule="auto"/>
              <w:jc w:val="center"/>
              <w:rPr>
                <w:rFonts w:cs="宋体"/>
                <w:b/>
                <w:bCs/>
                <w:kern w:val="0"/>
                <w:sz w:val="24"/>
              </w:rPr>
            </w:pPr>
            <w:r>
              <w:rPr>
                <w:rFonts w:hint="eastAsia" w:cs="宋体"/>
                <w:b/>
                <w:bCs/>
                <w:kern w:val="0"/>
                <w:sz w:val="24"/>
              </w:rPr>
              <w:t>环境</w:t>
            </w:r>
          </w:p>
          <w:p w14:paraId="54FD6CC2">
            <w:pPr>
              <w:wordWrap w:val="0"/>
              <w:adjustRightInd w:val="0"/>
              <w:snapToGrid w:val="0"/>
              <w:spacing w:line="360" w:lineRule="auto"/>
              <w:jc w:val="center"/>
              <w:rPr>
                <w:rFonts w:cs="宋体"/>
                <w:b/>
                <w:bCs/>
                <w:kern w:val="0"/>
                <w:sz w:val="24"/>
              </w:rPr>
            </w:pPr>
            <w:r>
              <w:rPr>
                <w:rFonts w:hint="eastAsia" w:cs="宋体"/>
                <w:b/>
                <w:bCs/>
                <w:kern w:val="0"/>
                <w:sz w:val="24"/>
              </w:rPr>
              <w:t>质量</w:t>
            </w:r>
          </w:p>
          <w:p w14:paraId="19422300">
            <w:pPr>
              <w:wordWrap w:val="0"/>
              <w:adjustRightInd w:val="0"/>
              <w:snapToGrid w:val="0"/>
              <w:spacing w:line="360" w:lineRule="auto"/>
              <w:jc w:val="center"/>
              <w:rPr>
                <w:rFonts w:cs="宋体"/>
                <w:b/>
                <w:bCs/>
                <w:kern w:val="0"/>
                <w:sz w:val="24"/>
              </w:rPr>
            </w:pPr>
            <w:r>
              <w:rPr>
                <w:rFonts w:hint="eastAsia" w:cs="宋体"/>
                <w:b/>
                <w:bCs/>
                <w:kern w:val="0"/>
                <w:sz w:val="24"/>
              </w:rPr>
              <w:t>现状</w:t>
            </w:r>
          </w:p>
        </w:tc>
        <w:tc>
          <w:tcPr>
            <w:tcW w:w="8190" w:type="dxa"/>
            <w:vAlign w:val="center"/>
          </w:tcPr>
          <w:p w14:paraId="19456648">
            <w:pPr>
              <w:pStyle w:val="111"/>
              <w:ind w:firstLine="482"/>
              <w:rPr>
                <w:rFonts w:hint="default"/>
                <w:b/>
                <w:bCs/>
                <w:color w:val="auto"/>
              </w:rPr>
            </w:pPr>
            <w:r>
              <w:rPr>
                <w:b/>
                <w:bCs/>
                <w:color w:val="auto"/>
              </w:rPr>
              <w:t>1.大气环境</w:t>
            </w:r>
          </w:p>
          <w:p w14:paraId="1671A33D">
            <w:pPr>
              <w:pStyle w:val="111"/>
              <w:wordWrap w:val="0"/>
              <w:ind w:firstLine="482"/>
              <w:rPr>
                <w:rFonts w:hint="default"/>
                <w:b/>
                <w:bCs/>
                <w:color w:val="auto"/>
              </w:rPr>
            </w:pPr>
            <w:r>
              <w:rPr>
                <w:b/>
                <w:bCs/>
                <w:color w:val="auto"/>
              </w:rPr>
              <w:t>1.1常规因子</w:t>
            </w:r>
          </w:p>
          <w:p w14:paraId="20900ECA">
            <w:pPr>
              <w:pStyle w:val="131"/>
              <w:ind w:firstLine="480"/>
              <w:rPr>
                <w:rFonts w:hint="default"/>
              </w:rPr>
            </w:pPr>
            <w:r>
              <w:t>1.1常规污染物</w:t>
            </w:r>
          </w:p>
          <w:p w14:paraId="519414A1">
            <w:pPr>
              <w:pStyle w:val="131"/>
              <w:ind w:firstLine="480"/>
              <w:rPr>
                <w:rFonts w:hint="default"/>
              </w:rPr>
            </w:pPr>
            <w:r>
              <w:rPr>
                <w:rFonts w:hint="default"/>
              </w:rPr>
              <w:t>根据《建设项目环境影响报告表编制技术指南（污染影响类）</w:t>
            </w:r>
            <w:r>
              <w:t>（试行）》</w:t>
            </w:r>
            <w:r>
              <w:rPr>
                <w:rFonts w:hint="default"/>
              </w:rPr>
              <w:t>，为了查明建设项目所在地的环境空气质量现状，本项目厂址所在地大气环境质量现状常规因子引用</w:t>
            </w:r>
            <w:r>
              <w:t>宝鸡市生态环境局官网</w:t>
            </w:r>
            <w:r>
              <w:rPr>
                <w:rFonts w:hint="default"/>
              </w:rPr>
              <w:t>发布的《</w:t>
            </w:r>
            <w:r>
              <w:t>2024年1-12月份各县（区）空气质量状况统计表</w:t>
            </w:r>
            <w:r>
              <w:rPr>
                <w:rFonts w:hint="default"/>
              </w:rPr>
              <w:t>》中</w:t>
            </w:r>
            <w:r>
              <w:t>岐山县</w:t>
            </w:r>
            <w:r>
              <w:rPr>
                <w:rFonts w:hint="default"/>
              </w:rPr>
              <w:t>空气质量状况统计表，引用数据合理。</w:t>
            </w:r>
          </w:p>
          <w:p w14:paraId="38E835A3">
            <w:pPr>
              <w:pStyle w:val="57"/>
              <w:wordWrap w:val="0"/>
              <w:rPr>
                <w:szCs w:val="21"/>
              </w:rPr>
            </w:pPr>
            <w:r>
              <w:rPr>
                <w:szCs w:val="21"/>
              </w:rPr>
              <w:t>表</w:t>
            </w:r>
            <w:r>
              <w:rPr>
                <w:rFonts w:hint="eastAsia"/>
                <w:szCs w:val="21"/>
                <w:lang w:val="en-US"/>
              </w:rPr>
              <w:t>3-1</w:t>
            </w:r>
            <w:r>
              <w:rPr>
                <w:szCs w:val="21"/>
              </w:rPr>
              <w:t>境空气质量监测结果统计表</w:t>
            </w:r>
          </w:p>
          <w:tbl>
            <w:tblPr>
              <w:tblStyle w:val="3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887"/>
              <w:gridCol w:w="2454"/>
              <w:gridCol w:w="1365"/>
              <w:gridCol w:w="1172"/>
              <w:gridCol w:w="1084"/>
              <w:gridCol w:w="1212"/>
            </w:tblGrid>
            <w:tr w14:paraId="35B62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pct"/>
                  <w:vAlign w:val="center"/>
                </w:tcPr>
                <w:p w14:paraId="3F5E7D31">
                  <w:pPr>
                    <w:pStyle w:val="116"/>
                    <w:wordWrap w:val="0"/>
                    <w:adjustRightInd w:val="0"/>
                    <w:snapToGrid w:val="0"/>
                    <w:ind w:firstLine="0" w:firstLineChars="0"/>
                    <w:jc w:val="center"/>
                    <w:rPr>
                      <w:rFonts w:ascii="Times New Roman" w:hAnsi="Times New Roman"/>
                      <w:b/>
                      <w:bCs/>
                      <w:sz w:val="21"/>
                      <w:szCs w:val="21"/>
                    </w:rPr>
                  </w:pPr>
                  <w:r>
                    <w:rPr>
                      <w:rFonts w:ascii="Times New Roman" w:hAnsi="Times New Roman"/>
                      <w:b/>
                      <w:bCs/>
                      <w:sz w:val="21"/>
                      <w:szCs w:val="21"/>
                    </w:rPr>
                    <w:t>名称</w:t>
                  </w:r>
                </w:p>
              </w:tc>
              <w:tc>
                <w:tcPr>
                  <w:tcW w:w="501" w:type="pct"/>
                  <w:vAlign w:val="center"/>
                </w:tcPr>
                <w:p w14:paraId="26F58583">
                  <w:pPr>
                    <w:keepNext/>
                    <w:keepLines/>
                    <w:wordWrap w:val="0"/>
                    <w:adjustRightInd w:val="0"/>
                    <w:snapToGrid w:val="0"/>
                    <w:jc w:val="center"/>
                    <w:rPr>
                      <w:b/>
                      <w:bCs/>
                      <w:szCs w:val="21"/>
                    </w:rPr>
                  </w:pPr>
                  <w:r>
                    <w:rPr>
                      <w:b/>
                      <w:bCs/>
                      <w:szCs w:val="21"/>
                    </w:rPr>
                    <w:t>污染物</w:t>
                  </w:r>
                </w:p>
              </w:tc>
              <w:tc>
                <w:tcPr>
                  <w:tcW w:w="1386" w:type="pct"/>
                  <w:vAlign w:val="center"/>
                </w:tcPr>
                <w:p w14:paraId="340FBBB9">
                  <w:pPr>
                    <w:keepNext/>
                    <w:keepLines/>
                    <w:wordWrap w:val="0"/>
                    <w:adjustRightInd w:val="0"/>
                    <w:snapToGrid w:val="0"/>
                    <w:jc w:val="center"/>
                    <w:rPr>
                      <w:b/>
                      <w:bCs/>
                      <w:szCs w:val="21"/>
                    </w:rPr>
                  </w:pPr>
                  <w:r>
                    <w:rPr>
                      <w:b/>
                      <w:bCs/>
                      <w:szCs w:val="21"/>
                    </w:rPr>
                    <w:t>年评价指标</w:t>
                  </w:r>
                </w:p>
              </w:tc>
              <w:tc>
                <w:tcPr>
                  <w:tcW w:w="771" w:type="pct"/>
                  <w:vAlign w:val="center"/>
                </w:tcPr>
                <w:p w14:paraId="5AA16679">
                  <w:pPr>
                    <w:keepNext/>
                    <w:keepLines/>
                    <w:wordWrap w:val="0"/>
                    <w:adjustRightInd w:val="0"/>
                    <w:snapToGrid w:val="0"/>
                    <w:jc w:val="center"/>
                    <w:rPr>
                      <w:b/>
                      <w:bCs/>
                      <w:szCs w:val="21"/>
                    </w:rPr>
                  </w:pPr>
                  <w:r>
                    <w:rPr>
                      <w:b/>
                      <w:bCs/>
                      <w:szCs w:val="21"/>
                    </w:rPr>
                    <w:t>现状浓度</w:t>
                  </w:r>
                </w:p>
                <w:p w14:paraId="7CE5079F">
                  <w:pPr>
                    <w:keepNext/>
                    <w:keepLines/>
                    <w:wordWrap w:val="0"/>
                    <w:adjustRightInd w:val="0"/>
                    <w:snapToGrid w:val="0"/>
                    <w:jc w:val="center"/>
                    <w:rPr>
                      <w:b/>
                      <w:bCs/>
                      <w:szCs w:val="21"/>
                    </w:rPr>
                  </w:pPr>
                  <w:r>
                    <w:rPr>
                      <w:b/>
                      <w:bCs/>
                      <w:szCs w:val="21"/>
                    </w:rPr>
                    <w:t>（μg/m</w:t>
                  </w:r>
                  <w:r>
                    <w:rPr>
                      <w:b/>
                      <w:bCs/>
                      <w:szCs w:val="21"/>
                      <w:vertAlign w:val="superscript"/>
                    </w:rPr>
                    <w:t>3</w:t>
                  </w:r>
                  <w:r>
                    <w:rPr>
                      <w:b/>
                      <w:bCs/>
                      <w:szCs w:val="21"/>
                    </w:rPr>
                    <w:t>）</w:t>
                  </w:r>
                </w:p>
              </w:tc>
              <w:tc>
                <w:tcPr>
                  <w:tcW w:w="662" w:type="pct"/>
                  <w:vAlign w:val="center"/>
                </w:tcPr>
                <w:p w14:paraId="79624C87">
                  <w:pPr>
                    <w:wordWrap w:val="0"/>
                    <w:adjustRightInd w:val="0"/>
                    <w:snapToGrid w:val="0"/>
                    <w:jc w:val="center"/>
                    <w:rPr>
                      <w:b/>
                      <w:bCs/>
                      <w:kern w:val="0"/>
                      <w:szCs w:val="21"/>
                    </w:rPr>
                  </w:pPr>
                  <w:r>
                    <w:rPr>
                      <w:b/>
                      <w:bCs/>
                      <w:kern w:val="0"/>
                      <w:szCs w:val="21"/>
                    </w:rPr>
                    <w:t>标准值</w:t>
                  </w:r>
                </w:p>
                <w:p w14:paraId="4B1EDB4B">
                  <w:pPr>
                    <w:wordWrap w:val="0"/>
                    <w:adjustRightInd w:val="0"/>
                    <w:snapToGrid w:val="0"/>
                    <w:jc w:val="center"/>
                    <w:rPr>
                      <w:b/>
                      <w:bCs/>
                      <w:szCs w:val="21"/>
                    </w:rPr>
                  </w:pPr>
                  <w:r>
                    <w:rPr>
                      <w:b/>
                      <w:bCs/>
                      <w:kern w:val="0"/>
                      <w:szCs w:val="21"/>
                    </w:rPr>
                    <w:t>（μg/m</w:t>
                  </w:r>
                  <w:r>
                    <w:rPr>
                      <w:b/>
                      <w:bCs/>
                      <w:kern w:val="0"/>
                      <w:szCs w:val="21"/>
                      <w:vertAlign w:val="superscript"/>
                    </w:rPr>
                    <w:t>3</w:t>
                  </w:r>
                  <w:r>
                    <w:rPr>
                      <w:b/>
                      <w:bCs/>
                      <w:kern w:val="0"/>
                      <w:szCs w:val="21"/>
                    </w:rPr>
                    <w:t>）</w:t>
                  </w:r>
                </w:p>
              </w:tc>
              <w:tc>
                <w:tcPr>
                  <w:tcW w:w="613" w:type="pct"/>
                  <w:vAlign w:val="center"/>
                </w:tcPr>
                <w:p w14:paraId="79CF96A6">
                  <w:pPr>
                    <w:keepNext/>
                    <w:keepLines/>
                    <w:wordWrap w:val="0"/>
                    <w:adjustRightInd w:val="0"/>
                    <w:snapToGrid w:val="0"/>
                    <w:jc w:val="center"/>
                    <w:rPr>
                      <w:b/>
                      <w:bCs/>
                      <w:szCs w:val="21"/>
                    </w:rPr>
                  </w:pPr>
                  <w:r>
                    <w:rPr>
                      <w:b/>
                      <w:bCs/>
                      <w:szCs w:val="21"/>
                    </w:rPr>
                    <w:t>占标率</w:t>
                  </w:r>
                </w:p>
                <w:p w14:paraId="2BD3464F">
                  <w:pPr>
                    <w:keepNext/>
                    <w:keepLines/>
                    <w:wordWrap w:val="0"/>
                    <w:adjustRightInd w:val="0"/>
                    <w:snapToGrid w:val="0"/>
                    <w:jc w:val="center"/>
                    <w:rPr>
                      <w:b/>
                      <w:bCs/>
                      <w:szCs w:val="21"/>
                    </w:rPr>
                  </w:pPr>
                  <w:r>
                    <w:rPr>
                      <w:rFonts w:hint="eastAsia"/>
                      <w:b/>
                      <w:bCs/>
                      <w:szCs w:val="21"/>
                    </w:rPr>
                    <w:t>（</w:t>
                  </w:r>
                  <w:r>
                    <w:rPr>
                      <w:b/>
                      <w:bCs/>
                      <w:szCs w:val="21"/>
                    </w:rPr>
                    <w:t>%</w:t>
                  </w:r>
                  <w:r>
                    <w:rPr>
                      <w:rFonts w:hint="eastAsia"/>
                      <w:b/>
                      <w:bCs/>
                      <w:szCs w:val="21"/>
                    </w:rPr>
                    <w:t>）</w:t>
                  </w:r>
                </w:p>
              </w:tc>
              <w:tc>
                <w:tcPr>
                  <w:tcW w:w="685" w:type="pct"/>
                  <w:vAlign w:val="center"/>
                </w:tcPr>
                <w:p w14:paraId="633CFCAB">
                  <w:pPr>
                    <w:keepNext/>
                    <w:keepLines/>
                    <w:wordWrap w:val="0"/>
                    <w:adjustRightInd w:val="0"/>
                    <w:snapToGrid w:val="0"/>
                    <w:jc w:val="center"/>
                    <w:rPr>
                      <w:b/>
                      <w:bCs/>
                      <w:szCs w:val="21"/>
                    </w:rPr>
                  </w:pPr>
                  <w:r>
                    <w:rPr>
                      <w:b/>
                      <w:bCs/>
                      <w:szCs w:val="21"/>
                    </w:rPr>
                    <w:t>达标情况</w:t>
                  </w:r>
                </w:p>
              </w:tc>
            </w:tr>
            <w:tr w14:paraId="0E712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restart"/>
                  <w:vAlign w:val="center"/>
                </w:tcPr>
                <w:p w14:paraId="270072A6">
                  <w:pPr>
                    <w:pStyle w:val="116"/>
                    <w:wordWrap w:val="0"/>
                    <w:adjustRightInd w:val="0"/>
                    <w:snapToGrid w:val="0"/>
                    <w:ind w:firstLine="0" w:firstLineChars="0"/>
                    <w:jc w:val="center"/>
                    <w:rPr>
                      <w:rFonts w:ascii="Times New Roman" w:hAnsi="Times New Roman"/>
                      <w:sz w:val="21"/>
                      <w:szCs w:val="21"/>
                    </w:rPr>
                  </w:pPr>
                  <w:r>
                    <w:rPr>
                      <w:rFonts w:hint="eastAsia" w:ascii="Times New Roman" w:hAnsi="Times New Roman"/>
                      <w:sz w:val="21"/>
                      <w:szCs w:val="21"/>
                    </w:rPr>
                    <w:t>宝鸡岐山县</w:t>
                  </w:r>
                </w:p>
              </w:tc>
              <w:tc>
                <w:tcPr>
                  <w:tcW w:w="501" w:type="pct"/>
                  <w:vAlign w:val="center"/>
                </w:tcPr>
                <w:p w14:paraId="573B08A5">
                  <w:pPr>
                    <w:keepNext/>
                    <w:keepLines/>
                    <w:wordWrap w:val="0"/>
                    <w:adjustRightInd w:val="0"/>
                    <w:snapToGrid w:val="0"/>
                    <w:jc w:val="center"/>
                    <w:rPr>
                      <w:szCs w:val="21"/>
                    </w:rPr>
                  </w:pPr>
                  <w:r>
                    <w:rPr>
                      <w:szCs w:val="21"/>
                    </w:rPr>
                    <w:t>SO</w:t>
                  </w:r>
                  <w:r>
                    <w:rPr>
                      <w:szCs w:val="21"/>
                      <w:vertAlign w:val="subscript"/>
                    </w:rPr>
                    <w:t>2</w:t>
                  </w:r>
                </w:p>
              </w:tc>
              <w:tc>
                <w:tcPr>
                  <w:tcW w:w="1386" w:type="pct"/>
                  <w:vAlign w:val="center"/>
                </w:tcPr>
                <w:p w14:paraId="0EC78094">
                  <w:pPr>
                    <w:wordWrap w:val="0"/>
                    <w:jc w:val="center"/>
                    <w:rPr>
                      <w:szCs w:val="21"/>
                    </w:rPr>
                  </w:pPr>
                  <w:r>
                    <w:rPr>
                      <w:szCs w:val="21"/>
                    </w:rPr>
                    <w:t>年平均质量浓度</w:t>
                  </w:r>
                </w:p>
              </w:tc>
              <w:tc>
                <w:tcPr>
                  <w:tcW w:w="771" w:type="pct"/>
                  <w:vAlign w:val="center"/>
                </w:tcPr>
                <w:p w14:paraId="169C710E">
                  <w:pPr>
                    <w:keepNext/>
                    <w:keepLines/>
                    <w:wordWrap w:val="0"/>
                    <w:adjustRightInd w:val="0"/>
                    <w:snapToGrid w:val="0"/>
                    <w:jc w:val="center"/>
                    <w:rPr>
                      <w:szCs w:val="21"/>
                    </w:rPr>
                  </w:pPr>
                  <w:r>
                    <w:rPr>
                      <w:rFonts w:hint="eastAsia"/>
                      <w:szCs w:val="21"/>
                    </w:rPr>
                    <w:t>7</w:t>
                  </w:r>
                </w:p>
              </w:tc>
              <w:tc>
                <w:tcPr>
                  <w:tcW w:w="662" w:type="pct"/>
                  <w:vAlign w:val="center"/>
                </w:tcPr>
                <w:p w14:paraId="0AA9DDE9">
                  <w:pPr>
                    <w:keepNext/>
                    <w:keepLines/>
                    <w:wordWrap w:val="0"/>
                    <w:adjustRightInd w:val="0"/>
                    <w:snapToGrid w:val="0"/>
                    <w:jc w:val="center"/>
                    <w:rPr>
                      <w:szCs w:val="21"/>
                    </w:rPr>
                  </w:pPr>
                  <w:r>
                    <w:rPr>
                      <w:szCs w:val="21"/>
                    </w:rPr>
                    <w:t>60</w:t>
                  </w:r>
                </w:p>
              </w:tc>
              <w:tc>
                <w:tcPr>
                  <w:tcW w:w="1086" w:type="dxa"/>
                  <w:vAlign w:val="center"/>
                </w:tcPr>
                <w:p w14:paraId="31B2F37C">
                  <w:pPr>
                    <w:pStyle w:val="57"/>
                    <w:rPr>
                      <w:b w:val="0"/>
                      <w:bCs/>
                    </w:rPr>
                  </w:pPr>
                  <w:r>
                    <w:rPr>
                      <w:rFonts w:hint="eastAsia"/>
                      <w:b w:val="0"/>
                      <w:bCs/>
                      <w:lang w:val="en-US"/>
                    </w:rPr>
                    <w:t>11.7</w:t>
                  </w:r>
                </w:p>
              </w:tc>
              <w:tc>
                <w:tcPr>
                  <w:tcW w:w="685" w:type="pct"/>
                  <w:vAlign w:val="center"/>
                </w:tcPr>
                <w:p w14:paraId="3933AC98">
                  <w:pPr>
                    <w:keepNext/>
                    <w:keepLines/>
                    <w:wordWrap w:val="0"/>
                    <w:adjustRightInd w:val="0"/>
                    <w:snapToGrid w:val="0"/>
                    <w:jc w:val="center"/>
                    <w:rPr>
                      <w:szCs w:val="21"/>
                    </w:rPr>
                  </w:pPr>
                  <w:r>
                    <w:rPr>
                      <w:szCs w:val="21"/>
                    </w:rPr>
                    <w:t>达标</w:t>
                  </w:r>
                </w:p>
              </w:tc>
            </w:tr>
            <w:tr w14:paraId="262D4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25F8A8AA">
                  <w:pPr>
                    <w:keepNext/>
                    <w:keepLines/>
                    <w:wordWrap w:val="0"/>
                    <w:adjustRightInd w:val="0"/>
                    <w:snapToGrid w:val="0"/>
                    <w:jc w:val="center"/>
                    <w:rPr>
                      <w:szCs w:val="21"/>
                    </w:rPr>
                  </w:pPr>
                </w:p>
              </w:tc>
              <w:tc>
                <w:tcPr>
                  <w:tcW w:w="501" w:type="pct"/>
                  <w:vAlign w:val="center"/>
                </w:tcPr>
                <w:p w14:paraId="4F6B47E4">
                  <w:pPr>
                    <w:keepNext/>
                    <w:keepLines/>
                    <w:wordWrap w:val="0"/>
                    <w:adjustRightInd w:val="0"/>
                    <w:snapToGrid w:val="0"/>
                    <w:jc w:val="center"/>
                    <w:rPr>
                      <w:szCs w:val="21"/>
                    </w:rPr>
                  </w:pPr>
                  <w:r>
                    <w:rPr>
                      <w:szCs w:val="21"/>
                    </w:rPr>
                    <w:t>NO</w:t>
                  </w:r>
                  <w:r>
                    <w:rPr>
                      <w:szCs w:val="21"/>
                      <w:vertAlign w:val="subscript"/>
                    </w:rPr>
                    <w:t>2</w:t>
                  </w:r>
                </w:p>
              </w:tc>
              <w:tc>
                <w:tcPr>
                  <w:tcW w:w="1386" w:type="pct"/>
                  <w:vAlign w:val="center"/>
                </w:tcPr>
                <w:p w14:paraId="61B1D044">
                  <w:pPr>
                    <w:wordWrap w:val="0"/>
                    <w:jc w:val="center"/>
                    <w:rPr>
                      <w:szCs w:val="21"/>
                    </w:rPr>
                  </w:pPr>
                  <w:r>
                    <w:rPr>
                      <w:szCs w:val="21"/>
                    </w:rPr>
                    <w:t>年平均质量浓度</w:t>
                  </w:r>
                </w:p>
              </w:tc>
              <w:tc>
                <w:tcPr>
                  <w:tcW w:w="771" w:type="pct"/>
                  <w:vAlign w:val="center"/>
                </w:tcPr>
                <w:p w14:paraId="7D8FA3C1">
                  <w:pPr>
                    <w:keepNext/>
                    <w:keepLines/>
                    <w:wordWrap w:val="0"/>
                    <w:adjustRightInd w:val="0"/>
                    <w:snapToGrid w:val="0"/>
                    <w:jc w:val="center"/>
                    <w:rPr>
                      <w:szCs w:val="21"/>
                    </w:rPr>
                  </w:pPr>
                  <w:r>
                    <w:rPr>
                      <w:rFonts w:hint="eastAsia"/>
                      <w:szCs w:val="21"/>
                    </w:rPr>
                    <w:t>17</w:t>
                  </w:r>
                </w:p>
              </w:tc>
              <w:tc>
                <w:tcPr>
                  <w:tcW w:w="662" w:type="pct"/>
                  <w:vAlign w:val="center"/>
                </w:tcPr>
                <w:p w14:paraId="0A8A2844">
                  <w:pPr>
                    <w:keepNext/>
                    <w:keepLines/>
                    <w:wordWrap w:val="0"/>
                    <w:adjustRightInd w:val="0"/>
                    <w:snapToGrid w:val="0"/>
                    <w:jc w:val="center"/>
                    <w:rPr>
                      <w:szCs w:val="21"/>
                    </w:rPr>
                  </w:pPr>
                  <w:r>
                    <w:rPr>
                      <w:szCs w:val="21"/>
                    </w:rPr>
                    <w:t>40</w:t>
                  </w:r>
                </w:p>
              </w:tc>
              <w:tc>
                <w:tcPr>
                  <w:tcW w:w="1086" w:type="dxa"/>
                  <w:vAlign w:val="center"/>
                </w:tcPr>
                <w:p w14:paraId="713763A2">
                  <w:pPr>
                    <w:pStyle w:val="57"/>
                    <w:rPr>
                      <w:b w:val="0"/>
                      <w:bCs/>
                    </w:rPr>
                  </w:pPr>
                  <w:r>
                    <w:rPr>
                      <w:rFonts w:hint="eastAsia"/>
                      <w:b w:val="0"/>
                      <w:bCs/>
                      <w:lang w:val="en-US"/>
                    </w:rPr>
                    <w:t>42.5</w:t>
                  </w:r>
                </w:p>
              </w:tc>
              <w:tc>
                <w:tcPr>
                  <w:tcW w:w="685" w:type="pct"/>
                  <w:vAlign w:val="center"/>
                </w:tcPr>
                <w:p w14:paraId="74F6411F">
                  <w:pPr>
                    <w:keepNext/>
                    <w:keepLines/>
                    <w:wordWrap w:val="0"/>
                    <w:adjustRightInd w:val="0"/>
                    <w:snapToGrid w:val="0"/>
                    <w:jc w:val="center"/>
                    <w:rPr>
                      <w:szCs w:val="21"/>
                    </w:rPr>
                  </w:pPr>
                  <w:r>
                    <w:rPr>
                      <w:szCs w:val="21"/>
                    </w:rPr>
                    <w:t>达标</w:t>
                  </w:r>
                </w:p>
              </w:tc>
            </w:tr>
            <w:tr w14:paraId="5B905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32B49176">
                  <w:pPr>
                    <w:keepNext/>
                    <w:keepLines/>
                    <w:wordWrap w:val="0"/>
                    <w:adjustRightInd w:val="0"/>
                    <w:snapToGrid w:val="0"/>
                    <w:jc w:val="center"/>
                    <w:rPr>
                      <w:szCs w:val="21"/>
                    </w:rPr>
                  </w:pPr>
                </w:p>
              </w:tc>
              <w:tc>
                <w:tcPr>
                  <w:tcW w:w="501" w:type="pct"/>
                  <w:vAlign w:val="center"/>
                </w:tcPr>
                <w:p w14:paraId="543D1A0F">
                  <w:pPr>
                    <w:keepNext/>
                    <w:keepLines/>
                    <w:wordWrap w:val="0"/>
                    <w:adjustRightInd w:val="0"/>
                    <w:snapToGrid w:val="0"/>
                    <w:jc w:val="center"/>
                    <w:rPr>
                      <w:szCs w:val="21"/>
                    </w:rPr>
                  </w:pPr>
                  <w:r>
                    <w:rPr>
                      <w:szCs w:val="21"/>
                    </w:rPr>
                    <w:t>PM</w:t>
                  </w:r>
                  <w:r>
                    <w:rPr>
                      <w:szCs w:val="21"/>
                      <w:vertAlign w:val="subscript"/>
                    </w:rPr>
                    <w:t>10</w:t>
                  </w:r>
                </w:p>
              </w:tc>
              <w:tc>
                <w:tcPr>
                  <w:tcW w:w="1386" w:type="pct"/>
                  <w:vAlign w:val="center"/>
                </w:tcPr>
                <w:p w14:paraId="471D8226">
                  <w:pPr>
                    <w:wordWrap w:val="0"/>
                    <w:jc w:val="center"/>
                    <w:rPr>
                      <w:szCs w:val="21"/>
                    </w:rPr>
                  </w:pPr>
                  <w:r>
                    <w:rPr>
                      <w:szCs w:val="21"/>
                    </w:rPr>
                    <w:t>年平均质量浓度</w:t>
                  </w:r>
                </w:p>
              </w:tc>
              <w:tc>
                <w:tcPr>
                  <w:tcW w:w="771" w:type="pct"/>
                  <w:vAlign w:val="center"/>
                </w:tcPr>
                <w:p w14:paraId="5216B755">
                  <w:pPr>
                    <w:keepNext/>
                    <w:keepLines/>
                    <w:wordWrap w:val="0"/>
                    <w:adjustRightInd w:val="0"/>
                    <w:snapToGrid w:val="0"/>
                    <w:jc w:val="center"/>
                    <w:rPr>
                      <w:szCs w:val="21"/>
                    </w:rPr>
                  </w:pPr>
                  <w:r>
                    <w:rPr>
                      <w:rFonts w:hint="eastAsia"/>
                      <w:szCs w:val="21"/>
                    </w:rPr>
                    <w:t>62</w:t>
                  </w:r>
                </w:p>
              </w:tc>
              <w:tc>
                <w:tcPr>
                  <w:tcW w:w="662" w:type="pct"/>
                  <w:vAlign w:val="center"/>
                </w:tcPr>
                <w:p w14:paraId="4C841550">
                  <w:pPr>
                    <w:keepNext/>
                    <w:keepLines/>
                    <w:wordWrap w:val="0"/>
                    <w:adjustRightInd w:val="0"/>
                    <w:snapToGrid w:val="0"/>
                    <w:jc w:val="center"/>
                    <w:rPr>
                      <w:szCs w:val="21"/>
                    </w:rPr>
                  </w:pPr>
                  <w:r>
                    <w:rPr>
                      <w:szCs w:val="21"/>
                    </w:rPr>
                    <w:t>70</w:t>
                  </w:r>
                </w:p>
              </w:tc>
              <w:tc>
                <w:tcPr>
                  <w:tcW w:w="1086" w:type="dxa"/>
                  <w:vAlign w:val="center"/>
                </w:tcPr>
                <w:p w14:paraId="02328B50">
                  <w:pPr>
                    <w:pStyle w:val="57"/>
                    <w:rPr>
                      <w:b w:val="0"/>
                      <w:bCs/>
                    </w:rPr>
                  </w:pPr>
                  <w:r>
                    <w:rPr>
                      <w:rFonts w:hint="eastAsia"/>
                      <w:b w:val="0"/>
                      <w:bCs/>
                      <w:lang w:val="en-US"/>
                    </w:rPr>
                    <w:t>88.6</w:t>
                  </w:r>
                </w:p>
              </w:tc>
              <w:tc>
                <w:tcPr>
                  <w:tcW w:w="685" w:type="pct"/>
                  <w:vAlign w:val="center"/>
                </w:tcPr>
                <w:p w14:paraId="68172918">
                  <w:pPr>
                    <w:keepNext/>
                    <w:keepLines/>
                    <w:wordWrap w:val="0"/>
                    <w:adjustRightInd w:val="0"/>
                    <w:snapToGrid w:val="0"/>
                    <w:jc w:val="center"/>
                    <w:rPr>
                      <w:szCs w:val="21"/>
                    </w:rPr>
                  </w:pPr>
                  <w:r>
                    <w:rPr>
                      <w:szCs w:val="21"/>
                    </w:rPr>
                    <w:t>达标</w:t>
                  </w:r>
                </w:p>
              </w:tc>
            </w:tr>
            <w:tr w14:paraId="2A110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4C7046A2">
                  <w:pPr>
                    <w:keepNext/>
                    <w:keepLines/>
                    <w:wordWrap w:val="0"/>
                    <w:adjustRightInd w:val="0"/>
                    <w:snapToGrid w:val="0"/>
                    <w:jc w:val="center"/>
                    <w:rPr>
                      <w:szCs w:val="21"/>
                    </w:rPr>
                  </w:pPr>
                </w:p>
              </w:tc>
              <w:tc>
                <w:tcPr>
                  <w:tcW w:w="501" w:type="pct"/>
                  <w:vAlign w:val="center"/>
                </w:tcPr>
                <w:p w14:paraId="0A528028">
                  <w:pPr>
                    <w:keepNext/>
                    <w:keepLines/>
                    <w:wordWrap w:val="0"/>
                    <w:adjustRightInd w:val="0"/>
                    <w:snapToGrid w:val="0"/>
                    <w:jc w:val="center"/>
                    <w:rPr>
                      <w:szCs w:val="21"/>
                    </w:rPr>
                  </w:pPr>
                  <w:r>
                    <w:rPr>
                      <w:szCs w:val="21"/>
                    </w:rPr>
                    <w:t>PM</w:t>
                  </w:r>
                  <w:r>
                    <w:rPr>
                      <w:szCs w:val="21"/>
                      <w:vertAlign w:val="subscript"/>
                    </w:rPr>
                    <w:t>2.5</w:t>
                  </w:r>
                </w:p>
              </w:tc>
              <w:tc>
                <w:tcPr>
                  <w:tcW w:w="1386" w:type="pct"/>
                  <w:vAlign w:val="center"/>
                </w:tcPr>
                <w:p w14:paraId="1A0B4711">
                  <w:pPr>
                    <w:wordWrap w:val="0"/>
                    <w:jc w:val="center"/>
                    <w:rPr>
                      <w:szCs w:val="21"/>
                    </w:rPr>
                  </w:pPr>
                  <w:r>
                    <w:rPr>
                      <w:szCs w:val="21"/>
                    </w:rPr>
                    <w:t>年平均质量浓度</w:t>
                  </w:r>
                </w:p>
              </w:tc>
              <w:tc>
                <w:tcPr>
                  <w:tcW w:w="771" w:type="pct"/>
                  <w:vAlign w:val="center"/>
                </w:tcPr>
                <w:p w14:paraId="3DB2040F">
                  <w:pPr>
                    <w:keepNext/>
                    <w:keepLines/>
                    <w:wordWrap w:val="0"/>
                    <w:adjustRightInd w:val="0"/>
                    <w:snapToGrid w:val="0"/>
                    <w:jc w:val="center"/>
                    <w:rPr>
                      <w:szCs w:val="21"/>
                    </w:rPr>
                  </w:pPr>
                  <w:r>
                    <w:rPr>
                      <w:rFonts w:hint="eastAsia"/>
                      <w:szCs w:val="21"/>
                    </w:rPr>
                    <w:t>35</w:t>
                  </w:r>
                </w:p>
              </w:tc>
              <w:tc>
                <w:tcPr>
                  <w:tcW w:w="662" w:type="pct"/>
                  <w:vAlign w:val="center"/>
                </w:tcPr>
                <w:p w14:paraId="715285B8">
                  <w:pPr>
                    <w:keepNext/>
                    <w:keepLines/>
                    <w:wordWrap w:val="0"/>
                    <w:adjustRightInd w:val="0"/>
                    <w:snapToGrid w:val="0"/>
                    <w:jc w:val="center"/>
                    <w:rPr>
                      <w:szCs w:val="21"/>
                    </w:rPr>
                  </w:pPr>
                  <w:r>
                    <w:rPr>
                      <w:szCs w:val="21"/>
                    </w:rPr>
                    <w:t>35</w:t>
                  </w:r>
                </w:p>
              </w:tc>
              <w:tc>
                <w:tcPr>
                  <w:tcW w:w="1086" w:type="dxa"/>
                  <w:vAlign w:val="center"/>
                </w:tcPr>
                <w:p w14:paraId="05E0CE9F">
                  <w:pPr>
                    <w:pStyle w:val="57"/>
                    <w:rPr>
                      <w:b w:val="0"/>
                      <w:bCs/>
                    </w:rPr>
                  </w:pPr>
                  <w:r>
                    <w:rPr>
                      <w:rFonts w:hint="eastAsia"/>
                      <w:b w:val="0"/>
                      <w:bCs/>
                      <w:lang w:val="en-US"/>
                    </w:rPr>
                    <w:t>100.0</w:t>
                  </w:r>
                </w:p>
              </w:tc>
              <w:tc>
                <w:tcPr>
                  <w:tcW w:w="685" w:type="pct"/>
                  <w:vAlign w:val="center"/>
                </w:tcPr>
                <w:p w14:paraId="1C635719">
                  <w:pPr>
                    <w:keepNext/>
                    <w:keepLines/>
                    <w:wordWrap w:val="0"/>
                    <w:adjustRightInd w:val="0"/>
                    <w:snapToGrid w:val="0"/>
                    <w:jc w:val="center"/>
                    <w:rPr>
                      <w:szCs w:val="21"/>
                    </w:rPr>
                  </w:pPr>
                  <w:r>
                    <w:rPr>
                      <w:szCs w:val="21"/>
                    </w:rPr>
                    <w:t>达标</w:t>
                  </w:r>
                </w:p>
              </w:tc>
            </w:tr>
            <w:tr w14:paraId="11F69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6AA3DFBB">
                  <w:pPr>
                    <w:keepNext/>
                    <w:keepLines/>
                    <w:wordWrap w:val="0"/>
                    <w:adjustRightInd w:val="0"/>
                    <w:snapToGrid w:val="0"/>
                    <w:jc w:val="center"/>
                    <w:rPr>
                      <w:szCs w:val="21"/>
                    </w:rPr>
                  </w:pPr>
                </w:p>
              </w:tc>
              <w:tc>
                <w:tcPr>
                  <w:tcW w:w="501" w:type="pct"/>
                  <w:vAlign w:val="center"/>
                </w:tcPr>
                <w:p w14:paraId="2BCB052B">
                  <w:pPr>
                    <w:keepNext/>
                    <w:keepLines/>
                    <w:wordWrap w:val="0"/>
                    <w:adjustRightInd w:val="0"/>
                    <w:snapToGrid w:val="0"/>
                    <w:jc w:val="center"/>
                    <w:rPr>
                      <w:szCs w:val="21"/>
                    </w:rPr>
                  </w:pPr>
                  <w:r>
                    <w:rPr>
                      <w:szCs w:val="21"/>
                    </w:rPr>
                    <w:t>CO</w:t>
                  </w:r>
                </w:p>
              </w:tc>
              <w:tc>
                <w:tcPr>
                  <w:tcW w:w="1386" w:type="pct"/>
                  <w:vAlign w:val="center"/>
                </w:tcPr>
                <w:p w14:paraId="2691FC3E">
                  <w:pPr>
                    <w:wordWrap w:val="0"/>
                    <w:jc w:val="center"/>
                    <w:rPr>
                      <w:szCs w:val="21"/>
                    </w:rPr>
                  </w:pPr>
                  <w:r>
                    <w:rPr>
                      <w:szCs w:val="21"/>
                    </w:rPr>
                    <w:t>24小时平均浓度第95百分位数浓度</w:t>
                  </w:r>
                </w:p>
              </w:tc>
              <w:tc>
                <w:tcPr>
                  <w:tcW w:w="771" w:type="pct"/>
                  <w:vAlign w:val="center"/>
                </w:tcPr>
                <w:p w14:paraId="4986A426">
                  <w:pPr>
                    <w:keepNext/>
                    <w:keepLines/>
                    <w:wordWrap w:val="0"/>
                    <w:adjustRightInd w:val="0"/>
                    <w:snapToGrid w:val="0"/>
                    <w:jc w:val="center"/>
                    <w:rPr>
                      <w:szCs w:val="21"/>
                    </w:rPr>
                  </w:pPr>
                  <w:r>
                    <w:rPr>
                      <w:rFonts w:hint="eastAsia"/>
                      <w:szCs w:val="21"/>
                    </w:rPr>
                    <w:t>1000</w:t>
                  </w:r>
                </w:p>
              </w:tc>
              <w:tc>
                <w:tcPr>
                  <w:tcW w:w="662" w:type="pct"/>
                  <w:vAlign w:val="center"/>
                </w:tcPr>
                <w:p w14:paraId="4D542689">
                  <w:pPr>
                    <w:keepNext/>
                    <w:keepLines/>
                    <w:wordWrap w:val="0"/>
                    <w:adjustRightInd w:val="0"/>
                    <w:snapToGrid w:val="0"/>
                    <w:jc w:val="center"/>
                    <w:rPr>
                      <w:szCs w:val="21"/>
                    </w:rPr>
                  </w:pPr>
                  <w:r>
                    <w:rPr>
                      <w:szCs w:val="21"/>
                    </w:rPr>
                    <w:t>4000</w:t>
                  </w:r>
                </w:p>
              </w:tc>
              <w:tc>
                <w:tcPr>
                  <w:tcW w:w="1086" w:type="dxa"/>
                  <w:vAlign w:val="center"/>
                </w:tcPr>
                <w:p w14:paraId="305742B7">
                  <w:pPr>
                    <w:pStyle w:val="57"/>
                    <w:rPr>
                      <w:b w:val="0"/>
                      <w:bCs/>
                    </w:rPr>
                  </w:pPr>
                  <w:r>
                    <w:rPr>
                      <w:rFonts w:hint="eastAsia"/>
                      <w:b w:val="0"/>
                      <w:bCs/>
                      <w:lang w:val="en-US"/>
                    </w:rPr>
                    <w:t>25.0</w:t>
                  </w:r>
                </w:p>
              </w:tc>
              <w:tc>
                <w:tcPr>
                  <w:tcW w:w="685" w:type="pct"/>
                  <w:vAlign w:val="center"/>
                </w:tcPr>
                <w:p w14:paraId="1EA7445E">
                  <w:pPr>
                    <w:keepNext/>
                    <w:keepLines/>
                    <w:wordWrap w:val="0"/>
                    <w:adjustRightInd w:val="0"/>
                    <w:snapToGrid w:val="0"/>
                    <w:jc w:val="center"/>
                    <w:rPr>
                      <w:szCs w:val="21"/>
                    </w:rPr>
                  </w:pPr>
                  <w:r>
                    <w:rPr>
                      <w:szCs w:val="21"/>
                    </w:rPr>
                    <w:t>达标</w:t>
                  </w:r>
                </w:p>
              </w:tc>
            </w:tr>
            <w:tr w14:paraId="475C8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9" w:type="pct"/>
                  <w:vMerge w:val="continue"/>
                  <w:vAlign w:val="center"/>
                </w:tcPr>
                <w:p w14:paraId="3BAAED5A">
                  <w:pPr>
                    <w:keepNext/>
                    <w:keepLines/>
                    <w:wordWrap w:val="0"/>
                    <w:adjustRightInd w:val="0"/>
                    <w:snapToGrid w:val="0"/>
                    <w:jc w:val="center"/>
                    <w:rPr>
                      <w:szCs w:val="21"/>
                    </w:rPr>
                  </w:pPr>
                </w:p>
              </w:tc>
              <w:tc>
                <w:tcPr>
                  <w:tcW w:w="501" w:type="pct"/>
                  <w:vAlign w:val="center"/>
                </w:tcPr>
                <w:p w14:paraId="27607827">
                  <w:pPr>
                    <w:keepNext/>
                    <w:keepLines/>
                    <w:wordWrap w:val="0"/>
                    <w:adjustRightInd w:val="0"/>
                    <w:snapToGrid w:val="0"/>
                    <w:jc w:val="center"/>
                    <w:rPr>
                      <w:szCs w:val="21"/>
                    </w:rPr>
                  </w:pPr>
                  <w:r>
                    <w:rPr>
                      <w:szCs w:val="21"/>
                    </w:rPr>
                    <w:t>O</w:t>
                  </w:r>
                  <w:r>
                    <w:rPr>
                      <w:szCs w:val="21"/>
                      <w:vertAlign w:val="subscript"/>
                    </w:rPr>
                    <w:t>3</w:t>
                  </w:r>
                </w:p>
              </w:tc>
              <w:tc>
                <w:tcPr>
                  <w:tcW w:w="1386" w:type="pct"/>
                  <w:vAlign w:val="center"/>
                </w:tcPr>
                <w:p w14:paraId="3AEE3D92">
                  <w:pPr>
                    <w:wordWrap w:val="0"/>
                    <w:jc w:val="center"/>
                    <w:rPr>
                      <w:szCs w:val="21"/>
                    </w:rPr>
                  </w:pPr>
                  <w:r>
                    <w:rPr>
                      <w:szCs w:val="21"/>
                    </w:rPr>
                    <w:t>日最大8小时滑动平均值的第90百分位数浓度</w:t>
                  </w:r>
                </w:p>
              </w:tc>
              <w:tc>
                <w:tcPr>
                  <w:tcW w:w="771" w:type="pct"/>
                  <w:vAlign w:val="center"/>
                </w:tcPr>
                <w:p w14:paraId="60BCD5DD">
                  <w:pPr>
                    <w:keepNext/>
                    <w:keepLines/>
                    <w:wordWrap w:val="0"/>
                    <w:adjustRightInd w:val="0"/>
                    <w:snapToGrid w:val="0"/>
                    <w:jc w:val="center"/>
                    <w:rPr>
                      <w:szCs w:val="21"/>
                    </w:rPr>
                  </w:pPr>
                  <w:r>
                    <w:rPr>
                      <w:rFonts w:hint="eastAsia"/>
                      <w:szCs w:val="21"/>
                    </w:rPr>
                    <w:t>149</w:t>
                  </w:r>
                </w:p>
              </w:tc>
              <w:tc>
                <w:tcPr>
                  <w:tcW w:w="662" w:type="pct"/>
                  <w:vAlign w:val="center"/>
                </w:tcPr>
                <w:p w14:paraId="47657898">
                  <w:pPr>
                    <w:keepNext/>
                    <w:keepLines/>
                    <w:wordWrap w:val="0"/>
                    <w:adjustRightInd w:val="0"/>
                    <w:snapToGrid w:val="0"/>
                    <w:jc w:val="center"/>
                    <w:rPr>
                      <w:szCs w:val="21"/>
                    </w:rPr>
                  </w:pPr>
                  <w:r>
                    <w:rPr>
                      <w:szCs w:val="21"/>
                    </w:rPr>
                    <w:t>160</w:t>
                  </w:r>
                </w:p>
              </w:tc>
              <w:tc>
                <w:tcPr>
                  <w:tcW w:w="1086" w:type="dxa"/>
                  <w:vAlign w:val="center"/>
                </w:tcPr>
                <w:p w14:paraId="1AD03BFC">
                  <w:pPr>
                    <w:pStyle w:val="57"/>
                    <w:rPr>
                      <w:b w:val="0"/>
                      <w:bCs/>
                    </w:rPr>
                  </w:pPr>
                  <w:r>
                    <w:rPr>
                      <w:rFonts w:hint="eastAsia"/>
                      <w:b w:val="0"/>
                      <w:bCs/>
                      <w:lang w:val="en-US"/>
                    </w:rPr>
                    <w:t>93.1</w:t>
                  </w:r>
                </w:p>
              </w:tc>
              <w:tc>
                <w:tcPr>
                  <w:tcW w:w="685" w:type="pct"/>
                  <w:vAlign w:val="center"/>
                </w:tcPr>
                <w:p w14:paraId="4199E114">
                  <w:pPr>
                    <w:keepNext/>
                    <w:keepLines/>
                    <w:wordWrap w:val="0"/>
                    <w:adjustRightInd w:val="0"/>
                    <w:snapToGrid w:val="0"/>
                    <w:jc w:val="center"/>
                    <w:rPr>
                      <w:szCs w:val="21"/>
                    </w:rPr>
                  </w:pPr>
                  <w:r>
                    <w:rPr>
                      <w:szCs w:val="21"/>
                    </w:rPr>
                    <w:t>达标</w:t>
                  </w:r>
                </w:p>
              </w:tc>
            </w:tr>
          </w:tbl>
          <w:p w14:paraId="44CF48CD">
            <w:pPr>
              <w:wordWrap w:val="0"/>
              <w:adjustRightInd w:val="0"/>
              <w:spacing w:line="360" w:lineRule="auto"/>
              <w:ind w:firstLine="480" w:firstLineChars="200"/>
              <w:rPr>
                <w:sz w:val="24"/>
              </w:rPr>
            </w:pPr>
            <w:r>
              <w:rPr>
                <w:sz w:val="24"/>
              </w:rPr>
              <w:t>根据统计结果，环境空气常规六项指标中，PM</w:t>
            </w:r>
            <w:r>
              <w:rPr>
                <w:sz w:val="24"/>
                <w:vertAlign w:val="subscript"/>
              </w:rPr>
              <w:t>2.5</w:t>
            </w:r>
            <w:r>
              <w:rPr>
                <w:sz w:val="24"/>
              </w:rPr>
              <w:t>年平均质量浓度、PM</w:t>
            </w:r>
            <w:r>
              <w:rPr>
                <w:sz w:val="24"/>
                <w:vertAlign w:val="subscript"/>
              </w:rPr>
              <w:t>10</w:t>
            </w:r>
            <w:r>
              <w:rPr>
                <w:sz w:val="24"/>
              </w:rPr>
              <w:t>年平均质量浓度、SO</w:t>
            </w:r>
            <w:r>
              <w:rPr>
                <w:sz w:val="24"/>
                <w:vertAlign w:val="subscript"/>
              </w:rPr>
              <w:t>2</w:t>
            </w:r>
            <w:r>
              <w:rPr>
                <w:sz w:val="24"/>
              </w:rPr>
              <w:t>年平均重量浓度、NO</w:t>
            </w:r>
            <w:r>
              <w:rPr>
                <w:sz w:val="24"/>
                <w:vertAlign w:val="subscript"/>
              </w:rPr>
              <w:t>2</w:t>
            </w:r>
            <w:r>
              <w:rPr>
                <w:sz w:val="24"/>
              </w:rPr>
              <w:t>年平均质量浓度、CO第95百分位数日平均质量浓度、O</w:t>
            </w:r>
            <w:r>
              <w:rPr>
                <w:sz w:val="24"/>
                <w:vertAlign w:val="subscript"/>
              </w:rPr>
              <w:t>3</w:t>
            </w:r>
            <w:r>
              <w:rPr>
                <w:sz w:val="24"/>
              </w:rPr>
              <w:t>第90百分位数最大8小时平均质量浓度满足《环境空气质量标准》（GB3095-2012）二级标准要求。综上，本项目所在区域属于达标区域。</w:t>
            </w:r>
          </w:p>
          <w:p w14:paraId="5F28BC55">
            <w:pPr>
              <w:pStyle w:val="111"/>
              <w:wordWrap w:val="0"/>
              <w:ind w:firstLine="482"/>
              <w:rPr>
                <w:rFonts w:hint="default"/>
                <w:b/>
                <w:bCs/>
                <w:color w:val="auto"/>
              </w:rPr>
            </w:pPr>
            <w:r>
              <w:rPr>
                <w:b/>
                <w:bCs/>
                <w:color w:val="auto"/>
              </w:rPr>
              <w:t>1.2特征污染物</w:t>
            </w:r>
          </w:p>
          <w:p w14:paraId="38CDFD3E">
            <w:pPr>
              <w:tabs>
                <w:tab w:val="left" w:pos="4266"/>
              </w:tabs>
              <w:spacing w:line="360" w:lineRule="auto"/>
              <w:ind w:firstLine="480" w:firstLineChars="200"/>
              <w:contextualSpacing/>
              <w:rPr>
                <w:sz w:val="24"/>
              </w:rPr>
            </w:pPr>
            <w:r>
              <w:rPr>
                <w:rFonts w:hint="eastAsia"/>
                <w:sz w:val="24"/>
              </w:rPr>
              <w:t>本项目特征污染物为NOx。本次评价引用陕西珈迈森环境检测有限公司于2024年4月28日-5月1日对陕西新海和铝业科技有限责任公司所在地的环境质量现状监测数据，监测点位于本项目西南4350m处。</w:t>
            </w:r>
            <w:r>
              <w:rPr>
                <w:sz w:val="24"/>
              </w:rPr>
              <w:t>符合</w:t>
            </w:r>
            <w:r>
              <w:rPr>
                <w:rFonts w:hint="eastAsia"/>
                <w:sz w:val="24"/>
              </w:rPr>
              <w:t>“排放国家、地方环境空气质量标准中有标准限值要求的特征污染物时，引用建设项目周边5千米范围内近3年的现有监测数据”的要求</w:t>
            </w:r>
            <w:r>
              <w:rPr>
                <w:sz w:val="24"/>
              </w:rPr>
              <w:t>。监测数据</w:t>
            </w:r>
            <w:r>
              <w:rPr>
                <w:rFonts w:hint="eastAsia"/>
                <w:sz w:val="24"/>
              </w:rPr>
              <w:t>见表3-2</w:t>
            </w:r>
            <w:r>
              <w:rPr>
                <w:sz w:val="24"/>
              </w:rPr>
              <w:t>。</w:t>
            </w:r>
          </w:p>
          <w:p w14:paraId="517910BC">
            <w:pPr>
              <w:jc w:val="center"/>
              <w:rPr>
                <w:b/>
                <w:szCs w:val="21"/>
              </w:rPr>
            </w:pPr>
            <w:r>
              <w:rPr>
                <w:rFonts w:hint="eastAsia"/>
                <w:b/>
                <w:szCs w:val="21"/>
              </w:rPr>
              <w:t>表3-2特征污染物环境质量现状监测数据统计表</w:t>
            </w:r>
          </w:p>
          <w:tbl>
            <w:tblPr>
              <w:tblStyle w:val="96"/>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278"/>
              <w:gridCol w:w="2183"/>
              <w:gridCol w:w="2183"/>
              <w:gridCol w:w="2210"/>
            </w:tblGrid>
            <w:tr w14:paraId="1C6D62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2279" w:type="dxa"/>
                  <w:vMerge w:val="restart"/>
                  <w:vAlign w:val="center"/>
                </w:tcPr>
                <w:p w14:paraId="2C83D4A4">
                  <w:pPr>
                    <w:pStyle w:val="57"/>
                  </w:pPr>
                  <w:r>
                    <w:t>监测日期</w:t>
                  </w:r>
                </w:p>
              </w:tc>
              <w:tc>
                <w:tcPr>
                  <w:tcW w:w="2183" w:type="dxa"/>
                  <w:vAlign w:val="center"/>
                </w:tcPr>
                <w:p w14:paraId="588150F9">
                  <w:pPr>
                    <w:pStyle w:val="57"/>
                  </w:pPr>
                  <w:r>
                    <w:t>监测结果</w:t>
                  </w:r>
                </w:p>
              </w:tc>
              <w:tc>
                <w:tcPr>
                  <w:tcW w:w="2183" w:type="dxa"/>
                  <w:vMerge w:val="restart"/>
                  <w:vAlign w:val="center"/>
                </w:tcPr>
                <w:p w14:paraId="740C3F8A">
                  <w:pPr>
                    <w:pStyle w:val="57"/>
                  </w:pPr>
                  <w:r>
                    <w:t>标准限值</w:t>
                  </w:r>
                </w:p>
              </w:tc>
              <w:tc>
                <w:tcPr>
                  <w:tcW w:w="2210" w:type="dxa"/>
                  <w:vMerge w:val="restart"/>
                  <w:vAlign w:val="center"/>
                </w:tcPr>
                <w:p w14:paraId="14EE7E3B">
                  <w:pPr>
                    <w:pStyle w:val="57"/>
                  </w:pPr>
                  <w:r>
                    <w:t>占标率</w:t>
                  </w:r>
                </w:p>
              </w:tc>
            </w:tr>
            <w:tr w14:paraId="7D37B2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2279" w:type="dxa"/>
                  <w:vMerge w:val="continue"/>
                  <w:vAlign w:val="center"/>
                </w:tcPr>
                <w:p w14:paraId="2B77AD48">
                  <w:pPr>
                    <w:pStyle w:val="57"/>
                    <w:rPr>
                      <w:b w:val="0"/>
                      <w:bCs/>
                    </w:rPr>
                  </w:pPr>
                </w:p>
              </w:tc>
              <w:tc>
                <w:tcPr>
                  <w:tcW w:w="2183" w:type="dxa"/>
                  <w:vAlign w:val="center"/>
                </w:tcPr>
                <w:p w14:paraId="293F5E93">
                  <w:pPr>
                    <w:pStyle w:val="57"/>
                  </w:pPr>
                  <w:r>
                    <w:t>NOx  mg/m³</w:t>
                  </w:r>
                </w:p>
              </w:tc>
              <w:tc>
                <w:tcPr>
                  <w:tcW w:w="2183" w:type="dxa"/>
                  <w:vMerge w:val="continue"/>
                  <w:vAlign w:val="center"/>
                </w:tcPr>
                <w:p w14:paraId="7F1C08D0">
                  <w:pPr>
                    <w:pStyle w:val="57"/>
                    <w:rPr>
                      <w:b w:val="0"/>
                      <w:bCs/>
                    </w:rPr>
                  </w:pPr>
                </w:p>
              </w:tc>
              <w:tc>
                <w:tcPr>
                  <w:tcW w:w="2210" w:type="dxa"/>
                  <w:vMerge w:val="continue"/>
                  <w:vAlign w:val="center"/>
                </w:tcPr>
                <w:p w14:paraId="718B047A">
                  <w:pPr>
                    <w:pStyle w:val="57"/>
                    <w:rPr>
                      <w:b w:val="0"/>
                      <w:bCs/>
                    </w:rPr>
                  </w:pPr>
                </w:p>
              </w:tc>
            </w:tr>
            <w:tr w14:paraId="751B411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2279" w:type="dxa"/>
                  <w:vAlign w:val="center"/>
                </w:tcPr>
                <w:p w14:paraId="5CC14403">
                  <w:pPr>
                    <w:pStyle w:val="57"/>
                    <w:rPr>
                      <w:b w:val="0"/>
                      <w:bCs/>
                    </w:rPr>
                  </w:pPr>
                  <w:r>
                    <w:rPr>
                      <w:b w:val="0"/>
                      <w:bCs/>
                    </w:rPr>
                    <w:t>4月28日</w:t>
                  </w:r>
                </w:p>
              </w:tc>
              <w:tc>
                <w:tcPr>
                  <w:tcW w:w="2183" w:type="dxa"/>
                  <w:vAlign w:val="center"/>
                </w:tcPr>
                <w:p w14:paraId="7D5B1EE6">
                  <w:pPr>
                    <w:pStyle w:val="57"/>
                    <w:rPr>
                      <w:b w:val="0"/>
                      <w:bCs/>
                    </w:rPr>
                  </w:pPr>
                  <w:r>
                    <w:rPr>
                      <w:b w:val="0"/>
                      <w:bCs/>
                    </w:rPr>
                    <w:t>0.012</w:t>
                  </w:r>
                </w:p>
              </w:tc>
              <w:tc>
                <w:tcPr>
                  <w:tcW w:w="2183" w:type="dxa"/>
                  <w:vMerge w:val="restart"/>
                  <w:vAlign w:val="center"/>
                </w:tcPr>
                <w:p w14:paraId="2BBD4867">
                  <w:pPr>
                    <w:pStyle w:val="57"/>
                    <w:rPr>
                      <w:b w:val="0"/>
                      <w:bCs/>
                    </w:rPr>
                  </w:pPr>
                  <w:r>
                    <w:rPr>
                      <w:b w:val="0"/>
                      <w:bCs/>
                    </w:rPr>
                    <w:t>0.25mg/m³</w:t>
                  </w:r>
                </w:p>
              </w:tc>
              <w:tc>
                <w:tcPr>
                  <w:tcW w:w="2210" w:type="dxa"/>
                  <w:vAlign w:val="center"/>
                </w:tcPr>
                <w:p w14:paraId="178F7229">
                  <w:pPr>
                    <w:pStyle w:val="57"/>
                    <w:rPr>
                      <w:b w:val="0"/>
                      <w:bCs/>
                    </w:rPr>
                  </w:pPr>
                  <w:r>
                    <w:rPr>
                      <w:b w:val="0"/>
                      <w:bCs/>
                    </w:rPr>
                    <w:t>4.8%</w:t>
                  </w:r>
                </w:p>
              </w:tc>
            </w:tr>
            <w:tr w14:paraId="3C6A09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2279" w:type="dxa"/>
                  <w:vAlign w:val="center"/>
                </w:tcPr>
                <w:p w14:paraId="319D2A62">
                  <w:pPr>
                    <w:pStyle w:val="57"/>
                    <w:rPr>
                      <w:b w:val="0"/>
                      <w:bCs/>
                    </w:rPr>
                  </w:pPr>
                  <w:r>
                    <w:rPr>
                      <w:b w:val="0"/>
                      <w:bCs/>
                    </w:rPr>
                    <w:t>4月29日</w:t>
                  </w:r>
                </w:p>
              </w:tc>
              <w:tc>
                <w:tcPr>
                  <w:tcW w:w="2183" w:type="dxa"/>
                  <w:vAlign w:val="center"/>
                </w:tcPr>
                <w:p w14:paraId="756FC465">
                  <w:pPr>
                    <w:pStyle w:val="57"/>
                    <w:rPr>
                      <w:b w:val="0"/>
                      <w:bCs/>
                    </w:rPr>
                  </w:pPr>
                  <w:r>
                    <w:rPr>
                      <w:b w:val="0"/>
                      <w:bCs/>
                    </w:rPr>
                    <w:t>0.008</w:t>
                  </w:r>
                </w:p>
              </w:tc>
              <w:tc>
                <w:tcPr>
                  <w:tcW w:w="2183" w:type="dxa"/>
                  <w:vMerge w:val="continue"/>
                  <w:vAlign w:val="center"/>
                </w:tcPr>
                <w:p w14:paraId="5BCE4BE1">
                  <w:pPr>
                    <w:pStyle w:val="57"/>
                    <w:rPr>
                      <w:b w:val="0"/>
                      <w:bCs/>
                    </w:rPr>
                  </w:pPr>
                </w:p>
              </w:tc>
              <w:tc>
                <w:tcPr>
                  <w:tcW w:w="2210" w:type="dxa"/>
                  <w:vAlign w:val="center"/>
                </w:tcPr>
                <w:p w14:paraId="1441D3E1">
                  <w:pPr>
                    <w:pStyle w:val="57"/>
                    <w:rPr>
                      <w:b w:val="0"/>
                      <w:bCs/>
                    </w:rPr>
                  </w:pPr>
                  <w:r>
                    <w:rPr>
                      <w:b w:val="0"/>
                      <w:bCs/>
                    </w:rPr>
                    <w:t>3.2%</w:t>
                  </w:r>
                </w:p>
              </w:tc>
            </w:tr>
            <w:tr w14:paraId="142DAD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jc w:val="center"/>
              </w:trPr>
              <w:tc>
                <w:tcPr>
                  <w:tcW w:w="2279" w:type="dxa"/>
                  <w:vAlign w:val="center"/>
                </w:tcPr>
                <w:p w14:paraId="4B04C844">
                  <w:pPr>
                    <w:pStyle w:val="57"/>
                    <w:rPr>
                      <w:b w:val="0"/>
                      <w:bCs/>
                    </w:rPr>
                  </w:pPr>
                  <w:r>
                    <w:rPr>
                      <w:b w:val="0"/>
                      <w:bCs/>
                    </w:rPr>
                    <w:t>4月30日</w:t>
                  </w:r>
                </w:p>
              </w:tc>
              <w:tc>
                <w:tcPr>
                  <w:tcW w:w="2183" w:type="dxa"/>
                  <w:vAlign w:val="center"/>
                </w:tcPr>
                <w:p w14:paraId="1183B76A">
                  <w:pPr>
                    <w:pStyle w:val="57"/>
                    <w:rPr>
                      <w:b w:val="0"/>
                      <w:bCs/>
                    </w:rPr>
                  </w:pPr>
                  <w:r>
                    <w:rPr>
                      <w:b w:val="0"/>
                      <w:bCs/>
                    </w:rPr>
                    <w:t>0.017</w:t>
                  </w:r>
                </w:p>
              </w:tc>
              <w:tc>
                <w:tcPr>
                  <w:tcW w:w="2183" w:type="dxa"/>
                  <w:vMerge w:val="continue"/>
                  <w:vAlign w:val="center"/>
                </w:tcPr>
                <w:p w14:paraId="052027C4">
                  <w:pPr>
                    <w:pStyle w:val="57"/>
                    <w:rPr>
                      <w:b w:val="0"/>
                      <w:bCs/>
                    </w:rPr>
                  </w:pPr>
                </w:p>
              </w:tc>
              <w:tc>
                <w:tcPr>
                  <w:tcW w:w="2210" w:type="dxa"/>
                  <w:vAlign w:val="center"/>
                </w:tcPr>
                <w:p w14:paraId="3DA23DE7">
                  <w:pPr>
                    <w:pStyle w:val="57"/>
                    <w:rPr>
                      <w:b w:val="0"/>
                      <w:bCs/>
                    </w:rPr>
                  </w:pPr>
                  <w:r>
                    <w:rPr>
                      <w:b w:val="0"/>
                      <w:bCs/>
                    </w:rPr>
                    <w:t>6.8%</w:t>
                  </w:r>
                </w:p>
              </w:tc>
            </w:tr>
          </w:tbl>
          <w:p w14:paraId="3765AE2A">
            <w:pPr>
              <w:tabs>
                <w:tab w:val="left" w:pos="4266"/>
              </w:tabs>
              <w:spacing w:line="360" w:lineRule="auto"/>
              <w:ind w:firstLine="480" w:firstLineChars="200"/>
              <w:contextualSpacing/>
              <w:rPr>
                <w:sz w:val="24"/>
              </w:rPr>
            </w:pPr>
            <w:r>
              <w:rPr>
                <w:sz w:val="24"/>
              </w:rPr>
              <w:t>由上表数据可知，</w:t>
            </w:r>
            <w:r>
              <w:rPr>
                <w:rFonts w:hint="eastAsia"/>
                <w:sz w:val="24"/>
              </w:rPr>
              <w:t>项目</w:t>
            </w:r>
            <w:r>
              <w:rPr>
                <w:sz w:val="24"/>
              </w:rPr>
              <w:t>所在区域</w:t>
            </w:r>
            <w:r>
              <w:rPr>
                <w:rFonts w:hint="eastAsia"/>
                <w:sz w:val="24"/>
              </w:rPr>
              <w:t>TSP、NOx 监测浓度值符合《环境空气质量标准》（</w:t>
            </w:r>
            <w:r>
              <w:rPr>
                <w:sz w:val="24"/>
              </w:rPr>
              <w:t>GB3095-2012</w:t>
            </w:r>
            <w:r>
              <w:rPr>
                <w:rFonts w:hint="eastAsia"/>
                <w:sz w:val="24"/>
              </w:rPr>
              <w:t>）二级标准限值。</w:t>
            </w:r>
          </w:p>
          <w:p w14:paraId="52D7509B">
            <w:pPr>
              <w:pStyle w:val="57"/>
            </w:pPr>
            <w:r>
              <w:drawing>
                <wp:inline distT="0" distB="0" distL="114300" distR="114300">
                  <wp:extent cx="5616575" cy="3559175"/>
                  <wp:effectExtent l="0" t="0" r="3175" b="3175"/>
                  <wp:docPr id="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0"/>
                          <pic:cNvPicPr>
                            <a:picLocks noChangeAspect="1"/>
                          </pic:cNvPicPr>
                        </pic:nvPicPr>
                        <pic:blipFill>
                          <a:blip r:embed="rId20"/>
                          <a:stretch>
                            <a:fillRect/>
                          </a:stretch>
                        </pic:blipFill>
                        <pic:spPr>
                          <a:xfrm>
                            <a:off x="0" y="0"/>
                            <a:ext cx="5616575" cy="3559175"/>
                          </a:xfrm>
                          <a:prstGeom prst="rect">
                            <a:avLst/>
                          </a:prstGeom>
                          <a:noFill/>
                          <a:ln>
                            <a:noFill/>
                          </a:ln>
                        </pic:spPr>
                      </pic:pic>
                    </a:graphicData>
                  </a:graphic>
                </wp:inline>
              </w:drawing>
            </w:r>
          </w:p>
          <w:p w14:paraId="293C31DC">
            <w:pPr>
              <w:pStyle w:val="57"/>
              <w:rPr>
                <w:lang w:val="en-US"/>
              </w:rPr>
            </w:pPr>
            <w:r>
              <w:rPr>
                <w:rFonts w:hint="eastAsia"/>
                <w:lang w:val="en-US" w:eastAsia="zh-CN"/>
              </w:rPr>
              <w:t>图3-1</w:t>
            </w:r>
            <w:r>
              <w:rPr>
                <w:rFonts w:hint="eastAsia"/>
                <w:lang w:val="en-US"/>
              </w:rPr>
              <w:t>引用监测点位位置图</w:t>
            </w:r>
          </w:p>
          <w:p w14:paraId="05519FD0">
            <w:pPr>
              <w:pStyle w:val="111"/>
              <w:ind w:firstLine="482"/>
              <w:rPr>
                <w:rFonts w:hint="default"/>
                <w:b/>
                <w:bCs/>
                <w:color w:val="auto"/>
              </w:rPr>
            </w:pPr>
            <w:r>
              <w:rPr>
                <w:b/>
                <w:bCs/>
                <w:color w:val="auto"/>
              </w:rPr>
              <w:t>2.声环境</w:t>
            </w:r>
          </w:p>
          <w:p w14:paraId="276CAEB4">
            <w:pPr>
              <w:pStyle w:val="111"/>
              <w:rPr>
                <w:rFonts w:hint="default"/>
                <w:color w:val="auto"/>
              </w:rPr>
            </w:pPr>
            <w:r>
              <w:rPr>
                <w:color w:val="auto"/>
              </w:rPr>
              <w:t>经现场调查厂址外围50m范围内无声环境保护目标，故不进行现状调查。</w:t>
            </w:r>
          </w:p>
          <w:p w14:paraId="0F76F574">
            <w:pPr>
              <w:pStyle w:val="111"/>
              <w:ind w:firstLine="482"/>
              <w:rPr>
                <w:rFonts w:hint="default"/>
                <w:b/>
                <w:bCs/>
                <w:color w:val="auto"/>
              </w:rPr>
            </w:pPr>
            <w:r>
              <w:rPr>
                <w:b/>
                <w:bCs/>
                <w:color w:val="auto"/>
              </w:rPr>
              <w:t>3</w:t>
            </w:r>
            <w:r>
              <w:rPr>
                <w:rFonts w:hint="default"/>
                <w:b/>
                <w:bCs/>
                <w:color w:val="auto"/>
              </w:rPr>
              <w:t>.生态环境</w:t>
            </w:r>
          </w:p>
          <w:p w14:paraId="61B3103F">
            <w:pPr>
              <w:pStyle w:val="111"/>
              <w:rPr>
                <w:rFonts w:hint="default"/>
                <w:color w:val="auto"/>
              </w:rPr>
            </w:pPr>
            <w:r>
              <w:rPr>
                <w:rFonts w:hint="default"/>
                <w:color w:val="auto"/>
              </w:rPr>
              <w:t>项目用地范围内不涉及生态环境保护目标，故项目无需进行生态现状调查。</w:t>
            </w:r>
          </w:p>
          <w:p w14:paraId="2D832810">
            <w:pPr>
              <w:pStyle w:val="111"/>
              <w:ind w:firstLine="482"/>
              <w:rPr>
                <w:rFonts w:hint="default"/>
                <w:b/>
                <w:bCs/>
                <w:color w:val="auto"/>
              </w:rPr>
            </w:pPr>
            <w:r>
              <w:rPr>
                <w:b/>
                <w:bCs/>
                <w:color w:val="auto"/>
              </w:rPr>
              <w:t>4</w:t>
            </w:r>
            <w:r>
              <w:rPr>
                <w:rFonts w:hint="default"/>
                <w:b/>
                <w:bCs/>
                <w:color w:val="auto"/>
              </w:rPr>
              <w:t>.地下水环境质量</w:t>
            </w:r>
          </w:p>
          <w:p w14:paraId="1BA4CC3A">
            <w:pPr>
              <w:pStyle w:val="111"/>
              <w:rPr>
                <w:rFonts w:hint="default"/>
                <w:color w:val="auto"/>
              </w:rPr>
            </w:pPr>
            <w:r>
              <w:rPr>
                <w:rFonts w:hint="default"/>
                <w:color w:val="auto"/>
              </w:rPr>
              <w:t>本项目主要为</w:t>
            </w:r>
            <w:r>
              <w:rPr>
                <w:color w:val="auto"/>
              </w:rPr>
              <w:t>金属表面处理及热处理</w:t>
            </w:r>
            <w:r>
              <w:rPr>
                <w:rFonts w:hint="default"/>
                <w:color w:val="auto"/>
              </w:rPr>
              <w:t>，</w:t>
            </w:r>
            <w:r>
              <w:rPr>
                <w:color w:val="auto"/>
              </w:rPr>
              <w:t>依托现有的</w:t>
            </w:r>
            <w:r>
              <w:rPr>
                <w:rFonts w:hint="default"/>
                <w:color w:val="auto"/>
              </w:rPr>
              <w:t>生产车间已进行防渗处理。项目无地下水污染源及污染途径，故不进行地下水环境质量现状分析。</w:t>
            </w:r>
          </w:p>
          <w:p w14:paraId="1C3B7B74">
            <w:pPr>
              <w:pStyle w:val="111"/>
              <w:ind w:firstLine="482"/>
              <w:rPr>
                <w:rFonts w:hint="default"/>
                <w:b/>
                <w:bCs/>
                <w:color w:val="auto"/>
              </w:rPr>
            </w:pPr>
            <w:r>
              <w:rPr>
                <w:b/>
                <w:bCs/>
                <w:color w:val="auto"/>
              </w:rPr>
              <w:t>5</w:t>
            </w:r>
            <w:r>
              <w:rPr>
                <w:rFonts w:hint="default"/>
                <w:b/>
                <w:bCs/>
                <w:color w:val="auto"/>
              </w:rPr>
              <w:t>.土壤环境质量</w:t>
            </w:r>
          </w:p>
          <w:p w14:paraId="30FBD554">
            <w:pPr>
              <w:pStyle w:val="111"/>
              <w:rPr>
                <w:rFonts w:hint="default"/>
                <w:color w:val="auto"/>
              </w:rPr>
            </w:pPr>
            <w:r>
              <w:rPr>
                <w:rFonts w:hint="default"/>
                <w:color w:val="auto"/>
              </w:rPr>
              <w:t>本项目主要为金属压延加工项目，</w:t>
            </w:r>
            <w:r>
              <w:rPr>
                <w:color w:val="auto"/>
              </w:rPr>
              <w:t>依托现有的</w:t>
            </w:r>
            <w:r>
              <w:rPr>
                <w:rFonts w:hint="default"/>
                <w:color w:val="auto"/>
              </w:rPr>
              <w:t>生产车间进行设备安装，项目废气</w:t>
            </w:r>
            <w:r>
              <w:rPr>
                <w:color w:val="auto"/>
              </w:rPr>
              <w:t>不涉及土壤污染因子</w:t>
            </w:r>
            <w:r>
              <w:rPr>
                <w:rFonts w:hint="default"/>
                <w:color w:val="auto"/>
              </w:rPr>
              <w:t>；项目生产车间已进行硬化处理，危险废物贮存库按照相关标准严格设置，可以有效保证污染物不进入土壤环境。因此，本项目不进行土壤环境质量现状分析。</w:t>
            </w:r>
          </w:p>
        </w:tc>
      </w:tr>
      <w:tr w14:paraId="6FE0B3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0" w:type="dxa"/>
            <w:vAlign w:val="center"/>
          </w:tcPr>
          <w:p w14:paraId="02E2D08D">
            <w:pPr>
              <w:wordWrap w:val="0"/>
              <w:adjustRightInd w:val="0"/>
              <w:snapToGrid w:val="0"/>
              <w:spacing w:line="360" w:lineRule="auto"/>
              <w:jc w:val="center"/>
              <w:rPr>
                <w:rFonts w:cs="宋体"/>
                <w:b/>
                <w:bCs/>
                <w:kern w:val="0"/>
                <w:sz w:val="24"/>
              </w:rPr>
            </w:pPr>
            <w:r>
              <w:rPr>
                <w:rFonts w:hint="eastAsia" w:cs="宋体"/>
                <w:b/>
                <w:bCs/>
                <w:kern w:val="0"/>
                <w:sz w:val="24"/>
              </w:rPr>
              <w:t>环境</w:t>
            </w:r>
          </w:p>
          <w:p w14:paraId="52675FE7">
            <w:pPr>
              <w:wordWrap w:val="0"/>
              <w:adjustRightInd w:val="0"/>
              <w:snapToGrid w:val="0"/>
              <w:spacing w:line="360" w:lineRule="auto"/>
              <w:jc w:val="center"/>
              <w:rPr>
                <w:rFonts w:cs="宋体"/>
                <w:b/>
                <w:bCs/>
                <w:kern w:val="0"/>
                <w:sz w:val="24"/>
              </w:rPr>
            </w:pPr>
            <w:r>
              <w:rPr>
                <w:rFonts w:hint="eastAsia" w:cs="宋体"/>
                <w:b/>
                <w:bCs/>
                <w:kern w:val="0"/>
                <w:sz w:val="24"/>
              </w:rPr>
              <w:t>保护</w:t>
            </w:r>
          </w:p>
          <w:p w14:paraId="62D700FA">
            <w:pPr>
              <w:wordWrap w:val="0"/>
              <w:adjustRightInd w:val="0"/>
              <w:snapToGrid w:val="0"/>
              <w:spacing w:line="360" w:lineRule="auto"/>
              <w:jc w:val="center"/>
              <w:rPr>
                <w:rFonts w:cs="宋体"/>
                <w:b/>
                <w:bCs/>
                <w:kern w:val="0"/>
                <w:sz w:val="24"/>
              </w:rPr>
            </w:pPr>
            <w:r>
              <w:rPr>
                <w:rFonts w:hint="eastAsia" w:cs="宋体"/>
                <w:b/>
                <w:bCs/>
                <w:kern w:val="0"/>
                <w:sz w:val="24"/>
              </w:rPr>
              <w:t>目标</w:t>
            </w:r>
          </w:p>
        </w:tc>
        <w:tc>
          <w:tcPr>
            <w:tcW w:w="8190" w:type="dxa"/>
            <w:vAlign w:val="center"/>
          </w:tcPr>
          <w:p w14:paraId="6D4D626A">
            <w:pPr>
              <w:pStyle w:val="111"/>
              <w:numPr>
                <w:ilvl w:val="0"/>
                <w:numId w:val="22"/>
              </w:numPr>
              <w:ind w:firstLine="482"/>
              <w:rPr>
                <w:rFonts w:hint="default"/>
                <w:b/>
                <w:bCs/>
                <w:color w:val="auto"/>
              </w:rPr>
            </w:pPr>
            <w:r>
              <w:rPr>
                <w:b/>
                <w:bCs/>
                <w:color w:val="auto"/>
              </w:rPr>
              <w:t>大气环境</w:t>
            </w:r>
          </w:p>
          <w:p w14:paraId="4CC5766A">
            <w:pPr>
              <w:pStyle w:val="111"/>
              <w:rPr>
                <w:rFonts w:hint="default"/>
                <w:color w:val="auto"/>
              </w:rPr>
            </w:pPr>
            <w:r>
              <w:rPr>
                <w:color w:val="auto"/>
              </w:rPr>
              <w:t>厂界外500米范围内大气环境保护目标见下表。</w:t>
            </w:r>
          </w:p>
          <w:p w14:paraId="4E5CAEBA">
            <w:pPr>
              <w:pStyle w:val="57"/>
            </w:pPr>
            <w:r>
              <w:rPr>
                <w:rFonts w:hint="eastAsia"/>
              </w:rPr>
              <w:t>表3-</w:t>
            </w:r>
            <w:r>
              <w:rPr>
                <w:rFonts w:hint="eastAsia"/>
                <w:lang w:val="en-US"/>
              </w:rPr>
              <w:t>3</w:t>
            </w:r>
            <w:r>
              <w:rPr>
                <w:rFonts w:hint="eastAsia"/>
              </w:rPr>
              <w:t>环境保护目标表</w:t>
            </w:r>
          </w:p>
          <w:tbl>
            <w:tblPr>
              <w:tblStyle w:val="35"/>
              <w:tblW w:w="884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4"/>
              <w:gridCol w:w="1442"/>
              <w:gridCol w:w="1233"/>
              <w:gridCol w:w="968"/>
              <w:gridCol w:w="749"/>
              <w:gridCol w:w="1774"/>
              <w:gridCol w:w="876"/>
              <w:gridCol w:w="945"/>
            </w:tblGrid>
            <w:tr w14:paraId="2B2817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Merge w:val="restart"/>
                  <w:vAlign w:val="center"/>
                </w:tcPr>
                <w:p w14:paraId="54A7F6D4">
                  <w:pPr>
                    <w:pStyle w:val="57"/>
                  </w:pPr>
                  <w:r>
                    <w:t>名称</w:t>
                  </w:r>
                </w:p>
              </w:tc>
              <w:tc>
                <w:tcPr>
                  <w:tcW w:w="2675" w:type="dxa"/>
                  <w:gridSpan w:val="2"/>
                  <w:vAlign w:val="center"/>
                </w:tcPr>
                <w:p w14:paraId="4AB4F403">
                  <w:pPr>
                    <w:pStyle w:val="57"/>
                  </w:pPr>
                  <w:r>
                    <w:t>坐标</w:t>
                  </w:r>
                </w:p>
              </w:tc>
              <w:tc>
                <w:tcPr>
                  <w:tcW w:w="968" w:type="dxa"/>
                  <w:vMerge w:val="restart"/>
                  <w:vAlign w:val="center"/>
                </w:tcPr>
                <w:p w14:paraId="1B01FE7E">
                  <w:pPr>
                    <w:pStyle w:val="57"/>
                  </w:pPr>
                  <w:r>
                    <w:t>保护对象</w:t>
                  </w:r>
                </w:p>
              </w:tc>
              <w:tc>
                <w:tcPr>
                  <w:tcW w:w="749" w:type="dxa"/>
                  <w:vMerge w:val="restart"/>
                  <w:vAlign w:val="center"/>
                </w:tcPr>
                <w:p w14:paraId="368CF4BA">
                  <w:pPr>
                    <w:pStyle w:val="57"/>
                  </w:pPr>
                  <w:r>
                    <w:t>保护内容</w:t>
                  </w:r>
                </w:p>
              </w:tc>
              <w:tc>
                <w:tcPr>
                  <w:tcW w:w="1774" w:type="dxa"/>
                  <w:vMerge w:val="restart"/>
                  <w:vAlign w:val="center"/>
                </w:tcPr>
                <w:p w14:paraId="58954BF3">
                  <w:pPr>
                    <w:pStyle w:val="57"/>
                  </w:pPr>
                  <w:r>
                    <w:t>环境功能区</w:t>
                  </w:r>
                </w:p>
              </w:tc>
              <w:tc>
                <w:tcPr>
                  <w:tcW w:w="876" w:type="dxa"/>
                  <w:vMerge w:val="restart"/>
                  <w:vAlign w:val="center"/>
                </w:tcPr>
                <w:p w14:paraId="728F94F2">
                  <w:pPr>
                    <w:pStyle w:val="57"/>
                  </w:pPr>
                  <w:r>
                    <w:t>相对厂址方位</w:t>
                  </w:r>
                </w:p>
              </w:tc>
              <w:tc>
                <w:tcPr>
                  <w:tcW w:w="945" w:type="dxa"/>
                  <w:vMerge w:val="restart"/>
                  <w:vAlign w:val="center"/>
                </w:tcPr>
                <w:p w14:paraId="095208CB">
                  <w:pPr>
                    <w:pStyle w:val="57"/>
                  </w:pPr>
                  <w:r>
                    <w:t>相对厂界距离/m</w:t>
                  </w:r>
                </w:p>
              </w:tc>
            </w:tr>
            <w:tr w14:paraId="319B3A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Merge w:val="continue"/>
                  <w:vAlign w:val="center"/>
                </w:tcPr>
                <w:p w14:paraId="3C16CB72">
                  <w:pPr>
                    <w:pStyle w:val="57"/>
                    <w:rPr>
                      <w:b w:val="0"/>
                      <w:bCs/>
                    </w:rPr>
                  </w:pPr>
                </w:p>
              </w:tc>
              <w:tc>
                <w:tcPr>
                  <w:tcW w:w="1442" w:type="dxa"/>
                  <w:vAlign w:val="center"/>
                </w:tcPr>
                <w:p w14:paraId="5187A603">
                  <w:pPr>
                    <w:pStyle w:val="57"/>
                  </w:pPr>
                  <w:r>
                    <w:t>东经</w:t>
                  </w:r>
                </w:p>
              </w:tc>
              <w:tc>
                <w:tcPr>
                  <w:tcW w:w="1233" w:type="dxa"/>
                  <w:vAlign w:val="center"/>
                </w:tcPr>
                <w:p w14:paraId="5BF89382">
                  <w:pPr>
                    <w:pStyle w:val="57"/>
                  </w:pPr>
                  <w:r>
                    <w:t>北纬</w:t>
                  </w:r>
                </w:p>
              </w:tc>
              <w:tc>
                <w:tcPr>
                  <w:tcW w:w="968" w:type="dxa"/>
                  <w:vMerge w:val="continue"/>
                  <w:vAlign w:val="center"/>
                </w:tcPr>
                <w:p w14:paraId="6A3FDAEF">
                  <w:pPr>
                    <w:pStyle w:val="57"/>
                    <w:rPr>
                      <w:b w:val="0"/>
                      <w:bCs/>
                    </w:rPr>
                  </w:pPr>
                </w:p>
              </w:tc>
              <w:tc>
                <w:tcPr>
                  <w:tcW w:w="749" w:type="dxa"/>
                  <w:vMerge w:val="continue"/>
                  <w:vAlign w:val="center"/>
                </w:tcPr>
                <w:p w14:paraId="2EBEF491">
                  <w:pPr>
                    <w:pStyle w:val="57"/>
                    <w:rPr>
                      <w:b w:val="0"/>
                      <w:bCs/>
                    </w:rPr>
                  </w:pPr>
                </w:p>
              </w:tc>
              <w:tc>
                <w:tcPr>
                  <w:tcW w:w="1774" w:type="dxa"/>
                  <w:vMerge w:val="continue"/>
                  <w:vAlign w:val="center"/>
                </w:tcPr>
                <w:p w14:paraId="6EB92E2C">
                  <w:pPr>
                    <w:pStyle w:val="57"/>
                    <w:rPr>
                      <w:b w:val="0"/>
                      <w:bCs/>
                    </w:rPr>
                  </w:pPr>
                </w:p>
              </w:tc>
              <w:tc>
                <w:tcPr>
                  <w:tcW w:w="876" w:type="dxa"/>
                  <w:vMerge w:val="continue"/>
                  <w:vAlign w:val="center"/>
                </w:tcPr>
                <w:p w14:paraId="512D4379">
                  <w:pPr>
                    <w:pStyle w:val="57"/>
                    <w:rPr>
                      <w:b w:val="0"/>
                      <w:bCs/>
                    </w:rPr>
                  </w:pPr>
                </w:p>
              </w:tc>
              <w:tc>
                <w:tcPr>
                  <w:tcW w:w="945" w:type="dxa"/>
                  <w:vMerge w:val="continue"/>
                  <w:vAlign w:val="center"/>
                </w:tcPr>
                <w:p w14:paraId="50824B9A">
                  <w:pPr>
                    <w:pStyle w:val="57"/>
                    <w:rPr>
                      <w:b w:val="0"/>
                      <w:bCs/>
                    </w:rPr>
                  </w:pPr>
                </w:p>
              </w:tc>
            </w:tr>
            <w:tr w14:paraId="251D51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Merge w:val="restart"/>
                  <w:vAlign w:val="center"/>
                </w:tcPr>
                <w:p w14:paraId="2B14758B">
                  <w:pPr>
                    <w:pStyle w:val="57"/>
                    <w:rPr>
                      <w:b w:val="0"/>
                      <w:bCs/>
                    </w:rPr>
                  </w:pPr>
                  <w:r>
                    <w:rPr>
                      <w:b w:val="0"/>
                      <w:bCs/>
                    </w:rPr>
                    <w:t>大气环境</w:t>
                  </w:r>
                </w:p>
              </w:tc>
              <w:tc>
                <w:tcPr>
                  <w:tcW w:w="1442" w:type="dxa"/>
                  <w:vAlign w:val="center"/>
                </w:tcPr>
                <w:p w14:paraId="4AEE261E">
                  <w:pPr>
                    <w:pStyle w:val="57"/>
                    <w:rPr>
                      <w:b w:val="0"/>
                      <w:bCs/>
                    </w:rPr>
                  </w:pPr>
                  <w:r>
                    <w:rPr>
                      <w:b w:val="0"/>
                      <w:bCs/>
                    </w:rPr>
                    <w:t>107°36'41.</w:t>
                  </w:r>
                </w:p>
                <w:p w14:paraId="2D3937D3">
                  <w:pPr>
                    <w:pStyle w:val="57"/>
                    <w:rPr>
                      <w:b w:val="0"/>
                      <w:bCs/>
                    </w:rPr>
                  </w:pPr>
                  <w:r>
                    <w:rPr>
                      <w:b w:val="0"/>
                      <w:bCs/>
                    </w:rPr>
                    <w:t>370″</w:t>
                  </w:r>
                </w:p>
              </w:tc>
              <w:tc>
                <w:tcPr>
                  <w:tcW w:w="1233" w:type="dxa"/>
                  <w:vAlign w:val="center"/>
                </w:tcPr>
                <w:p w14:paraId="071F54D9">
                  <w:pPr>
                    <w:pStyle w:val="57"/>
                    <w:rPr>
                      <w:b w:val="0"/>
                      <w:bCs/>
                    </w:rPr>
                  </w:pPr>
                  <w:r>
                    <w:rPr>
                      <w:b w:val="0"/>
                      <w:bCs/>
                    </w:rPr>
                    <w:t>34°15'59.581″</w:t>
                  </w:r>
                </w:p>
              </w:tc>
              <w:tc>
                <w:tcPr>
                  <w:tcW w:w="968" w:type="dxa"/>
                  <w:vAlign w:val="center"/>
                </w:tcPr>
                <w:p w14:paraId="5806CF57">
                  <w:pPr>
                    <w:pStyle w:val="57"/>
                    <w:rPr>
                      <w:b w:val="0"/>
                      <w:bCs/>
                    </w:rPr>
                  </w:pPr>
                  <w:r>
                    <w:rPr>
                      <w:b w:val="0"/>
                      <w:bCs/>
                    </w:rPr>
                    <w:t>张家</w:t>
                  </w:r>
                </w:p>
                <w:p w14:paraId="184D1386">
                  <w:pPr>
                    <w:pStyle w:val="57"/>
                    <w:rPr>
                      <w:b w:val="0"/>
                      <w:bCs/>
                    </w:rPr>
                  </w:pPr>
                  <w:r>
                    <w:rPr>
                      <w:b w:val="0"/>
                      <w:bCs/>
                    </w:rPr>
                    <w:t>堎村</w:t>
                  </w:r>
                </w:p>
              </w:tc>
              <w:tc>
                <w:tcPr>
                  <w:tcW w:w="749" w:type="dxa"/>
                  <w:vAlign w:val="center"/>
                </w:tcPr>
                <w:p w14:paraId="5FF2CA21">
                  <w:pPr>
                    <w:pStyle w:val="57"/>
                    <w:rPr>
                      <w:b w:val="0"/>
                      <w:bCs/>
                    </w:rPr>
                  </w:pPr>
                  <w:r>
                    <w:rPr>
                      <w:b w:val="0"/>
                      <w:bCs/>
                    </w:rPr>
                    <w:t>260人</w:t>
                  </w:r>
                </w:p>
              </w:tc>
              <w:tc>
                <w:tcPr>
                  <w:tcW w:w="1774" w:type="dxa"/>
                  <w:vMerge w:val="restart"/>
                  <w:vAlign w:val="center"/>
                </w:tcPr>
                <w:p w14:paraId="004134A6">
                  <w:pPr>
                    <w:pStyle w:val="57"/>
                    <w:rPr>
                      <w:b w:val="0"/>
                      <w:bCs/>
                    </w:rPr>
                  </w:pPr>
                  <w:r>
                    <w:rPr>
                      <w:b w:val="0"/>
                      <w:bCs/>
                    </w:rPr>
                    <w:t>《环境空气质量标准》（GB3095-2012）二类区</w:t>
                  </w:r>
                </w:p>
              </w:tc>
              <w:tc>
                <w:tcPr>
                  <w:tcW w:w="876" w:type="dxa"/>
                  <w:vAlign w:val="center"/>
                </w:tcPr>
                <w:p w14:paraId="608D83EB">
                  <w:pPr>
                    <w:pStyle w:val="57"/>
                    <w:rPr>
                      <w:b w:val="0"/>
                      <w:bCs/>
                    </w:rPr>
                  </w:pPr>
                  <w:r>
                    <w:rPr>
                      <w:b w:val="0"/>
                      <w:bCs/>
                    </w:rPr>
                    <w:t>南</w:t>
                  </w:r>
                </w:p>
              </w:tc>
              <w:tc>
                <w:tcPr>
                  <w:tcW w:w="945" w:type="dxa"/>
                  <w:vAlign w:val="center"/>
                </w:tcPr>
                <w:p w14:paraId="300AB061">
                  <w:pPr>
                    <w:pStyle w:val="57"/>
                    <w:rPr>
                      <w:b w:val="0"/>
                      <w:bCs/>
                      <w:lang w:val="en-US"/>
                    </w:rPr>
                  </w:pPr>
                  <w:r>
                    <w:rPr>
                      <w:rFonts w:hint="eastAsia"/>
                      <w:b w:val="0"/>
                      <w:bCs/>
                      <w:lang w:val="en-US"/>
                    </w:rPr>
                    <w:t>297</w:t>
                  </w:r>
                </w:p>
              </w:tc>
            </w:tr>
            <w:tr w14:paraId="09F48A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Merge w:val="continue"/>
                  <w:vAlign w:val="center"/>
                </w:tcPr>
                <w:p w14:paraId="70CF7A85">
                  <w:pPr>
                    <w:pStyle w:val="57"/>
                    <w:rPr>
                      <w:b w:val="0"/>
                      <w:bCs/>
                    </w:rPr>
                  </w:pPr>
                </w:p>
              </w:tc>
              <w:tc>
                <w:tcPr>
                  <w:tcW w:w="1442" w:type="dxa"/>
                  <w:shd w:val="clear" w:color="auto" w:fill="auto"/>
                  <w:vAlign w:val="center"/>
                </w:tcPr>
                <w:p w14:paraId="629C45C3">
                  <w:pPr>
                    <w:pStyle w:val="57"/>
                    <w:rPr>
                      <w:b w:val="0"/>
                      <w:bCs/>
                    </w:rPr>
                  </w:pPr>
                  <w:r>
                    <w:rPr>
                      <w:b w:val="0"/>
                      <w:bCs/>
                    </w:rPr>
                    <w:t>107°3550.7</w:t>
                  </w:r>
                </w:p>
                <w:p w14:paraId="202D3703">
                  <w:pPr>
                    <w:pStyle w:val="57"/>
                    <w:rPr>
                      <w:b w:val="0"/>
                      <w:bCs/>
                      <w:lang w:val="en-US" w:eastAsia="en-US"/>
                    </w:rPr>
                  </w:pPr>
                  <w:r>
                    <w:rPr>
                      <w:b w:val="0"/>
                      <w:bCs/>
                    </w:rPr>
                    <w:t>728"</w:t>
                  </w:r>
                </w:p>
              </w:tc>
              <w:tc>
                <w:tcPr>
                  <w:tcW w:w="1233" w:type="dxa"/>
                  <w:shd w:val="clear" w:color="auto" w:fill="auto"/>
                  <w:vAlign w:val="center"/>
                </w:tcPr>
                <w:p w14:paraId="01A43A85">
                  <w:pPr>
                    <w:pStyle w:val="57"/>
                    <w:rPr>
                      <w:b w:val="0"/>
                      <w:bCs/>
                      <w:lang w:val="en-US" w:eastAsia="en-US"/>
                    </w:rPr>
                  </w:pPr>
                  <w:r>
                    <w:rPr>
                      <w:b w:val="0"/>
                      <w:bCs/>
                    </w:rPr>
                    <w:t>34°16'12. 3278"</w:t>
                  </w:r>
                </w:p>
              </w:tc>
              <w:tc>
                <w:tcPr>
                  <w:tcW w:w="968" w:type="dxa"/>
                  <w:shd w:val="clear" w:color="auto" w:fill="auto"/>
                  <w:vAlign w:val="center"/>
                </w:tcPr>
                <w:p w14:paraId="1465BE49">
                  <w:pPr>
                    <w:pStyle w:val="57"/>
                    <w:rPr>
                      <w:b w:val="0"/>
                      <w:bCs/>
                      <w:lang w:val="en-US" w:eastAsia="en-US"/>
                    </w:rPr>
                  </w:pPr>
                  <w:r>
                    <w:rPr>
                      <w:b w:val="0"/>
                      <w:bCs/>
                    </w:rPr>
                    <w:t>红星村</w:t>
                  </w:r>
                </w:p>
              </w:tc>
              <w:tc>
                <w:tcPr>
                  <w:tcW w:w="749" w:type="dxa"/>
                  <w:shd w:val="clear" w:color="auto" w:fill="auto"/>
                  <w:vAlign w:val="center"/>
                </w:tcPr>
                <w:p w14:paraId="1E41B251">
                  <w:pPr>
                    <w:pStyle w:val="57"/>
                    <w:rPr>
                      <w:b w:val="0"/>
                      <w:bCs/>
                    </w:rPr>
                  </w:pPr>
                </w:p>
                <w:p w14:paraId="59628A74">
                  <w:pPr>
                    <w:pStyle w:val="57"/>
                    <w:rPr>
                      <w:b w:val="0"/>
                      <w:bCs/>
                      <w:lang w:val="en-US"/>
                    </w:rPr>
                  </w:pPr>
                  <w:r>
                    <w:rPr>
                      <w:rFonts w:hint="eastAsia"/>
                      <w:b w:val="0"/>
                      <w:bCs/>
                      <w:lang w:val="en-US"/>
                    </w:rPr>
                    <w:t>290人</w:t>
                  </w:r>
                </w:p>
              </w:tc>
              <w:tc>
                <w:tcPr>
                  <w:tcW w:w="1774" w:type="dxa"/>
                  <w:vMerge w:val="continue"/>
                  <w:vAlign w:val="center"/>
                </w:tcPr>
                <w:p w14:paraId="34666F1A">
                  <w:pPr>
                    <w:pStyle w:val="57"/>
                    <w:rPr>
                      <w:b w:val="0"/>
                      <w:bCs/>
                    </w:rPr>
                  </w:pPr>
                </w:p>
              </w:tc>
              <w:tc>
                <w:tcPr>
                  <w:tcW w:w="876" w:type="dxa"/>
                  <w:vAlign w:val="center"/>
                </w:tcPr>
                <w:p w14:paraId="58C10A44">
                  <w:pPr>
                    <w:pStyle w:val="57"/>
                    <w:rPr>
                      <w:b w:val="0"/>
                      <w:bCs/>
                    </w:rPr>
                  </w:pPr>
                  <w:r>
                    <w:rPr>
                      <w:b w:val="0"/>
                      <w:bCs/>
                    </w:rPr>
                    <w:t>南</w:t>
                  </w:r>
                </w:p>
              </w:tc>
              <w:tc>
                <w:tcPr>
                  <w:tcW w:w="945" w:type="dxa"/>
                  <w:vAlign w:val="center"/>
                </w:tcPr>
                <w:p w14:paraId="00B3BA09">
                  <w:pPr>
                    <w:pStyle w:val="57"/>
                    <w:rPr>
                      <w:b w:val="0"/>
                      <w:bCs/>
                      <w:lang w:val="en-US"/>
                    </w:rPr>
                  </w:pPr>
                  <w:r>
                    <w:rPr>
                      <w:rFonts w:hint="eastAsia"/>
                      <w:b w:val="0"/>
                      <w:bCs/>
                      <w:lang w:val="en-US"/>
                    </w:rPr>
                    <w:t>335</w:t>
                  </w:r>
                </w:p>
              </w:tc>
            </w:tr>
            <w:tr w14:paraId="3426BB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Merge w:val="continue"/>
                  <w:vAlign w:val="center"/>
                </w:tcPr>
                <w:p w14:paraId="05811956">
                  <w:pPr>
                    <w:pStyle w:val="57"/>
                    <w:rPr>
                      <w:b w:val="0"/>
                      <w:bCs/>
                    </w:rPr>
                  </w:pPr>
                </w:p>
              </w:tc>
              <w:tc>
                <w:tcPr>
                  <w:tcW w:w="1442" w:type="dxa"/>
                  <w:shd w:val="clear" w:color="auto" w:fill="auto"/>
                  <w:vAlign w:val="center"/>
                </w:tcPr>
                <w:p w14:paraId="44B5A251">
                  <w:pPr>
                    <w:pStyle w:val="57"/>
                    <w:rPr>
                      <w:b w:val="0"/>
                      <w:bCs/>
                    </w:rPr>
                  </w:pPr>
                  <w:r>
                    <w:rPr>
                      <w:b w:val="0"/>
                      <w:bCs/>
                    </w:rPr>
                    <w:t>107°3</w:t>
                  </w:r>
                  <w:r>
                    <w:rPr>
                      <w:rFonts w:hint="eastAsia"/>
                      <w:b w:val="0"/>
                      <w:bCs/>
                      <w:lang w:val="en-US"/>
                    </w:rPr>
                    <w:t>4</w:t>
                  </w:r>
                  <w:r>
                    <w:rPr>
                      <w:b w:val="0"/>
                      <w:bCs/>
                    </w:rPr>
                    <w:t>50.7</w:t>
                  </w:r>
                </w:p>
                <w:p w14:paraId="0720C3C0">
                  <w:pPr>
                    <w:pStyle w:val="57"/>
                    <w:rPr>
                      <w:b w:val="0"/>
                      <w:bCs/>
                      <w:lang w:val="en-US" w:eastAsia="en-US"/>
                    </w:rPr>
                  </w:pPr>
                  <w:r>
                    <w:rPr>
                      <w:rFonts w:hint="eastAsia"/>
                      <w:b w:val="0"/>
                      <w:bCs/>
                      <w:lang w:val="en-US"/>
                    </w:rPr>
                    <w:t>6</w:t>
                  </w:r>
                  <w:r>
                    <w:rPr>
                      <w:b w:val="0"/>
                      <w:bCs/>
                    </w:rPr>
                    <w:t>2</w:t>
                  </w:r>
                  <w:r>
                    <w:rPr>
                      <w:rFonts w:hint="eastAsia"/>
                      <w:b w:val="0"/>
                      <w:bCs/>
                      <w:lang w:val="en-US"/>
                    </w:rPr>
                    <w:t>9</w:t>
                  </w:r>
                  <w:r>
                    <w:rPr>
                      <w:b w:val="0"/>
                      <w:bCs/>
                    </w:rPr>
                    <w:t>"</w:t>
                  </w:r>
                </w:p>
              </w:tc>
              <w:tc>
                <w:tcPr>
                  <w:tcW w:w="1233" w:type="dxa"/>
                  <w:shd w:val="clear" w:color="auto" w:fill="auto"/>
                  <w:vAlign w:val="center"/>
                </w:tcPr>
                <w:p w14:paraId="0F024F1B">
                  <w:pPr>
                    <w:pStyle w:val="57"/>
                    <w:rPr>
                      <w:b w:val="0"/>
                      <w:bCs/>
                      <w:lang w:val="en-US" w:eastAsia="en-US"/>
                    </w:rPr>
                  </w:pPr>
                  <w:r>
                    <w:rPr>
                      <w:b w:val="0"/>
                      <w:bCs/>
                    </w:rPr>
                    <w:t>34°1</w:t>
                  </w:r>
                  <w:r>
                    <w:rPr>
                      <w:rFonts w:hint="eastAsia"/>
                      <w:b w:val="0"/>
                      <w:bCs/>
                      <w:lang w:val="en-US"/>
                    </w:rPr>
                    <w:t>7</w:t>
                  </w:r>
                  <w:r>
                    <w:rPr>
                      <w:b w:val="0"/>
                      <w:bCs/>
                    </w:rPr>
                    <w:t xml:space="preserve">12. </w:t>
                  </w:r>
                  <w:r>
                    <w:rPr>
                      <w:rFonts w:hint="eastAsia"/>
                      <w:b w:val="0"/>
                      <w:bCs/>
                      <w:lang w:val="en-US"/>
                    </w:rPr>
                    <w:t>5</w:t>
                  </w:r>
                  <w:r>
                    <w:rPr>
                      <w:b w:val="0"/>
                      <w:bCs/>
                    </w:rPr>
                    <w:t>2</w:t>
                  </w:r>
                  <w:r>
                    <w:rPr>
                      <w:rFonts w:hint="eastAsia"/>
                      <w:b w:val="0"/>
                      <w:bCs/>
                      <w:lang w:val="en-US"/>
                    </w:rPr>
                    <w:t>36</w:t>
                  </w:r>
                  <w:r>
                    <w:rPr>
                      <w:b w:val="0"/>
                      <w:bCs/>
                    </w:rPr>
                    <w:t>"</w:t>
                  </w:r>
                </w:p>
              </w:tc>
              <w:tc>
                <w:tcPr>
                  <w:tcW w:w="968" w:type="dxa"/>
                  <w:vAlign w:val="center"/>
                </w:tcPr>
                <w:p w14:paraId="66A174AE">
                  <w:pPr>
                    <w:pStyle w:val="57"/>
                    <w:rPr>
                      <w:b w:val="0"/>
                      <w:bCs/>
                    </w:rPr>
                  </w:pPr>
                  <w:r>
                    <w:rPr>
                      <w:rFonts w:hint="eastAsia"/>
                      <w:b w:val="0"/>
                      <w:bCs/>
                    </w:rPr>
                    <w:t>金泰城高尚小区</w:t>
                  </w:r>
                </w:p>
              </w:tc>
              <w:tc>
                <w:tcPr>
                  <w:tcW w:w="749" w:type="dxa"/>
                  <w:vAlign w:val="center"/>
                </w:tcPr>
                <w:p w14:paraId="5B06280D">
                  <w:pPr>
                    <w:pStyle w:val="57"/>
                    <w:rPr>
                      <w:b w:val="0"/>
                      <w:bCs/>
                      <w:lang w:val="en-US"/>
                    </w:rPr>
                  </w:pPr>
                  <w:r>
                    <w:rPr>
                      <w:rFonts w:hint="eastAsia"/>
                      <w:b w:val="0"/>
                      <w:bCs/>
                      <w:lang w:val="en-US"/>
                    </w:rPr>
                    <w:t>650人</w:t>
                  </w:r>
                </w:p>
              </w:tc>
              <w:tc>
                <w:tcPr>
                  <w:tcW w:w="1774" w:type="dxa"/>
                  <w:vMerge w:val="continue"/>
                  <w:vAlign w:val="center"/>
                </w:tcPr>
                <w:p w14:paraId="163B69B2">
                  <w:pPr>
                    <w:pStyle w:val="57"/>
                    <w:rPr>
                      <w:b w:val="0"/>
                      <w:bCs/>
                    </w:rPr>
                  </w:pPr>
                </w:p>
              </w:tc>
              <w:tc>
                <w:tcPr>
                  <w:tcW w:w="876" w:type="dxa"/>
                  <w:vAlign w:val="center"/>
                </w:tcPr>
                <w:p w14:paraId="00528585">
                  <w:pPr>
                    <w:pStyle w:val="57"/>
                    <w:rPr>
                      <w:b w:val="0"/>
                      <w:bCs/>
                      <w:lang w:val="en-US"/>
                    </w:rPr>
                  </w:pPr>
                  <w:r>
                    <w:rPr>
                      <w:rFonts w:hint="eastAsia"/>
                      <w:b w:val="0"/>
                      <w:bCs/>
                      <w:lang w:val="en-US"/>
                    </w:rPr>
                    <w:t>东北</w:t>
                  </w:r>
                </w:p>
              </w:tc>
              <w:tc>
                <w:tcPr>
                  <w:tcW w:w="945" w:type="dxa"/>
                  <w:vAlign w:val="center"/>
                </w:tcPr>
                <w:p w14:paraId="78D8E71A">
                  <w:pPr>
                    <w:pStyle w:val="57"/>
                    <w:rPr>
                      <w:b w:val="0"/>
                      <w:bCs/>
                      <w:lang w:val="en-US"/>
                    </w:rPr>
                  </w:pPr>
                  <w:r>
                    <w:rPr>
                      <w:rFonts w:hint="eastAsia"/>
                      <w:b w:val="0"/>
                      <w:bCs/>
                      <w:lang w:val="en-US"/>
                    </w:rPr>
                    <w:t>493</w:t>
                  </w:r>
                </w:p>
              </w:tc>
            </w:tr>
          </w:tbl>
          <w:p w14:paraId="4CF794B4">
            <w:pPr>
              <w:pStyle w:val="111"/>
              <w:numPr>
                <w:ilvl w:val="0"/>
                <w:numId w:val="22"/>
              </w:numPr>
              <w:ind w:firstLine="482"/>
              <w:rPr>
                <w:rFonts w:hint="default"/>
                <w:b/>
                <w:bCs/>
                <w:color w:val="auto"/>
              </w:rPr>
            </w:pPr>
            <w:r>
              <w:rPr>
                <w:b/>
                <w:bCs/>
                <w:color w:val="auto"/>
              </w:rPr>
              <w:t>声环境</w:t>
            </w:r>
          </w:p>
          <w:p w14:paraId="5110991A">
            <w:pPr>
              <w:pStyle w:val="111"/>
              <w:rPr>
                <w:rFonts w:hint="default"/>
                <w:color w:val="auto"/>
              </w:rPr>
            </w:pPr>
            <w:r>
              <w:rPr>
                <w:color w:val="auto"/>
              </w:rPr>
              <w:t>厂界外50米范围无声环境保护目标。</w:t>
            </w:r>
          </w:p>
          <w:p w14:paraId="04CE60E0">
            <w:pPr>
              <w:pStyle w:val="111"/>
              <w:ind w:firstLine="482"/>
              <w:rPr>
                <w:rFonts w:hint="default"/>
                <w:b/>
                <w:bCs/>
                <w:color w:val="auto"/>
              </w:rPr>
            </w:pPr>
            <w:r>
              <w:rPr>
                <w:rFonts w:hint="eastAsia"/>
                <w:b/>
                <w:bCs/>
                <w:color w:val="auto"/>
                <w:lang w:eastAsia="zh-CN"/>
              </w:rPr>
              <w:t>3.</w:t>
            </w:r>
            <w:r>
              <w:rPr>
                <w:b/>
                <w:bCs/>
                <w:color w:val="auto"/>
              </w:rPr>
              <w:t>地下水环境</w:t>
            </w:r>
          </w:p>
          <w:p w14:paraId="7C673076">
            <w:pPr>
              <w:pStyle w:val="111"/>
              <w:rPr>
                <w:rFonts w:hint="default"/>
                <w:color w:val="auto"/>
              </w:rPr>
            </w:pPr>
            <w:r>
              <w:rPr>
                <w:color w:val="auto"/>
              </w:rPr>
              <w:t>项目厂界外500m范围内没有地下水集中式饮用水水源和热水、矿泉水、温泉等特殊地下水资源，无地下水环境保护目标。</w:t>
            </w:r>
          </w:p>
          <w:p w14:paraId="1DBB1CD3">
            <w:pPr>
              <w:pStyle w:val="111"/>
              <w:ind w:firstLine="482"/>
              <w:rPr>
                <w:rFonts w:hint="default"/>
                <w:b/>
                <w:bCs/>
                <w:color w:val="auto"/>
              </w:rPr>
            </w:pPr>
            <w:r>
              <w:rPr>
                <w:rFonts w:hint="eastAsia"/>
                <w:b/>
                <w:bCs/>
                <w:color w:val="auto"/>
                <w:lang w:eastAsia="zh-CN"/>
              </w:rPr>
              <w:t>4.</w:t>
            </w:r>
            <w:r>
              <w:rPr>
                <w:b/>
                <w:bCs/>
                <w:color w:val="auto"/>
              </w:rPr>
              <w:t>生态环境</w:t>
            </w:r>
          </w:p>
          <w:p w14:paraId="2E4D8B2B">
            <w:pPr>
              <w:pStyle w:val="111"/>
              <w:rPr>
                <w:rFonts w:hint="default"/>
                <w:color w:val="auto"/>
              </w:rPr>
            </w:pPr>
            <w:r>
              <w:rPr>
                <w:color w:val="auto"/>
              </w:rPr>
              <w:t>项目属于城市建成区。厂区周围植被主要以人工植被为主，不含有生态环境保护目标。</w:t>
            </w:r>
          </w:p>
        </w:tc>
      </w:tr>
      <w:tr w14:paraId="61953F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0" w:type="dxa"/>
            <w:tcMar>
              <w:left w:w="28" w:type="dxa"/>
              <w:right w:w="28" w:type="dxa"/>
            </w:tcMar>
            <w:vAlign w:val="center"/>
          </w:tcPr>
          <w:p w14:paraId="1A45EAC3">
            <w:pPr>
              <w:wordWrap w:val="0"/>
              <w:adjustRightInd w:val="0"/>
              <w:snapToGrid w:val="0"/>
              <w:spacing w:line="360" w:lineRule="auto"/>
              <w:jc w:val="center"/>
              <w:rPr>
                <w:rFonts w:cs="宋体"/>
                <w:b/>
                <w:bCs/>
                <w:kern w:val="0"/>
                <w:sz w:val="24"/>
              </w:rPr>
            </w:pPr>
            <w:r>
              <w:rPr>
                <w:rFonts w:hint="eastAsia" w:cs="宋体"/>
                <w:b/>
                <w:bCs/>
                <w:kern w:val="0"/>
                <w:sz w:val="24"/>
              </w:rPr>
              <w:t>污染</w:t>
            </w:r>
          </w:p>
          <w:p w14:paraId="074BFD9B">
            <w:pPr>
              <w:wordWrap w:val="0"/>
              <w:adjustRightInd w:val="0"/>
              <w:snapToGrid w:val="0"/>
              <w:spacing w:line="360" w:lineRule="auto"/>
              <w:jc w:val="center"/>
              <w:rPr>
                <w:rFonts w:cs="宋体"/>
                <w:b/>
                <w:bCs/>
                <w:kern w:val="0"/>
                <w:sz w:val="24"/>
              </w:rPr>
            </w:pPr>
            <w:r>
              <w:rPr>
                <w:rFonts w:hint="eastAsia" w:cs="宋体"/>
                <w:b/>
                <w:bCs/>
                <w:kern w:val="0"/>
                <w:sz w:val="24"/>
              </w:rPr>
              <w:t>物排</w:t>
            </w:r>
          </w:p>
          <w:p w14:paraId="094CD0B8">
            <w:pPr>
              <w:wordWrap w:val="0"/>
              <w:adjustRightInd w:val="0"/>
              <w:snapToGrid w:val="0"/>
              <w:spacing w:line="360" w:lineRule="auto"/>
              <w:jc w:val="center"/>
              <w:rPr>
                <w:rFonts w:cs="宋体"/>
                <w:b/>
                <w:bCs/>
                <w:kern w:val="0"/>
                <w:sz w:val="24"/>
              </w:rPr>
            </w:pPr>
            <w:r>
              <w:rPr>
                <w:rFonts w:hint="eastAsia" w:cs="宋体"/>
                <w:b/>
                <w:bCs/>
                <w:kern w:val="0"/>
                <w:sz w:val="24"/>
              </w:rPr>
              <w:t>放控</w:t>
            </w:r>
          </w:p>
          <w:p w14:paraId="62EFD92A">
            <w:pPr>
              <w:wordWrap w:val="0"/>
              <w:adjustRightInd w:val="0"/>
              <w:snapToGrid w:val="0"/>
              <w:spacing w:line="360" w:lineRule="auto"/>
              <w:jc w:val="center"/>
              <w:rPr>
                <w:rFonts w:cs="宋体"/>
                <w:b/>
                <w:bCs/>
                <w:kern w:val="0"/>
                <w:sz w:val="24"/>
              </w:rPr>
            </w:pPr>
            <w:r>
              <w:rPr>
                <w:rFonts w:hint="eastAsia" w:cs="宋体"/>
                <w:b/>
                <w:bCs/>
                <w:kern w:val="0"/>
                <w:sz w:val="24"/>
              </w:rPr>
              <w:t>制标</w:t>
            </w:r>
          </w:p>
          <w:p w14:paraId="266B148C">
            <w:pPr>
              <w:wordWrap w:val="0"/>
              <w:adjustRightInd w:val="0"/>
              <w:snapToGrid w:val="0"/>
              <w:spacing w:line="360" w:lineRule="auto"/>
              <w:jc w:val="center"/>
              <w:rPr>
                <w:rFonts w:cs="宋体"/>
                <w:kern w:val="0"/>
                <w:sz w:val="24"/>
              </w:rPr>
            </w:pPr>
            <w:r>
              <w:rPr>
                <w:rFonts w:hint="eastAsia" w:cs="宋体"/>
                <w:b/>
                <w:bCs/>
                <w:kern w:val="0"/>
                <w:sz w:val="24"/>
              </w:rPr>
              <w:t>准</w:t>
            </w:r>
          </w:p>
        </w:tc>
        <w:tc>
          <w:tcPr>
            <w:tcW w:w="8190" w:type="dxa"/>
            <w:vAlign w:val="center"/>
          </w:tcPr>
          <w:p w14:paraId="75001519">
            <w:pPr>
              <w:adjustRightInd w:val="0"/>
              <w:snapToGrid w:val="0"/>
              <w:spacing w:line="360" w:lineRule="auto"/>
              <w:ind w:firstLine="482" w:firstLineChars="200"/>
              <w:rPr>
                <w:b/>
                <w:bCs/>
                <w:sz w:val="24"/>
              </w:rPr>
            </w:pPr>
            <w:r>
              <w:rPr>
                <w:rFonts w:hint="eastAsia"/>
                <w:b/>
                <w:bCs/>
                <w:sz w:val="24"/>
                <w:lang w:eastAsia="zh-CN"/>
              </w:rPr>
              <w:t>1.</w:t>
            </w:r>
            <w:r>
              <w:rPr>
                <w:b/>
                <w:bCs/>
                <w:sz w:val="24"/>
              </w:rPr>
              <w:t>废气</w:t>
            </w:r>
          </w:p>
          <w:p w14:paraId="1F3662E9">
            <w:pPr>
              <w:spacing w:line="360" w:lineRule="auto"/>
              <w:ind w:firstLine="480" w:firstLineChars="200"/>
              <w:rPr>
                <w:sz w:val="24"/>
              </w:rPr>
            </w:pPr>
            <w:r>
              <w:rPr>
                <w:rFonts w:eastAsia="Calibri"/>
                <w:sz w:val="24"/>
              </w:rPr>
              <w:t>项目营运期</w:t>
            </w:r>
            <w:r>
              <w:rPr>
                <w:rFonts w:hint="eastAsia"/>
                <w:sz w:val="24"/>
              </w:rPr>
              <w:t>产生的碱雾无对应行业标准，参照执行</w:t>
            </w:r>
            <w:r>
              <w:rPr>
                <w:rFonts w:hint="eastAsia" w:eastAsia="Calibri"/>
                <w:sz w:val="24"/>
              </w:rPr>
              <w:t>《轧钢工业大气污染物排放标准》（GB28665-2012）表3排放浓度限值</w:t>
            </w:r>
            <w:r>
              <w:rPr>
                <w:sz w:val="24"/>
              </w:rPr>
              <w:t>；</w:t>
            </w:r>
            <w:r>
              <w:rPr>
                <w:rFonts w:hint="eastAsia"/>
                <w:sz w:val="24"/>
              </w:rPr>
              <w:t>蒸发干化设备天然气燃烧</w:t>
            </w:r>
            <w:r>
              <w:rPr>
                <w:sz w:val="24"/>
              </w:rPr>
              <w:t>废气执行《陕西省工业炉窑大气污染物综合治理方案》重点</w:t>
            </w:r>
            <w:r>
              <w:rPr>
                <w:rFonts w:hint="eastAsia"/>
                <w:sz w:val="24"/>
              </w:rPr>
              <w:t>区域</w:t>
            </w:r>
            <w:r>
              <w:rPr>
                <w:sz w:val="24"/>
              </w:rPr>
              <w:t>排放限值要求</w:t>
            </w:r>
            <w:r>
              <w:t>。</w:t>
            </w:r>
          </w:p>
          <w:p w14:paraId="047D3DD2">
            <w:pPr>
              <w:pStyle w:val="57"/>
            </w:pPr>
            <w:r>
              <w:t>表3-4废气排放执行标准及标准限值</w:t>
            </w:r>
            <w:r>
              <w:tab/>
            </w:r>
          </w:p>
          <w:tbl>
            <w:tblPr>
              <w:tblStyle w:val="35"/>
              <w:tblW w:w="5000"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1113"/>
              <w:gridCol w:w="993"/>
              <w:gridCol w:w="1136"/>
              <w:gridCol w:w="1175"/>
              <w:gridCol w:w="1147"/>
              <w:gridCol w:w="742"/>
              <w:gridCol w:w="2534"/>
            </w:tblGrid>
            <w:tr w14:paraId="19F5192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12" w:type="dxa"/>
                  <w:vMerge w:val="restart"/>
                  <w:vAlign w:val="center"/>
                </w:tcPr>
                <w:p w14:paraId="53B9451B">
                  <w:pPr>
                    <w:jc w:val="center"/>
                    <w:rPr>
                      <w:rFonts w:eastAsia="Calibri"/>
                      <w:b/>
                      <w:bCs/>
                    </w:rPr>
                  </w:pPr>
                  <w:r>
                    <w:rPr>
                      <w:rFonts w:eastAsia="Calibri"/>
                      <w:b/>
                      <w:bCs/>
                    </w:rPr>
                    <w:t>生产工序</w:t>
                  </w:r>
                </w:p>
              </w:tc>
              <w:tc>
                <w:tcPr>
                  <w:tcW w:w="993" w:type="dxa"/>
                  <w:vMerge w:val="restart"/>
                  <w:vAlign w:val="center"/>
                </w:tcPr>
                <w:p w14:paraId="059CEFE8">
                  <w:pPr>
                    <w:jc w:val="center"/>
                    <w:rPr>
                      <w:rFonts w:eastAsia="Calibri"/>
                      <w:b/>
                      <w:bCs/>
                    </w:rPr>
                  </w:pPr>
                  <w:r>
                    <w:rPr>
                      <w:rFonts w:eastAsia="Calibri"/>
                      <w:b/>
                      <w:bCs/>
                    </w:rPr>
                    <w:t>污染物</w:t>
                  </w:r>
                </w:p>
              </w:tc>
              <w:tc>
                <w:tcPr>
                  <w:tcW w:w="2311" w:type="dxa"/>
                  <w:gridSpan w:val="2"/>
                  <w:vAlign w:val="center"/>
                </w:tcPr>
                <w:p w14:paraId="70AC5B9D">
                  <w:pPr>
                    <w:jc w:val="center"/>
                    <w:rPr>
                      <w:rFonts w:eastAsia="Calibri"/>
                      <w:b/>
                      <w:bCs/>
                    </w:rPr>
                  </w:pPr>
                  <w:r>
                    <w:rPr>
                      <w:rFonts w:eastAsia="Calibri"/>
                      <w:b/>
                      <w:bCs/>
                    </w:rPr>
                    <w:t>有组织</w:t>
                  </w:r>
                </w:p>
              </w:tc>
              <w:tc>
                <w:tcPr>
                  <w:tcW w:w="1147" w:type="dxa"/>
                  <w:vMerge w:val="restart"/>
                  <w:vAlign w:val="center"/>
                </w:tcPr>
                <w:p w14:paraId="1F43890D">
                  <w:pPr>
                    <w:jc w:val="center"/>
                    <w:rPr>
                      <w:rFonts w:eastAsia="Calibri"/>
                      <w:b/>
                      <w:bCs/>
                    </w:rPr>
                  </w:pPr>
                  <w:r>
                    <w:rPr>
                      <w:rFonts w:eastAsia="Calibri"/>
                      <w:b/>
                      <w:bCs/>
                    </w:rPr>
                    <w:t>无组织</w:t>
                  </w:r>
                </w:p>
              </w:tc>
              <w:tc>
                <w:tcPr>
                  <w:tcW w:w="742" w:type="dxa"/>
                  <w:vMerge w:val="restart"/>
                  <w:vAlign w:val="center"/>
                </w:tcPr>
                <w:p w14:paraId="7CED8AAA">
                  <w:pPr>
                    <w:jc w:val="center"/>
                    <w:rPr>
                      <w:b/>
                      <w:bCs/>
                    </w:rPr>
                  </w:pPr>
                  <w:r>
                    <w:rPr>
                      <w:rFonts w:hint="eastAsia"/>
                      <w:b/>
                      <w:bCs/>
                    </w:rPr>
                    <w:t>监测点位</w:t>
                  </w:r>
                </w:p>
              </w:tc>
              <w:tc>
                <w:tcPr>
                  <w:tcW w:w="2535" w:type="dxa"/>
                  <w:vMerge w:val="restart"/>
                  <w:vAlign w:val="center"/>
                </w:tcPr>
                <w:p w14:paraId="3FED9EE2">
                  <w:pPr>
                    <w:jc w:val="center"/>
                    <w:rPr>
                      <w:rFonts w:eastAsia="Calibri"/>
                      <w:b/>
                      <w:bCs/>
                    </w:rPr>
                  </w:pPr>
                  <w:r>
                    <w:rPr>
                      <w:rFonts w:eastAsia="Calibri"/>
                      <w:b/>
                      <w:bCs/>
                    </w:rPr>
                    <w:t>执行标准及级别</w:t>
                  </w:r>
                </w:p>
              </w:tc>
            </w:tr>
            <w:tr w14:paraId="5B6BC0D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12" w:type="dxa"/>
                  <w:vMerge w:val="continue"/>
                  <w:vAlign w:val="center"/>
                </w:tcPr>
                <w:p w14:paraId="6AD2807F">
                  <w:pPr>
                    <w:jc w:val="center"/>
                    <w:rPr>
                      <w:rFonts w:eastAsia="Calibri"/>
                    </w:rPr>
                  </w:pPr>
                </w:p>
              </w:tc>
              <w:tc>
                <w:tcPr>
                  <w:tcW w:w="993" w:type="dxa"/>
                  <w:vMerge w:val="continue"/>
                  <w:vAlign w:val="center"/>
                </w:tcPr>
                <w:p w14:paraId="28988319">
                  <w:pPr>
                    <w:jc w:val="center"/>
                    <w:rPr>
                      <w:rFonts w:eastAsia="Calibri"/>
                    </w:rPr>
                  </w:pPr>
                </w:p>
              </w:tc>
              <w:tc>
                <w:tcPr>
                  <w:tcW w:w="1136" w:type="dxa"/>
                  <w:vAlign w:val="center"/>
                </w:tcPr>
                <w:p w14:paraId="7DEA0C67">
                  <w:pPr>
                    <w:jc w:val="center"/>
                    <w:rPr>
                      <w:rFonts w:eastAsia="Calibri"/>
                      <w:b/>
                      <w:bCs/>
                    </w:rPr>
                  </w:pPr>
                  <w:r>
                    <w:rPr>
                      <w:b/>
                      <w:bCs/>
                    </w:rPr>
                    <w:t>排放浓度</w:t>
                  </w:r>
                </w:p>
              </w:tc>
              <w:tc>
                <w:tcPr>
                  <w:tcW w:w="1175" w:type="dxa"/>
                  <w:vAlign w:val="center"/>
                </w:tcPr>
                <w:p w14:paraId="16EABFB6">
                  <w:pPr>
                    <w:jc w:val="center"/>
                    <w:rPr>
                      <w:b/>
                      <w:bCs/>
                    </w:rPr>
                  </w:pPr>
                  <w:r>
                    <w:rPr>
                      <w:b/>
                      <w:bCs/>
                    </w:rPr>
                    <w:t>排放速率</w:t>
                  </w:r>
                </w:p>
              </w:tc>
              <w:tc>
                <w:tcPr>
                  <w:tcW w:w="1147" w:type="dxa"/>
                  <w:vMerge w:val="continue"/>
                  <w:vAlign w:val="center"/>
                </w:tcPr>
                <w:p w14:paraId="46C958FF">
                  <w:pPr>
                    <w:jc w:val="center"/>
                    <w:rPr>
                      <w:rFonts w:eastAsia="Calibri"/>
                      <w:b/>
                      <w:bCs/>
                    </w:rPr>
                  </w:pPr>
                </w:p>
              </w:tc>
              <w:tc>
                <w:tcPr>
                  <w:tcW w:w="742" w:type="dxa"/>
                  <w:vMerge w:val="continue"/>
                  <w:vAlign w:val="center"/>
                </w:tcPr>
                <w:p w14:paraId="35680B19">
                  <w:pPr>
                    <w:jc w:val="center"/>
                    <w:rPr>
                      <w:rFonts w:eastAsia="Calibri"/>
                      <w:b/>
                      <w:bCs/>
                    </w:rPr>
                  </w:pPr>
                </w:p>
              </w:tc>
              <w:tc>
                <w:tcPr>
                  <w:tcW w:w="2535" w:type="dxa"/>
                  <w:vMerge w:val="continue"/>
                  <w:vAlign w:val="center"/>
                </w:tcPr>
                <w:p w14:paraId="737E9D77">
                  <w:pPr>
                    <w:jc w:val="center"/>
                    <w:rPr>
                      <w:rFonts w:eastAsia="Calibri"/>
                    </w:rPr>
                  </w:pPr>
                </w:p>
              </w:tc>
            </w:tr>
            <w:tr w14:paraId="1ECFBE1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12" w:type="dxa"/>
                  <w:vAlign w:val="center"/>
                </w:tcPr>
                <w:p w14:paraId="4FD1AD14">
                  <w:pPr>
                    <w:jc w:val="center"/>
                  </w:pPr>
                  <w:r>
                    <w:rPr>
                      <w:rFonts w:hint="eastAsia"/>
                    </w:rPr>
                    <w:t>电解清洗、蒸发干化</w:t>
                  </w:r>
                </w:p>
              </w:tc>
              <w:tc>
                <w:tcPr>
                  <w:tcW w:w="993" w:type="dxa"/>
                  <w:vAlign w:val="center"/>
                </w:tcPr>
                <w:p w14:paraId="39E9C237">
                  <w:pPr>
                    <w:jc w:val="center"/>
                  </w:pPr>
                  <w:r>
                    <w:rPr>
                      <w:rFonts w:hint="eastAsia"/>
                    </w:rPr>
                    <w:t>碱雾</w:t>
                  </w:r>
                </w:p>
              </w:tc>
              <w:tc>
                <w:tcPr>
                  <w:tcW w:w="1136" w:type="dxa"/>
                  <w:vAlign w:val="center"/>
                </w:tcPr>
                <w:p w14:paraId="57CC8BAD">
                  <w:pPr>
                    <w:jc w:val="center"/>
                    <w:rPr>
                      <w:rFonts w:eastAsia="Calibri"/>
                      <w:vertAlign w:val="superscript"/>
                    </w:rPr>
                  </w:pPr>
                  <w:r>
                    <w:rPr>
                      <w:rFonts w:hint="eastAsia"/>
                    </w:rPr>
                    <w:t>10</w:t>
                  </w:r>
                  <w:r>
                    <w:rPr>
                      <w:rFonts w:eastAsia="Calibri"/>
                    </w:rPr>
                    <w:t>mg/m</w:t>
                  </w:r>
                  <w:r>
                    <w:rPr>
                      <w:rFonts w:eastAsia="Calibri"/>
                      <w:vertAlign w:val="superscript"/>
                    </w:rPr>
                    <w:t>3</w:t>
                  </w:r>
                </w:p>
              </w:tc>
              <w:tc>
                <w:tcPr>
                  <w:tcW w:w="1175" w:type="dxa"/>
                  <w:vAlign w:val="center"/>
                </w:tcPr>
                <w:p w14:paraId="5D174190">
                  <w:pPr>
                    <w:jc w:val="center"/>
                  </w:pPr>
                  <w:r>
                    <w:rPr>
                      <w:rFonts w:hint="eastAsia"/>
                    </w:rPr>
                    <w:t>/</w:t>
                  </w:r>
                </w:p>
              </w:tc>
              <w:tc>
                <w:tcPr>
                  <w:tcW w:w="1147" w:type="dxa"/>
                  <w:vAlign w:val="center"/>
                </w:tcPr>
                <w:p w14:paraId="603B29B8">
                  <w:pPr>
                    <w:jc w:val="center"/>
                  </w:pPr>
                  <w:r>
                    <w:rPr>
                      <w:rFonts w:hint="eastAsia"/>
                    </w:rPr>
                    <w:t>/</w:t>
                  </w:r>
                </w:p>
              </w:tc>
              <w:tc>
                <w:tcPr>
                  <w:tcW w:w="742" w:type="dxa"/>
                  <w:vAlign w:val="center"/>
                </w:tcPr>
                <w:p w14:paraId="58BC7413">
                  <w:pPr>
                    <w:jc w:val="center"/>
                  </w:pPr>
                  <w:r>
                    <w:rPr>
                      <w:rFonts w:hint="eastAsia"/>
                    </w:rPr>
                    <w:t>有组织排气筒</w:t>
                  </w:r>
                </w:p>
              </w:tc>
              <w:tc>
                <w:tcPr>
                  <w:tcW w:w="2535" w:type="dxa"/>
                  <w:vAlign w:val="center"/>
                </w:tcPr>
                <w:p w14:paraId="50BDDCE3">
                  <w:pPr>
                    <w:pStyle w:val="57"/>
                    <w:rPr>
                      <w:b w:val="0"/>
                    </w:rPr>
                  </w:pPr>
                  <w:r>
                    <w:rPr>
                      <w:rFonts w:hint="eastAsia"/>
                      <w:b w:val="0"/>
                    </w:rPr>
                    <w:t>《轧钢工业大气污染物排放标准》（GB28665-2012）表3排放浓度限值</w:t>
                  </w:r>
                </w:p>
              </w:tc>
            </w:tr>
            <w:tr w14:paraId="65627E6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12" w:type="dxa"/>
                  <w:vMerge w:val="restart"/>
                  <w:vAlign w:val="center"/>
                </w:tcPr>
                <w:p w14:paraId="22BC5917">
                  <w:pPr>
                    <w:jc w:val="center"/>
                  </w:pPr>
                  <w:r>
                    <w:rPr>
                      <w:rFonts w:hint="eastAsia"/>
                    </w:rPr>
                    <w:t>蒸发干化</w:t>
                  </w:r>
                </w:p>
              </w:tc>
              <w:tc>
                <w:tcPr>
                  <w:tcW w:w="993" w:type="dxa"/>
                  <w:vAlign w:val="center"/>
                </w:tcPr>
                <w:p w14:paraId="2EB28DF0">
                  <w:pPr>
                    <w:jc w:val="center"/>
                  </w:pPr>
                  <w:r>
                    <w:t>颗粒物</w:t>
                  </w:r>
                </w:p>
              </w:tc>
              <w:tc>
                <w:tcPr>
                  <w:tcW w:w="1136" w:type="dxa"/>
                  <w:vAlign w:val="center"/>
                </w:tcPr>
                <w:p w14:paraId="12FC0E13">
                  <w:pPr>
                    <w:jc w:val="center"/>
                    <w:rPr>
                      <w:rFonts w:eastAsia="Calibri"/>
                    </w:rPr>
                  </w:pPr>
                  <w:r>
                    <w:t>30mg/m</w:t>
                  </w:r>
                  <w:r>
                    <w:rPr>
                      <w:vertAlign w:val="superscript"/>
                    </w:rPr>
                    <w:t>3</w:t>
                  </w:r>
                </w:p>
              </w:tc>
              <w:tc>
                <w:tcPr>
                  <w:tcW w:w="1175" w:type="dxa"/>
                  <w:vAlign w:val="center"/>
                </w:tcPr>
                <w:p w14:paraId="6AB4B93B">
                  <w:pPr>
                    <w:jc w:val="center"/>
                    <w:rPr>
                      <w:rFonts w:eastAsia="Calibri"/>
                    </w:rPr>
                  </w:pPr>
                  <w:r>
                    <w:rPr>
                      <w:rFonts w:eastAsia="Calibri"/>
                    </w:rPr>
                    <w:t>/</w:t>
                  </w:r>
                </w:p>
              </w:tc>
              <w:tc>
                <w:tcPr>
                  <w:tcW w:w="1147" w:type="dxa"/>
                  <w:vAlign w:val="center"/>
                </w:tcPr>
                <w:p w14:paraId="3232ED78">
                  <w:pPr>
                    <w:jc w:val="center"/>
                  </w:pPr>
                  <w:r>
                    <w:rPr>
                      <w:rFonts w:hint="eastAsia"/>
                    </w:rPr>
                    <w:t>/</w:t>
                  </w:r>
                </w:p>
              </w:tc>
              <w:tc>
                <w:tcPr>
                  <w:tcW w:w="742" w:type="dxa"/>
                  <w:vMerge w:val="restart"/>
                  <w:vAlign w:val="center"/>
                </w:tcPr>
                <w:p w14:paraId="66CCD0AF">
                  <w:pPr>
                    <w:jc w:val="center"/>
                  </w:pPr>
                  <w:r>
                    <w:rPr>
                      <w:rFonts w:hint="eastAsia"/>
                    </w:rPr>
                    <w:t>有组织排气筒</w:t>
                  </w:r>
                </w:p>
              </w:tc>
              <w:tc>
                <w:tcPr>
                  <w:tcW w:w="2535" w:type="dxa"/>
                  <w:vMerge w:val="restart"/>
                  <w:vAlign w:val="center"/>
                </w:tcPr>
                <w:p w14:paraId="5A6EBD56">
                  <w:pPr>
                    <w:pStyle w:val="57"/>
                    <w:rPr>
                      <w:b w:val="0"/>
                    </w:rPr>
                  </w:pPr>
                  <w:r>
                    <w:rPr>
                      <w:b w:val="0"/>
                    </w:rPr>
                    <w:t>《陕西省工业炉窑大气污染物综合治理方案》重点区排放限值要求</w:t>
                  </w:r>
                </w:p>
              </w:tc>
            </w:tr>
            <w:tr w14:paraId="135AB40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12" w:type="dxa"/>
                  <w:vMerge w:val="continue"/>
                  <w:vAlign w:val="center"/>
                </w:tcPr>
                <w:p w14:paraId="0E993B46">
                  <w:pPr>
                    <w:jc w:val="center"/>
                    <w:rPr>
                      <w:rFonts w:eastAsia="Calibri"/>
                    </w:rPr>
                  </w:pPr>
                </w:p>
              </w:tc>
              <w:tc>
                <w:tcPr>
                  <w:tcW w:w="993" w:type="dxa"/>
                  <w:vAlign w:val="center"/>
                </w:tcPr>
                <w:p w14:paraId="2783A2D4">
                  <w:pPr>
                    <w:jc w:val="center"/>
                  </w:pPr>
                  <w:r>
                    <w:t>二氧化硫</w:t>
                  </w:r>
                </w:p>
              </w:tc>
              <w:tc>
                <w:tcPr>
                  <w:tcW w:w="1136" w:type="dxa"/>
                  <w:vAlign w:val="center"/>
                </w:tcPr>
                <w:p w14:paraId="000A73EA">
                  <w:pPr>
                    <w:jc w:val="center"/>
                    <w:rPr>
                      <w:rFonts w:eastAsia="Calibri"/>
                    </w:rPr>
                  </w:pPr>
                  <w:r>
                    <w:t>200mg/m</w:t>
                  </w:r>
                  <w:r>
                    <w:rPr>
                      <w:vertAlign w:val="superscript"/>
                    </w:rPr>
                    <w:t>3</w:t>
                  </w:r>
                </w:p>
              </w:tc>
              <w:tc>
                <w:tcPr>
                  <w:tcW w:w="1175" w:type="dxa"/>
                  <w:vAlign w:val="center"/>
                </w:tcPr>
                <w:p w14:paraId="2C0D83C4">
                  <w:pPr>
                    <w:jc w:val="center"/>
                    <w:rPr>
                      <w:rFonts w:eastAsia="Calibri"/>
                    </w:rPr>
                  </w:pPr>
                  <w:r>
                    <w:rPr>
                      <w:rFonts w:eastAsia="Calibri"/>
                    </w:rPr>
                    <w:t>/</w:t>
                  </w:r>
                </w:p>
              </w:tc>
              <w:tc>
                <w:tcPr>
                  <w:tcW w:w="1147" w:type="dxa"/>
                  <w:vAlign w:val="center"/>
                </w:tcPr>
                <w:p w14:paraId="1D84D30B">
                  <w:pPr>
                    <w:jc w:val="center"/>
                  </w:pPr>
                  <w:r>
                    <w:t>/</w:t>
                  </w:r>
                </w:p>
              </w:tc>
              <w:tc>
                <w:tcPr>
                  <w:tcW w:w="742" w:type="dxa"/>
                  <w:vMerge w:val="continue"/>
                  <w:vAlign w:val="center"/>
                </w:tcPr>
                <w:p w14:paraId="0BA11023">
                  <w:pPr>
                    <w:jc w:val="center"/>
                    <w:rPr>
                      <w:rFonts w:eastAsia="Calibri"/>
                    </w:rPr>
                  </w:pPr>
                </w:p>
              </w:tc>
              <w:tc>
                <w:tcPr>
                  <w:tcW w:w="2535" w:type="dxa"/>
                  <w:vMerge w:val="continue"/>
                  <w:vAlign w:val="center"/>
                </w:tcPr>
                <w:p w14:paraId="3CF4B89A">
                  <w:pPr>
                    <w:jc w:val="center"/>
                    <w:rPr>
                      <w:rFonts w:eastAsia="Calibri"/>
                    </w:rPr>
                  </w:pPr>
                </w:p>
              </w:tc>
            </w:tr>
            <w:tr w14:paraId="4383D91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12" w:type="dxa"/>
                  <w:vMerge w:val="continue"/>
                  <w:vAlign w:val="center"/>
                </w:tcPr>
                <w:p w14:paraId="19B94058">
                  <w:pPr>
                    <w:jc w:val="center"/>
                    <w:rPr>
                      <w:rFonts w:eastAsia="Calibri"/>
                    </w:rPr>
                  </w:pPr>
                </w:p>
              </w:tc>
              <w:tc>
                <w:tcPr>
                  <w:tcW w:w="993" w:type="dxa"/>
                  <w:vAlign w:val="center"/>
                </w:tcPr>
                <w:p w14:paraId="72E6349A">
                  <w:pPr>
                    <w:jc w:val="center"/>
                  </w:pPr>
                  <w:r>
                    <w:t>氮氧化物</w:t>
                  </w:r>
                </w:p>
              </w:tc>
              <w:tc>
                <w:tcPr>
                  <w:tcW w:w="1136" w:type="dxa"/>
                  <w:vAlign w:val="center"/>
                </w:tcPr>
                <w:p w14:paraId="047CE079">
                  <w:pPr>
                    <w:jc w:val="center"/>
                    <w:rPr>
                      <w:rFonts w:eastAsia="Calibri"/>
                    </w:rPr>
                  </w:pPr>
                  <w:r>
                    <w:t>300mg/m</w:t>
                  </w:r>
                  <w:r>
                    <w:rPr>
                      <w:vertAlign w:val="superscript"/>
                    </w:rPr>
                    <w:t>3</w:t>
                  </w:r>
                </w:p>
              </w:tc>
              <w:tc>
                <w:tcPr>
                  <w:tcW w:w="1175" w:type="dxa"/>
                  <w:vAlign w:val="center"/>
                </w:tcPr>
                <w:p w14:paraId="45BC446B">
                  <w:pPr>
                    <w:jc w:val="center"/>
                    <w:rPr>
                      <w:rFonts w:eastAsia="Calibri"/>
                    </w:rPr>
                  </w:pPr>
                  <w:r>
                    <w:rPr>
                      <w:rFonts w:eastAsia="Calibri"/>
                    </w:rPr>
                    <w:t>/</w:t>
                  </w:r>
                </w:p>
              </w:tc>
              <w:tc>
                <w:tcPr>
                  <w:tcW w:w="1147" w:type="dxa"/>
                  <w:vAlign w:val="center"/>
                </w:tcPr>
                <w:p w14:paraId="62999B21">
                  <w:pPr>
                    <w:jc w:val="center"/>
                  </w:pPr>
                  <w:r>
                    <w:t>/</w:t>
                  </w:r>
                </w:p>
              </w:tc>
              <w:tc>
                <w:tcPr>
                  <w:tcW w:w="742" w:type="dxa"/>
                  <w:vMerge w:val="continue"/>
                  <w:vAlign w:val="center"/>
                </w:tcPr>
                <w:p w14:paraId="39E12E29">
                  <w:pPr>
                    <w:jc w:val="center"/>
                    <w:rPr>
                      <w:rFonts w:eastAsia="Calibri"/>
                    </w:rPr>
                  </w:pPr>
                </w:p>
              </w:tc>
              <w:tc>
                <w:tcPr>
                  <w:tcW w:w="2535" w:type="dxa"/>
                  <w:vMerge w:val="continue"/>
                  <w:vAlign w:val="center"/>
                </w:tcPr>
                <w:p w14:paraId="0EB4A753">
                  <w:pPr>
                    <w:jc w:val="center"/>
                    <w:rPr>
                      <w:rFonts w:eastAsia="Calibri"/>
                    </w:rPr>
                  </w:pPr>
                </w:p>
              </w:tc>
            </w:tr>
            <w:tr w14:paraId="420E3B6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12" w:type="dxa"/>
                  <w:vMerge w:val="continue"/>
                  <w:vAlign w:val="center"/>
                </w:tcPr>
                <w:p w14:paraId="342D360E">
                  <w:pPr>
                    <w:jc w:val="center"/>
                    <w:rPr>
                      <w:rFonts w:eastAsia="Calibri"/>
                    </w:rPr>
                  </w:pPr>
                </w:p>
              </w:tc>
              <w:tc>
                <w:tcPr>
                  <w:tcW w:w="993" w:type="dxa"/>
                  <w:shd w:val="clear" w:color="auto" w:fill="auto"/>
                  <w:vAlign w:val="center"/>
                </w:tcPr>
                <w:p w14:paraId="457F8EFA">
                  <w:pPr>
                    <w:jc w:val="center"/>
                  </w:pPr>
                  <w:r>
                    <w:t>颗粒物</w:t>
                  </w:r>
                </w:p>
              </w:tc>
              <w:tc>
                <w:tcPr>
                  <w:tcW w:w="1136" w:type="dxa"/>
                  <w:shd w:val="clear" w:color="auto" w:fill="auto"/>
                  <w:vAlign w:val="center"/>
                </w:tcPr>
                <w:p w14:paraId="499CE922">
                  <w:pPr>
                    <w:jc w:val="center"/>
                    <w:rPr>
                      <w:rFonts w:eastAsia="Calibri"/>
                    </w:rPr>
                  </w:pPr>
                  <w:r>
                    <w:rPr>
                      <w:rFonts w:hint="eastAsia" w:eastAsia="Calibri"/>
                    </w:rPr>
                    <w:t>/</w:t>
                  </w:r>
                </w:p>
              </w:tc>
              <w:tc>
                <w:tcPr>
                  <w:tcW w:w="1175" w:type="dxa"/>
                  <w:vAlign w:val="center"/>
                </w:tcPr>
                <w:p w14:paraId="23A88ECD">
                  <w:pPr>
                    <w:jc w:val="center"/>
                  </w:pPr>
                  <w:r>
                    <w:rPr>
                      <w:rFonts w:hint="eastAsia"/>
                    </w:rPr>
                    <w:t>/</w:t>
                  </w:r>
                </w:p>
              </w:tc>
              <w:tc>
                <w:tcPr>
                  <w:tcW w:w="1147" w:type="dxa"/>
                  <w:shd w:val="clear" w:color="auto" w:fill="auto"/>
                  <w:vAlign w:val="center"/>
                </w:tcPr>
                <w:p w14:paraId="147B12F6">
                  <w:pPr>
                    <w:jc w:val="center"/>
                    <w:rPr>
                      <w:rFonts w:eastAsia="Calibri"/>
                    </w:rPr>
                  </w:pPr>
                  <w:r>
                    <w:rPr>
                      <w:rFonts w:hint="eastAsia"/>
                    </w:rPr>
                    <w:t>1.0</w:t>
                  </w:r>
                  <w:r>
                    <w:t>mg/m</w:t>
                  </w:r>
                  <w:r>
                    <w:rPr>
                      <w:vertAlign w:val="superscript"/>
                    </w:rPr>
                    <w:t>3</w:t>
                  </w:r>
                </w:p>
              </w:tc>
              <w:tc>
                <w:tcPr>
                  <w:tcW w:w="742" w:type="dxa"/>
                  <w:vMerge w:val="restart"/>
                  <w:vAlign w:val="center"/>
                </w:tcPr>
                <w:p w14:paraId="50931B97">
                  <w:pPr>
                    <w:jc w:val="center"/>
                    <w:rPr>
                      <w:rFonts w:eastAsia="Calibri"/>
                    </w:rPr>
                  </w:pPr>
                  <w:r>
                    <w:rPr>
                      <w:rFonts w:hint="eastAsia" w:eastAsia="Calibri"/>
                    </w:rPr>
                    <w:t>周界外浓度最高点</w:t>
                  </w:r>
                </w:p>
              </w:tc>
              <w:tc>
                <w:tcPr>
                  <w:tcW w:w="2535" w:type="dxa"/>
                  <w:vMerge w:val="restart"/>
                  <w:shd w:val="clear" w:color="auto" w:fill="auto"/>
                  <w:vAlign w:val="center"/>
                </w:tcPr>
                <w:p w14:paraId="369660D9">
                  <w:pPr>
                    <w:pStyle w:val="57"/>
                    <w:rPr>
                      <w:b w:val="0"/>
                      <w:bCs/>
                    </w:rPr>
                  </w:pPr>
                  <w:r>
                    <w:rPr>
                      <w:b w:val="0"/>
                      <w:bCs/>
                    </w:rPr>
                    <w:t>《大气污染物综合排放标准》（GB16297-1996）表2中二级排放标准限值</w:t>
                  </w:r>
                </w:p>
              </w:tc>
            </w:tr>
            <w:tr w14:paraId="4842A34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12" w:type="dxa"/>
                  <w:vMerge w:val="continue"/>
                  <w:vAlign w:val="center"/>
                </w:tcPr>
                <w:p w14:paraId="3708A3D9">
                  <w:pPr>
                    <w:jc w:val="center"/>
                    <w:rPr>
                      <w:rFonts w:eastAsia="Calibri"/>
                    </w:rPr>
                  </w:pPr>
                </w:p>
              </w:tc>
              <w:tc>
                <w:tcPr>
                  <w:tcW w:w="993" w:type="dxa"/>
                  <w:shd w:val="clear" w:color="auto" w:fill="auto"/>
                  <w:vAlign w:val="center"/>
                </w:tcPr>
                <w:p w14:paraId="61828ABB">
                  <w:pPr>
                    <w:jc w:val="center"/>
                  </w:pPr>
                  <w:r>
                    <w:t>二氧化硫</w:t>
                  </w:r>
                </w:p>
              </w:tc>
              <w:tc>
                <w:tcPr>
                  <w:tcW w:w="1136" w:type="dxa"/>
                  <w:shd w:val="clear" w:color="auto" w:fill="auto"/>
                  <w:vAlign w:val="center"/>
                </w:tcPr>
                <w:p w14:paraId="68110C09">
                  <w:pPr>
                    <w:jc w:val="center"/>
                    <w:rPr>
                      <w:rFonts w:eastAsia="Calibri"/>
                    </w:rPr>
                  </w:pPr>
                  <w:r>
                    <w:rPr>
                      <w:rFonts w:hint="eastAsia" w:eastAsia="Calibri"/>
                    </w:rPr>
                    <w:t>/</w:t>
                  </w:r>
                </w:p>
              </w:tc>
              <w:tc>
                <w:tcPr>
                  <w:tcW w:w="1175" w:type="dxa"/>
                  <w:vAlign w:val="center"/>
                </w:tcPr>
                <w:p w14:paraId="7107A8E2">
                  <w:pPr>
                    <w:jc w:val="center"/>
                  </w:pPr>
                  <w:r>
                    <w:rPr>
                      <w:rFonts w:hint="eastAsia"/>
                    </w:rPr>
                    <w:t>/</w:t>
                  </w:r>
                </w:p>
              </w:tc>
              <w:tc>
                <w:tcPr>
                  <w:tcW w:w="1147" w:type="dxa"/>
                  <w:shd w:val="clear" w:color="auto" w:fill="auto"/>
                  <w:vAlign w:val="center"/>
                </w:tcPr>
                <w:p w14:paraId="4DE6CA5B">
                  <w:pPr>
                    <w:jc w:val="center"/>
                    <w:rPr>
                      <w:rFonts w:eastAsia="Calibri"/>
                    </w:rPr>
                  </w:pPr>
                  <w:r>
                    <w:rPr>
                      <w:rFonts w:hint="eastAsia"/>
                    </w:rPr>
                    <w:t>0.40</w:t>
                  </w:r>
                  <w:r>
                    <w:t>mg/m</w:t>
                  </w:r>
                  <w:r>
                    <w:rPr>
                      <w:vertAlign w:val="superscript"/>
                    </w:rPr>
                    <w:t>3</w:t>
                  </w:r>
                </w:p>
              </w:tc>
              <w:tc>
                <w:tcPr>
                  <w:tcW w:w="742" w:type="dxa"/>
                  <w:vMerge w:val="continue"/>
                  <w:vAlign w:val="center"/>
                </w:tcPr>
                <w:p w14:paraId="29EDE066">
                  <w:pPr>
                    <w:jc w:val="center"/>
                    <w:rPr>
                      <w:rFonts w:eastAsia="Calibri"/>
                    </w:rPr>
                  </w:pPr>
                </w:p>
              </w:tc>
              <w:tc>
                <w:tcPr>
                  <w:tcW w:w="2535" w:type="dxa"/>
                  <w:vMerge w:val="continue"/>
                  <w:vAlign w:val="center"/>
                </w:tcPr>
                <w:p w14:paraId="25C66CA4">
                  <w:pPr>
                    <w:jc w:val="center"/>
                    <w:rPr>
                      <w:rFonts w:eastAsia="Calibri"/>
                    </w:rPr>
                  </w:pPr>
                </w:p>
              </w:tc>
            </w:tr>
            <w:tr w14:paraId="3CE8FC3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12" w:type="dxa"/>
                  <w:vMerge w:val="continue"/>
                  <w:vAlign w:val="center"/>
                </w:tcPr>
                <w:p w14:paraId="3F7E8A26">
                  <w:pPr>
                    <w:jc w:val="center"/>
                    <w:rPr>
                      <w:rFonts w:eastAsia="Calibri"/>
                    </w:rPr>
                  </w:pPr>
                </w:p>
              </w:tc>
              <w:tc>
                <w:tcPr>
                  <w:tcW w:w="993" w:type="dxa"/>
                  <w:shd w:val="clear" w:color="auto" w:fill="auto"/>
                  <w:vAlign w:val="center"/>
                </w:tcPr>
                <w:p w14:paraId="7486A5D9">
                  <w:pPr>
                    <w:jc w:val="center"/>
                  </w:pPr>
                  <w:r>
                    <w:t>氮氧化物</w:t>
                  </w:r>
                </w:p>
              </w:tc>
              <w:tc>
                <w:tcPr>
                  <w:tcW w:w="1136" w:type="dxa"/>
                  <w:shd w:val="clear" w:color="auto" w:fill="auto"/>
                  <w:vAlign w:val="center"/>
                </w:tcPr>
                <w:p w14:paraId="6C957210">
                  <w:pPr>
                    <w:jc w:val="center"/>
                    <w:rPr>
                      <w:rFonts w:eastAsia="Calibri"/>
                    </w:rPr>
                  </w:pPr>
                  <w:r>
                    <w:rPr>
                      <w:rFonts w:hint="eastAsia" w:eastAsia="Calibri"/>
                    </w:rPr>
                    <w:t>/</w:t>
                  </w:r>
                </w:p>
              </w:tc>
              <w:tc>
                <w:tcPr>
                  <w:tcW w:w="1175" w:type="dxa"/>
                  <w:vAlign w:val="center"/>
                </w:tcPr>
                <w:p w14:paraId="3C45AFF2">
                  <w:pPr>
                    <w:jc w:val="center"/>
                  </w:pPr>
                  <w:r>
                    <w:rPr>
                      <w:rFonts w:hint="eastAsia"/>
                    </w:rPr>
                    <w:t>/</w:t>
                  </w:r>
                </w:p>
              </w:tc>
              <w:tc>
                <w:tcPr>
                  <w:tcW w:w="1147" w:type="dxa"/>
                  <w:shd w:val="clear" w:color="auto" w:fill="auto"/>
                  <w:vAlign w:val="center"/>
                </w:tcPr>
                <w:p w14:paraId="587BB28D">
                  <w:pPr>
                    <w:jc w:val="center"/>
                    <w:rPr>
                      <w:rFonts w:eastAsia="Calibri"/>
                    </w:rPr>
                  </w:pPr>
                  <w:r>
                    <w:rPr>
                      <w:rFonts w:hint="eastAsia"/>
                    </w:rPr>
                    <w:t>0.12</w:t>
                  </w:r>
                  <w:r>
                    <w:t>mg/m</w:t>
                  </w:r>
                  <w:r>
                    <w:rPr>
                      <w:vertAlign w:val="superscript"/>
                    </w:rPr>
                    <w:t>3</w:t>
                  </w:r>
                </w:p>
              </w:tc>
              <w:tc>
                <w:tcPr>
                  <w:tcW w:w="742" w:type="dxa"/>
                  <w:vMerge w:val="continue"/>
                  <w:vAlign w:val="center"/>
                </w:tcPr>
                <w:p w14:paraId="1C7DAAAF">
                  <w:pPr>
                    <w:jc w:val="center"/>
                    <w:rPr>
                      <w:rFonts w:eastAsia="Calibri"/>
                    </w:rPr>
                  </w:pPr>
                </w:p>
              </w:tc>
              <w:tc>
                <w:tcPr>
                  <w:tcW w:w="2535" w:type="dxa"/>
                  <w:vMerge w:val="continue"/>
                  <w:vAlign w:val="center"/>
                </w:tcPr>
                <w:p w14:paraId="1C09BECA">
                  <w:pPr>
                    <w:jc w:val="center"/>
                    <w:rPr>
                      <w:rFonts w:eastAsia="Calibri"/>
                    </w:rPr>
                  </w:pPr>
                </w:p>
              </w:tc>
            </w:tr>
          </w:tbl>
          <w:p w14:paraId="5121741F">
            <w:pPr>
              <w:pStyle w:val="111"/>
              <w:ind w:firstLine="482"/>
              <w:rPr>
                <w:rFonts w:hint="default"/>
                <w:b/>
                <w:bCs/>
                <w:color w:val="auto"/>
              </w:rPr>
            </w:pPr>
            <w:r>
              <w:rPr>
                <w:rFonts w:hint="eastAsia"/>
                <w:b/>
                <w:bCs/>
                <w:color w:val="auto"/>
                <w:lang w:eastAsia="zh-CN"/>
              </w:rPr>
              <w:t>2.</w:t>
            </w:r>
            <w:r>
              <w:rPr>
                <w:b/>
                <w:bCs/>
                <w:color w:val="auto"/>
              </w:rPr>
              <w:t>废水</w:t>
            </w:r>
          </w:p>
          <w:p w14:paraId="0B709970">
            <w:pPr>
              <w:pStyle w:val="111"/>
              <w:rPr>
                <w:rFonts w:hint="default"/>
                <w:color w:val="auto"/>
              </w:rPr>
            </w:pPr>
            <w:r>
              <w:rPr>
                <w:color w:val="auto"/>
              </w:rPr>
              <w:t>项目废水“钨回收系统”处理后的冷凝水进入园区污水管网后接入市政污水管网，最终进入五丈原污水处理厂处理。</w:t>
            </w:r>
          </w:p>
          <w:p w14:paraId="79BB1ECC">
            <w:pPr>
              <w:pStyle w:val="57"/>
            </w:pPr>
            <w:r>
              <w:t>表3-</w:t>
            </w:r>
            <w:r>
              <w:rPr>
                <w:rFonts w:hint="eastAsia"/>
                <w:lang w:val="en-US"/>
              </w:rPr>
              <w:t>5</w:t>
            </w:r>
            <w:r>
              <w:t>污水排放标准单位：mg/L</w:t>
            </w:r>
          </w:p>
          <w:tbl>
            <w:tblPr>
              <w:tblStyle w:val="9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30"/>
              <w:gridCol w:w="3912"/>
              <w:gridCol w:w="1424"/>
              <w:gridCol w:w="1201"/>
              <w:gridCol w:w="1183"/>
            </w:tblGrid>
            <w:tr w14:paraId="3D6541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9" w:type="dxa"/>
                  <w:vMerge w:val="restart"/>
                  <w:tcBorders>
                    <w:bottom w:val="nil"/>
                  </w:tcBorders>
                  <w:vAlign w:val="center"/>
                </w:tcPr>
                <w:p w14:paraId="1A997265">
                  <w:pPr>
                    <w:pStyle w:val="57"/>
                  </w:pPr>
                  <w:r>
                    <w:t>类别</w:t>
                  </w:r>
                </w:p>
              </w:tc>
              <w:tc>
                <w:tcPr>
                  <w:tcW w:w="3913" w:type="dxa"/>
                  <w:vMerge w:val="restart"/>
                  <w:tcBorders>
                    <w:bottom w:val="nil"/>
                  </w:tcBorders>
                  <w:vAlign w:val="center"/>
                </w:tcPr>
                <w:p w14:paraId="0BC650F4">
                  <w:pPr>
                    <w:pStyle w:val="57"/>
                  </w:pPr>
                  <w:r>
                    <w:t>标准名称及</w:t>
                  </w:r>
                </w:p>
              </w:tc>
              <w:tc>
                <w:tcPr>
                  <w:tcW w:w="1424" w:type="dxa"/>
                  <w:vMerge w:val="restart"/>
                  <w:tcBorders>
                    <w:bottom w:val="nil"/>
                  </w:tcBorders>
                  <w:vAlign w:val="center"/>
                </w:tcPr>
                <w:p w14:paraId="521C6653">
                  <w:pPr>
                    <w:pStyle w:val="57"/>
                  </w:pPr>
                  <w:r>
                    <w:t>污染因子</w:t>
                  </w:r>
                </w:p>
              </w:tc>
              <w:tc>
                <w:tcPr>
                  <w:tcW w:w="2384" w:type="dxa"/>
                  <w:gridSpan w:val="2"/>
                  <w:vAlign w:val="center"/>
                </w:tcPr>
                <w:p w14:paraId="268E5525">
                  <w:pPr>
                    <w:pStyle w:val="57"/>
                  </w:pPr>
                  <w:r>
                    <w:t>标准值</w:t>
                  </w:r>
                </w:p>
              </w:tc>
            </w:tr>
            <w:tr w14:paraId="0009BC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9" w:type="dxa"/>
                  <w:vMerge w:val="continue"/>
                  <w:tcBorders>
                    <w:top w:val="nil"/>
                  </w:tcBorders>
                  <w:vAlign w:val="center"/>
                </w:tcPr>
                <w:p w14:paraId="709C7175">
                  <w:pPr>
                    <w:pStyle w:val="57"/>
                  </w:pPr>
                </w:p>
              </w:tc>
              <w:tc>
                <w:tcPr>
                  <w:tcW w:w="3913" w:type="dxa"/>
                  <w:vMerge w:val="continue"/>
                  <w:tcBorders>
                    <w:top w:val="nil"/>
                  </w:tcBorders>
                  <w:vAlign w:val="center"/>
                </w:tcPr>
                <w:p w14:paraId="3CB97BDB">
                  <w:pPr>
                    <w:pStyle w:val="57"/>
                  </w:pPr>
                </w:p>
              </w:tc>
              <w:tc>
                <w:tcPr>
                  <w:tcW w:w="1424" w:type="dxa"/>
                  <w:vMerge w:val="continue"/>
                  <w:tcBorders>
                    <w:top w:val="nil"/>
                  </w:tcBorders>
                  <w:vAlign w:val="center"/>
                </w:tcPr>
                <w:p w14:paraId="32D15F32">
                  <w:pPr>
                    <w:pStyle w:val="57"/>
                  </w:pPr>
                </w:p>
              </w:tc>
              <w:tc>
                <w:tcPr>
                  <w:tcW w:w="1201" w:type="dxa"/>
                  <w:vAlign w:val="center"/>
                </w:tcPr>
                <w:p w14:paraId="253DC474">
                  <w:pPr>
                    <w:pStyle w:val="57"/>
                  </w:pPr>
                  <w:r>
                    <w:t>单位</w:t>
                  </w:r>
                </w:p>
              </w:tc>
              <w:tc>
                <w:tcPr>
                  <w:tcW w:w="1183" w:type="dxa"/>
                  <w:vAlign w:val="center"/>
                </w:tcPr>
                <w:p w14:paraId="4DA64DF6">
                  <w:pPr>
                    <w:pStyle w:val="57"/>
                  </w:pPr>
                  <w:r>
                    <w:t>数值</w:t>
                  </w:r>
                </w:p>
              </w:tc>
            </w:tr>
            <w:tr w14:paraId="2D2909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9" w:type="dxa"/>
                  <w:vMerge w:val="restart"/>
                  <w:tcBorders>
                    <w:bottom w:val="nil"/>
                  </w:tcBorders>
                  <w:vAlign w:val="center"/>
                </w:tcPr>
                <w:p w14:paraId="1093FD97">
                  <w:pPr>
                    <w:pStyle w:val="57"/>
                    <w:rPr>
                      <w:b w:val="0"/>
                      <w:bCs/>
                    </w:rPr>
                  </w:pPr>
                  <w:r>
                    <w:rPr>
                      <w:b w:val="0"/>
                      <w:bCs/>
                    </w:rPr>
                    <w:t>生产</w:t>
                  </w:r>
                </w:p>
                <w:p w14:paraId="18744773">
                  <w:pPr>
                    <w:pStyle w:val="57"/>
                    <w:rPr>
                      <w:b w:val="0"/>
                      <w:bCs/>
                    </w:rPr>
                  </w:pPr>
                  <w:r>
                    <w:rPr>
                      <w:b w:val="0"/>
                      <w:bCs/>
                    </w:rPr>
                    <w:t>废水</w:t>
                  </w:r>
                </w:p>
              </w:tc>
              <w:tc>
                <w:tcPr>
                  <w:tcW w:w="3913" w:type="dxa"/>
                  <w:vMerge w:val="restart"/>
                  <w:tcBorders>
                    <w:bottom w:val="nil"/>
                  </w:tcBorders>
                  <w:vAlign w:val="center"/>
                </w:tcPr>
                <w:p w14:paraId="3FE5D3BF">
                  <w:pPr>
                    <w:pStyle w:val="57"/>
                    <w:rPr>
                      <w:b w:val="0"/>
                      <w:bCs/>
                    </w:rPr>
                  </w:pPr>
                  <w:r>
                    <w:rPr>
                      <w:b w:val="0"/>
                      <w:bCs/>
                    </w:rPr>
                    <w:t>《污水综合排放标准》</w:t>
                  </w:r>
                  <w:r>
                    <w:rPr>
                      <w:rFonts w:hint="eastAsia"/>
                      <w:b w:val="0"/>
                      <w:bCs/>
                    </w:rPr>
                    <w:t>（</w:t>
                  </w:r>
                  <w:r>
                    <w:rPr>
                      <w:b w:val="0"/>
                      <w:bCs/>
                    </w:rPr>
                    <w:t>GB8978-1996</w:t>
                  </w:r>
                  <w:r>
                    <w:rPr>
                      <w:rFonts w:hint="eastAsia"/>
                      <w:b w:val="0"/>
                      <w:bCs/>
                    </w:rPr>
                    <w:t>）</w:t>
                  </w:r>
                  <w:r>
                    <w:rPr>
                      <w:b w:val="0"/>
                      <w:bCs/>
                    </w:rPr>
                    <w:t>三级标准</w:t>
                  </w:r>
                </w:p>
              </w:tc>
              <w:tc>
                <w:tcPr>
                  <w:tcW w:w="1424" w:type="dxa"/>
                  <w:vAlign w:val="center"/>
                </w:tcPr>
                <w:p w14:paraId="6EF92D48">
                  <w:pPr>
                    <w:pStyle w:val="57"/>
                    <w:rPr>
                      <w:b w:val="0"/>
                      <w:bCs/>
                    </w:rPr>
                  </w:pPr>
                  <w:r>
                    <w:rPr>
                      <w:b w:val="0"/>
                      <w:bCs/>
                    </w:rPr>
                    <w:t>p H值</w:t>
                  </w:r>
                </w:p>
              </w:tc>
              <w:tc>
                <w:tcPr>
                  <w:tcW w:w="1201" w:type="dxa"/>
                  <w:vAlign w:val="center"/>
                </w:tcPr>
                <w:p w14:paraId="684B0430">
                  <w:pPr>
                    <w:pStyle w:val="57"/>
                    <w:rPr>
                      <w:b w:val="0"/>
                      <w:bCs/>
                    </w:rPr>
                  </w:pPr>
                  <w:r>
                    <w:rPr>
                      <w:b w:val="0"/>
                      <w:bCs/>
                    </w:rPr>
                    <w:t>无量纲</w:t>
                  </w:r>
                </w:p>
              </w:tc>
              <w:tc>
                <w:tcPr>
                  <w:tcW w:w="1183" w:type="dxa"/>
                  <w:vAlign w:val="center"/>
                </w:tcPr>
                <w:p w14:paraId="20EC87F8">
                  <w:pPr>
                    <w:pStyle w:val="57"/>
                    <w:rPr>
                      <w:b w:val="0"/>
                      <w:bCs/>
                    </w:rPr>
                  </w:pPr>
                  <w:r>
                    <w:rPr>
                      <w:b w:val="0"/>
                      <w:bCs/>
                    </w:rPr>
                    <w:t>6-9</w:t>
                  </w:r>
                </w:p>
              </w:tc>
            </w:tr>
            <w:tr w14:paraId="7C7E4C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9" w:type="dxa"/>
                  <w:vMerge w:val="continue"/>
                  <w:tcBorders>
                    <w:top w:val="nil"/>
                    <w:bottom w:val="nil"/>
                  </w:tcBorders>
                  <w:vAlign w:val="center"/>
                </w:tcPr>
                <w:p w14:paraId="1A5CE1F1">
                  <w:pPr>
                    <w:pStyle w:val="57"/>
                    <w:rPr>
                      <w:b w:val="0"/>
                      <w:bCs/>
                    </w:rPr>
                  </w:pPr>
                </w:p>
              </w:tc>
              <w:tc>
                <w:tcPr>
                  <w:tcW w:w="3913" w:type="dxa"/>
                  <w:vMerge w:val="continue"/>
                  <w:tcBorders>
                    <w:top w:val="nil"/>
                    <w:bottom w:val="nil"/>
                  </w:tcBorders>
                  <w:vAlign w:val="center"/>
                </w:tcPr>
                <w:p w14:paraId="78548781">
                  <w:pPr>
                    <w:pStyle w:val="57"/>
                    <w:rPr>
                      <w:b w:val="0"/>
                      <w:bCs/>
                    </w:rPr>
                  </w:pPr>
                </w:p>
              </w:tc>
              <w:tc>
                <w:tcPr>
                  <w:tcW w:w="1424" w:type="dxa"/>
                  <w:vAlign w:val="center"/>
                </w:tcPr>
                <w:p w14:paraId="5DDF5F77">
                  <w:pPr>
                    <w:pStyle w:val="57"/>
                    <w:rPr>
                      <w:b w:val="0"/>
                      <w:bCs/>
                    </w:rPr>
                  </w:pPr>
                  <w:r>
                    <w:rPr>
                      <w:b w:val="0"/>
                      <w:bCs/>
                    </w:rPr>
                    <w:t>COD</w:t>
                  </w:r>
                </w:p>
              </w:tc>
              <w:tc>
                <w:tcPr>
                  <w:tcW w:w="1201" w:type="dxa"/>
                  <w:vMerge w:val="restart"/>
                  <w:tcBorders>
                    <w:bottom w:val="nil"/>
                  </w:tcBorders>
                  <w:vAlign w:val="center"/>
                </w:tcPr>
                <w:p w14:paraId="5D5E3EF5">
                  <w:pPr>
                    <w:pStyle w:val="57"/>
                    <w:rPr>
                      <w:b w:val="0"/>
                      <w:bCs/>
                    </w:rPr>
                  </w:pPr>
                  <w:r>
                    <w:rPr>
                      <w:b w:val="0"/>
                      <w:bCs/>
                    </w:rPr>
                    <w:t>mg/L</w:t>
                  </w:r>
                </w:p>
              </w:tc>
              <w:tc>
                <w:tcPr>
                  <w:tcW w:w="1183" w:type="dxa"/>
                  <w:vAlign w:val="center"/>
                </w:tcPr>
                <w:p w14:paraId="03A217F9">
                  <w:pPr>
                    <w:pStyle w:val="57"/>
                    <w:rPr>
                      <w:b w:val="0"/>
                      <w:bCs/>
                    </w:rPr>
                  </w:pPr>
                  <w:r>
                    <w:rPr>
                      <w:b w:val="0"/>
                      <w:bCs/>
                    </w:rPr>
                    <w:t>500</w:t>
                  </w:r>
                </w:p>
              </w:tc>
            </w:tr>
            <w:tr w14:paraId="1533D6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9" w:type="dxa"/>
                  <w:vMerge w:val="continue"/>
                  <w:tcBorders>
                    <w:top w:val="nil"/>
                    <w:bottom w:val="nil"/>
                  </w:tcBorders>
                  <w:vAlign w:val="center"/>
                </w:tcPr>
                <w:p w14:paraId="143E28D5">
                  <w:pPr>
                    <w:pStyle w:val="57"/>
                    <w:rPr>
                      <w:b w:val="0"/>
                      <w:bCs/>
                    </w:rPr>
                  </w:pPr>
                </w:p>
              </w:tc>
              <w:tc>
                <w:tcPr>
                  <w:tcW w:w="3913" w:type="dxa"/>
                  <w:vMerge w:val="continue"/>
                  <w:tcBorders>
                    <w:top w:val="nil"/>
                    <w:bottom w:val="nil"/>
                  </w:tcBorders>
                  <w:vAlign w:val="center"/>
                </w:tcPr>
                <w:p w14:paraId="2FB120DD">
                  <w:pPr>
                    <w:pStyle w:val="57"/>
                    <w:rPr>
                      <w:b w:val="0"/>
                      <w:bCs/>
                    </w:rPr>
                  </w:pPr>
                </w:p>
              </w:tc>
              <w:tc>
                <w:tcPr>
                  <w:tcW w:w="1424" w:type="dxa"/>
                  <w:vAlign w:val="center"/>
                </w:tcPr>
                <w:p w14:paraId="39467B94">
                  <w:pPr>
                    <w:pStyle w:val="57"/>
                    <w:rPr>
                      <w:b w:val="0"/>
                      <w:bCs/>
                    </w:rPr>
                  </w:pPr>
                  <w:r>
                    <w:rPr>
                      <w:b w:val="0"/>
                      <w:bCs/>
                    </w:rPr>
                    <w:t>SS</w:t>
                  </w:r>
                </w:p>
              </w:tc>
              <w:tc>
                <w:tcPr>
                  <w:tcW w:w="1201" w:type="dxa"/>
                  <w:vMerge w:val="continue"/>
                  <w:tcBorders>
                    <w:top w:val="nil"/>
                    <w:bottom w:val="nil"/>
                  </w:tcBorders>
                  <w:vAlign w:val="center"/>
                </w:tcPr>
                <w:p w14:paraId="5FFFA692">
                  <w:pPr>
                    <w:pStyle w:val="57"/>
                    <w:rPr>
                      <w:b w:val="0"/>
                      <w:bCs/>
                    </w:rPr>
                  </w:pPr>
                </w:p>
              </w:tc>
              <w:tc>
                <w:tcPr>
                  <w:tcW w:w="1183" w:type="dxa"/>
                  <w:vAlign w:val="center"/>
                </w:tcPr>
                <w:p w14:paraId="6DA605A7">
                  <w:pPr>
                    <w:pStyle w:val="57"/>
                    <w:rPr>
                      <w:b w:val="0"/>
                      <w:bCs/>
                    </w:rPr>
                  </w:pPr>
                  <w:r>
                    <w:rPr>
                      <w:b w:val="0"/>
                      <w:bCs/>
                    </w:rPr>
                    <w:t>400</w:t>
                  </w:r>
                </w:p>
              </w:tc>
            </w:tr>
            <w:tr w14:paraId="575803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9" w:type="dxa"/>
                  <w:vMerge w:val="continue"/>
                  <w:tcBorders>
                    <w:top w:val="nil"/>
                    <w:bottom w:val="nil"/>
                  </w:tcBorders>
                  <w:vAlign w:val="center"/>
                </w:tcPr>
                <w:p w14:paraId="00CAD951">
                  <w:pPr>
                    <w:pStyle w:val="57"/>
                    <w:rPr>
                      <w:b w:val="0"/>
                      <w:bCs/>
                    </w:rPr>
                  </w:pPr>
                </w:p>
              </w:tc>
              <w:tc>
                <w:tcPr>
                  <w:tcW w:w="3913" w:type="dxa"/>
                  <w:vMerge w:val="continue"/>
                  <w:tcBorders>
                    <w:top w:val="nil"/>
                  </w:tcBorders>
                  <w:vAlign w:val="center"/>
                </w:tcPr>
                <w:p w14:paraId="00FF9727">
                  <w:pPr>
                    <w:pStyle w:val="57"/>
                    <w:rPr>
                      <w:b w:val="0"/>
                      <w:bCs/>
                    </w:rPr>
                  </w:pPr>
                </w:p>
              </w:tc>
              <w:tc>
                <w:tcPr>
                  <w:tcW w:w="1424" w:type="dxa"/>
                  <w:vAlign w:val="center"/>
                </w:tcPr>
                <w:p w14:paraId="68565269">
                  <w:pPr>
                    <w:pStyle w:val="57"/>
                    <w:rPr>
                      <w:b w:val="0"/>
                      <w:bCs/>
                    </w:rPr>
                  </w:pPr>
                  <w:r>
                    <w:rPr>
                      <w:rFonts w:hint="eastAsia"/>
                      <w:b w:val="0"/>
                      <w:bCs/>
                      <w:lang w:val="en-US"/>
                    </w:rPr>
                    <w:t>石油类</w:t>
                  </w:r>
                </w:p>
              </w:tc>
              <w:tc>
                <w:tcPr>
                  <w:tcW w:w="1201" w:type="dxa"/>
                  <w:vMerge w:val="continue"/>
                  <w:tcBorders>
                    <w:top w:val="nil"/>
                    <w:bottom w:val="nil"/>
                  </w:tcBorders>
                  <w:vAlign w:val="center"/>
                </w:tcPr>
                <w:p w14:paraId="52A48808">
                  <w:pPr>
                    <w:pStyle w:val="57"/>
                    <w:rPr>
                      <w:b w:val="0"/>
                      <w:bCs/>
                    </w:rPr>
                  </w:pPr>
                </w:p>
              </w:tc>
              <w:tc>
                <w:tcPr>
                  <w:tcW w:w="1183" w:type="dxa"/>
                  <w:vAlign w:val="center"/>
                </w:tcPr>
                <w:p w14:paraId="0D036C22">
                  <w:pPr>
                    <w:pStyle w:val="57"/>
                    <w:rPr>
                      <w:b w:val="0"/>
                      <w:bCs/>
                      <w:lang w:val="en-US"/>
                    </w:rPr>
                  </w:pPr>
                  <w:r>
                    <w:rPr>
                      <w:rFonts w:hint="eastAsia"/>
                      <w:b w:val="0"/>
                      <w:bCs/>
                      <w:lang w:val="en-US"/>
                    </w:rPr>
                    <w:t>20</w:t>
                  </w:r>
                </w:p>
              </w:tc>
            </w:tr>
            <w:tr w14:paraId="3AB503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9" w:type="dxa"/>
                  <w:vMerge w:val="continue"/>
                  <w:tcBorders>
                    <w:top w:val="nil"/>
                  </w:tcBorders>
                  <w:vAlign w:val="center"/>
                </w:tcPr>
                <w:p w14:paraId="669BA869">
                  <w:pPr>
                    <w:pStyle w:val="57"/>
                    <w:rPr>
                      <w:b w:val="0"/>
                      <w:bCs/>
                    </w:rPr>
                  </w:pPr>
                </w:p>
              </w:tc>
              <w:tc>
                <w:tcPr>
                  <w:tcW w:w="3913" w:type="dxa"/>
                  <w:vAlign w:val="center"/>
                </w:tcPr>
                <w:p w14:paraId="7C98B402">
                  <w:pPr>
                    <w:pStyle w:val="57"/>
                    <w:rPr>
                      <w:b w:val="0"/>
                      <w:bCs/>
                    </w:rPr>
                  </w:pPr>
                  <w:r>
                    <w:rPr>
                      <w:b w:val="0"/>
                      <w:bCs/>
                    </w:rPr>
                    <w:t>《污水排入城镇下水道水质标准》</w:t>
                  </w:r>
                  <w:r>
                    <w:rPr>
                      <w:rFonts w:hint="eastAsia"/>
                      <w:b w:val="0"/>
                      <w:bCs/>
                    </w:rPr>
                    <w:t>（</w:t>
                  </w:r>
                  <w:r>
                    <w:rPr>
                      <w:b w:val="0"/>
                      <w:bCs/>
                    </w:rPr>
                    <w:t>GB/T31962-2015</w:t>
                  </w:r>
                  <w:r>
                    <w:rPr>
                      <w:rFonts w:hint="eastAsia"/>
                      <w:b w:val="0"/>
                      <w:bCs/>
                    </w:rPr>
                    <w:t>）</w:t>
                  </w:r>
                  <w:r>
                    <w:rPr>
                      <w:b w:val="0"/>
                      <w:bCs/>
                    </w:rPr>
                    <w:t>表1中B级标准</w:t>
                  </w:r>
                </w:p>
              </w:tc>
              <w:tc>
                <w:tcPr>
                  <w:tcW w:w="1424" w:type="dxa"/>
                  <w:vAlign w:val="center"/>
                </w:tcPr>
                <w:p w14:paraId="093EB833">
                  <w:pPr>
                    <w:pStyle w:val="57"/>
                    <w:rPr>
                      <w:b w:val="0"/>
                      <w:bCs/>
                    </w:rPr>
                  </w:pPr>
                  <w:r>
                    <w:rPr>
                      <w:b w:val="0"/>
                      <w:bCs/>
                    </w:rPr>
                    <w:t>氨氮</w:t>
                  </w:r>
                </w:p>
              </w:tc>
              <w:tc>
                <w:tcPr>
                  <w:tcW w:w="1201" w:type="dxa"/>
                  <w:vMerge w:val="continue"/>
                  <w:tcBorders>
                    <w:top w:val="nil"/>
                  </w:tcBorders>
                  <w:vAlign w:val="center"/>
                </w:tcPr>
                <w:p w14:paraId="462D3F97">
                  <w:pPr>
                    <w:pStyle w:val="57"/>
                    <w:rPr>
                      <w:b w:val="0"/>
                      <w:bCs/>
                    </w:rPr>
                  </w:pPr>
                </w:p>
              </w:tc>
              <w:tc>
                <w:tcPr>
                  <w:tcW w:w="1183" w:type="dxa"/>
                  <w:vAlign w:val="center"/>
                </w:tcPr>
                <w:p w14:paraId="50ED4D22">
                  <w:pPr>
                    <w:pStyle w:val="57"/>
                    <w:rPr>
                      <w:b w:val="0"/>
                      <w:bCs/>
                    </w:rPr>
                  </w:pPr>
                  <w:r>
                    <w:rPr>
                      <w:b w:val="0"/>
                      <w:bCs/>
                    </w:rPr>
                    <w:t>45</w:t>
                  </w:r>
                </w:p>
              </w:tc>
            </w:tr>
          </w:tbl>
          <w:p w14:paraId="4D641DCB">
            <w:pPr>
              <w:wordWrap w:val="0"/>
              <w:ind w:left="480"/>
              <w:rPr>
                <w:rFonts w:cs="宋体"/>
                <w:b/>
                <w:bCs/>
                <w:kern w:val="24"/>
                <w:sz w:val="24"/>
              </w:rPr>
            </w:pPr>
            <w:r>
              <w:rPr>
                <w:rFonts w:hint="eastAsia" w:cs="宋体"/>
                <w:b/>
                <w:bCs/>
                <w:kern w:val="24"/>
                <w:sz w:val="24"/>
                <w:lang w:eastAsia="zh-CN"/>
              </w:rPr>
              <w:t>3.</w:t>
            </w:r>
            <w:r>
              <w:rPr>
                <w:rFonts w:hint="eastAsia" w:cs="宋体"/>
                <w:b/>
                <w:bCs/>
                <w:kern w:val="24"/>
                <w:sz w:val="24"/>
              </w:rPr>
              <w:t>噪声</w:t>
            </w:r>
          </w:p>
          <w:p w14:paraId="14D7E345">
            <w:pPr>
              <w:pStyle w:val="111"/>
              <w:wordWrap w:val="0"/>
              <w:rPr>
                <w:rFonts w:hint="default"/>
                <w:color w:val="auto"/>
              </w:rPr>
            </w:pPr>
            <w:r>
              <w:rPr>
                <w:color w:val="auto"/>
              </w:rPr>
              <w:t>项目位于蔡家坡经济技术开发区总体规划范围内，根据园区规划环评及其审查意见，声环境质量执行3类标准，则运营期执行《工业企业厂界环境噪声排放标准》（GB12348—2008）3类限值。</w:t>
            </w:r>
          </w:p>
          <w:p w14:paraId="39367E79">
            <w:pPr>
              <w:pStyle w:val="128"/>
            </w:pPr>
            <w:r>
              <w:rPr>
                <w:rFonts w:hint="eastAsia"/>
              </w:rPr>
              <w:t>表3-6噪声排放标准单位：dB（A）</w:t>
            </w:r>
          </w:p>
          <w:tbl>
            <w:tblPr>
              <w:tblStyle w:val="9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541"/>
              <w:gridCol w:w="1425"/>
              <w:gridCol w:w="1967"/>
              <w:gridCol w:w="1918"/>
            </w:tblGrid>
            <w:tr w14:paraId="331080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510" w:type="dxa"/>
                  <w:vMerge w:val="restart"/>
                  <w:tcBorders>
                    <w:bottom w:val="nil"/>
                  </w:tcBorders>
                  <w:vAlign w:val="center"/>
                </w:tcPr>
                <w:p w14:paraId="7A9EA878">
                  <w:pPr>
                    <w:pStyle w:val="128"/>
                  </w:pPr>
                  <w:r>
                    <w:rPr>
                      <w:rFonts w:hint="eastAsia"/>
                    </w:rPr>
                    <w:t>标准名称及级（类）别</w:t>
                  </w:r>
                </w:p>
              </w:tc>
              <w:tc>
                <w:tcPr>
                  <w:tcW w:w="1413" w:type="dxa"/>
                  <w:vMerge w:val="restart"/>
                  <w:tcBorders>
                    <w:bottom w:val="nil"/>
                  </w:tcBorders>
                  <w:vAlign w:val="center"/>
                </w:tcPr>
                <w:p w14:paraId="33B1EC7F">
                  <w:pPr>
                    <w:pStyle w:val="128"/>
                  </w:pPr>
                  <w:r>
                    <w:rPr>
                      <w:rFonts w:hint="eastAsia"/>
                    </w:rPr>
                    <w:t>执行标准</w:t>
                  </w:r>
                </w:p>
              </w:tc>
              <w:tc>
                <w:tcPr>
                  <w:tcW w:w="3851" w:type="dxa"/>
                  <w:gridSpan w:val="2"/>
                  <w:vAlign w:val="center"/>
                </w:tcPr>
                <w:p w14:paraId="4BCA8300">
                  <w:pPr>
                    <w:pStyle w:val="128"/>
                  </w:pPr>
                  <w:r>
                    <w:rPr>
                      <w:rFonts w:hint="eastAsia"/>
                    </w:rPr>
                    <w:t>标准值</w:t>
                  </w:r>
                </w:p>
              </w:tc>
            </w:tr>
            <w:tr w14:paraId="68AB5E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510" w:type="dxa"/>
                  <w:vMerge w:val="continue"/>
                  <w:tcBorders>
                    <w:top w:val="nil"/>
                  </w:tcBorders>
                  <w:vAlign w:val="center"/>
                </w:tcPr>
                <w:p w14:paraId="1B0D3F87">
                  <w:pPr>
                    <w:pStyle w:val="128"/>
                  </w:pPr>
                </w:p>
              </w:tc>
              <w:tc>
                <w:tcPr>
                  <w:tcW w:w="1413" w:type="dxa"/>
                  <w:vMerge w:val="continue"/>
                  <w:tcBorders>
                    <w:top w:val="nil"/>
                  </w:tcBorders>
                  <w:vAlign w:val="center"/>
                </w:tcPr>
                <w:p w14:paraId="664AD87C">
                  <w:pPr>
                    <w:pStyle w:val="128"/>
                  </w:pPr>
                </w:p>
              </w:tc>
              <w:tc>
                <w:tcPr>
                  <w:tcW w:w="1950" w:type="dxa"/>
                  <w:vAlign w:val="center"/>
                </w:tcPr>
                <w:p w14:paraId="606000F6">
                  <w:pPr>
                    <w:pStyle w:val="128"/>
                  </w:pPr>
                  <w:r>
                    <w:rPr>
                      <w:rFonts w:hint="eastAsia"/>
                    </w:rPr>
                    <w:t>昼间</w:t>
                  </w:r>
                </w:p>
              </w:tc>
              <w:tc>
                <w:tcPr>
                  <w:tcW w:w="1901" w:type="dxa"/>
                  <w:vAlign w:val="center"/>
                </w:tcPr>
                <w:p w14:paraId="5E11B721">
                  <w:pPr>
                    <w:pStyle w:val="128"/>
                  </w:pPr>
                  <w:r>
                    <w:rPr>
                      <w:rFonts w:hint="eastAsia"/>
                    </w:rPr>
                    <w:t>夜间</w:t>
                  </w:r>
                </w:p>
              </w:tc>
            </w:tr>
            <w:tr w14:paraId="2FE2FC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510" w:type="dxa"/>
                  <w:vAlign w:val="center"/>
                </w:tcPr>
                <w:p w14:paraId="11441C9A">
                  <w:pPr>
                    <w:pStyle w:val="128"/>
                    <w:rPr>
                      <w:b w:val="0"/>
                      <w:bCs/>
                    </w:rPr>
                  </w:pPr>
                  <w:r>
                    <w:rPr>
                      <w:rFonts w:hint="eastAsia"/>
                      <w:b w:val="0"/>
                      <w:bCs/>
                    </w:rPr>
                    <w:t>《工业企业厂界环境噪声排放标准》（GB12348-2008）</w:t>
                  </w:r>
                </w:p>
              </w:tc>
              <w:tc>
                <w:tcPr>
                  <w:tcW w:w="1413" w:type="dxa"/>
                  <w:vAlign w:val="center"/>
                </w:tcPr>
                <w:p w14:paraId="7D09E76E">
                  <w:pPr>
                    <w:pStyle w:val="128"/>
                    <w:rPr>
                      <w:b w:val="0"/>
                      <w:bCs/>
                    </w:rPr>
                  </w:pPr>
                  <w:r>
                    <w:rPr>
                      <w:rFonts w:hint="eastAsia"/>
                      <w:b w:val="0"/>
                      <w:bCs/>
                    </w:rPr>
                    <w:t>3类</w:t>
                  </w:r>
                </w:p>
              </w:tc>
              <w:tc>
                <w:tcPr>
                  <w:tcW w:w="1950" w:type="dxa"/>
                  <w:vAlign w:val="center"/>
                </w:tcPr>
                <w:p w14:paraId="00005C9A">
                  <w:pPr>
                    <w:pStyle w:val="128"/>
                    <w:rPr>
                      <w:b w:val="0"/>
                      <w:bCs/>
                    </w:rPr>
                  </w:pPr>
                  <w:r>
                    <w:rPr>
                      <w:rFonts w:hint="eastAsia"/>
                      <w:b w:val="0"/>
                      <w:bCs/>
                    </w:rPr>
                    <w:t>65</w:t>
                  </w:r>
                </w:p>
              </w:tc>
              <w:tc>
                <w:tcPr>
                  <w:tcW w:w="1901" w:type="dxa"/>
                  <w:vAlign w:val="center"/>
                </w:tcPr>
                <w:p w14:paraId="28ED3A51">
                  <w:pPr>
                    <w:pStyle w:val="128"/>
                    <w:rPr>
                      <w:b w:val="0"/>
                      <w:bCs/>
                    </w:rPr>
                  </w:pPr>
                  <w:r>
                    <w:rPr>
                      <w:rFonts w:hint="eastAsia"/>
                      <w:b w:val="0"/>
                      <w:bCs/>
                    </w:rPr>
                    <w:t>55</w:t>
                  </w:r>
                </w:p>
              </w:tc>
            </w:tr>
          </w:tbl>
          <w:p w14:paraId="31EAC466">
            <w:pPr>
              <w:pStyle w:val="111"/>
              <w:numPr>
                <w:ilvl w:val="0"/>
                <w:numId w:val="21"/>
              </w:numPr>
              <w:wordWrap w:val="0"/>
              <w:ind w:firstLine="482"/>
              <w:rPr>
                <w:rFonts w:hint="default"/>
                <w:b/>
                <w:bCs/>
                <w:color w:val="auto"/>
              </w:rPr>
            </w:pPr>
            <w:r>
              <w:rPr>
                <w:b/>
                <w:bCs/>
                <w:color w:val="auto"/>
              </w:rPr>
              <w:t>固废</w:t>
            </w:r>
          </w:p>
          <w:p w14:paraId="167D5792">
            <w:pPr>
              <w:pStyle w:val="111"/>
              <w:rPr>
                <w:rFonts w:hint="default"/>
                <w:color w:val="auto"/>
                <w:kern w:val="24"/>
              </w:rPr>
            </w:pPr>
            <w:r>
              <w:rPr>
                <w:color w:val="auto"/>
              </w:rPr>
              <w:t>本项目一般工业固体废物的处理、处置应满足《中华人民共和国固体废物污染环境防治法》中的有关规定要求。一般工业固体废物的贮存应满足相应防渗漏、防雨淋、防扬尘等环境保护要求。危险废物的贮存设施执行《危险废物贮存污染控制标准》（GB18597-2023）中的相关要求以及《国家危险废物名录》中的相关规定。</w:t>
            </w:r>
          </w:p>
        </w:tc>
      </w:tr>
      <w:tr w14:paraId="290073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0" w:type="dxa"/>
            <w:vAlign w:val="center"/>
          </w:tcPr>
          <w:p w14:paraId="35B990B1">
            <w:pPr>
              <w:wordWrap w:val="0"/>
              <w:adjustRightInd w:val="0"/>
              <w:snapToGrid w:val="0"/>
              <w:spacing w:line="360" w:lineRule="auto"/>
              <w:jc w:val="center"/>
              <w:rPr>
                <w:rFonts w:cs="宋体"/>
                <w:b/>
                <w:bCs/>
                <w:kern w:val="0"/>
                <w:sz w:val="24"/>
              </w:rPr>
            </w:pPr>
            <w:r>
              <w:rPr>
                <w:rFonts w:hint="eastAsia" w:cs="宋体"/>
                <w:b/>
                <w:bCs/>
                <w:kern w:val="0"/>
                <w:sz w:val="24"/>
              </w:rPr>
              <w:t>总量</w:t>
            </w:r>
          </w:p>
          <w:p w14:paraId="2AF0A7E6">
            <w:pPr>
              <w:wordWrap w:val="0"/>
              <w:adjustRightInd w:val="0"/>
              <w:snapToGrid w:val="0"/>
              <w:spacing w:line="360" w:lineRule="auto"/>
              <w:jc w:val="center"/>
              <w:rPr>
                <w:rFonts w:cs="宋体"/>
                <w:b/>
                <w:bCs/>
                <w:kern w:val="0"/>
                <w:sz w:val="24"/>
              </w:rPr>
            </w:pPr>
            <w:r>
              <w:rPr>
                <w:rFonts w:hint="eastAsia" w:cs="宋体"/>
                <w:b/>
                <w:bCs/>
                <w:kern w:val="0"/>
                <w:sz w:val="24"/>
              </w:rPr>
              <w:t>控制</w:t>
            </w:r>
          </w:p>
          <w:p w14:paraId="6D65F4F9">
            <w:pPr>
              <w:wordWrap w:val="0"/>
              <w:adjustRightInd w:val="0"/>
              <w:snapToGrid w:val="0"/>
              <w:spacing w:line="360" w:lineRule="auto"/>
              <w:jc w:val="center"/>
              <w:rPr>
                <w:rFonts w:cs="宋体"/>
                <w:kern w:val="0"/>
                <w:sz w:val="24"/>
              </w:rPr>
            </w:pPr>
            <w:r>
              <w:rPr>
                <w:rFonts w:hint="eastAsia" w:cs="宋体"/>
                <w:b/>
                <w:bCs/>
                <w:kern w:val="0"/>
                <w:sz w:val="24"/>
              </w:rPr>
              <w:t>指标</w:t>
            </w:r>
          </w:p>
        </w:tc>
        <w:tc>
          <w:tcPr>
            <w:tcW w:w="8190" w:type="dxa"/>
            <w:vAlign w:val="center"/>
          </w:tcPr>
          <w:p w14:paraId="7B73ED2A">
            <w:pPr>
              <w:pStyle w:val="111"/>
              <w:rPr>
                <w:rFonts w:hint="default"/>
                <w:color w:val="auto"/>
              </w:rPr>
            </w:pPr>
            <w:r>
              <w:rPr>
                <w:color w:val="auto"/>
              </w:rPr>
              <w:t>根据“十四五”节能减排综合工作方案实施期间国家对VOC</w:t>
            </w:r>
            <w:r>
              <w:rPr>
                <w:color w:val="auto"/>
                <w:vertAlign w:val="subscript"/>
              </w:rPr>
              <w:t>S</w:t>
            </w:r>
            <w:r>
              <w:rPr>
                <w:color w:val="auto"/>
              </w:rPr>
              <w:t>、NO</w:t>
            </w:r>
            <w:r>
              <w:rPr>
                <w:color w:val="auto"/>
                <w:vertAlign w:val="subscript"/>
              </w:rPr>
              <w:t>X</w:t>
            </w:r>
            <w:r>
              <w:rPr>
                <w:color w:val="auto"/>
              </w:rPr>
              <w:t>、COD、NH</w:t>
            </w:r>
            <w:r>
              <w:rPr>
                <w:color w:val="auto"/>
                <w:vertAlign w:val="subscript"/>
              </w:rPr>
              <w:t>3</w:t>
            </w:r>
            <w:r>
              <w:rPr>
                <w:color w:val="auto"/>
              </w:rPr>
              <w:t>-N，4种主要污染物实行排放总量控制计划管理。</w:t>
            </w:r>
          </w:p>
          <w:p w14:paraId="295E5613">
            <w:pPr>
              <w:pStyle w:val="111"/>
              <w:rPr>
                <w:rFonts w:hint="default"/>
                <w:color w:val="auto"/>
              </w:rPr>
            </w:pPr>
            <w:r>
              <w:rPr>
                <w:color w:val="auto"/>
              </w:rPr>
              <w:t>本项目生活污水、生产废水进入五丈原污水处理厂进行处理，污水处理厂已对COD和NH</w:t>
            </w:r>
            <w:r>
              <w:rPr>
                <w:color w:val="auto"/>
                <w:vertAlign w:val="subscript"/>
              </w:rPr>
              <w:t>3</w:t>
            </w:r>
            <w:r>
              <w:rPr>
                <w:color w:val="auto"/>
              </w:rPr>
              <w:t>-N进行了总量申请，因此本环评不再对COD和NH</w:t>
            </w:r>
            <w:r>
              <w:rPr>
                <w:color w:val="auto"/>
                <w:vertAlign w:val="subscript"/>
              </w:rPr>
              <w:t>3</w:t>
            </w:r>
            <w:r>
              <w:rPr>
                <w:color w:val="auto"/>
              </w:rPr>
              <w:t>-N总量进行申请。</w:t>
            </w:r>
          </w:p>
          <w:p w14:paraId="2318ED72">
            <w:pPr>
              <w:spacing w:line="360" w:lineRule="auto"/>
              <w:ind w:firstLine="480" w:firstLineChars="200"/>
              <w:rPr>
                <w:sz w:val="24"/>
                <w:szCs w:val="32"/>
              </w:rPr>
            </w:pPr>
            <w:r>
              <w:rPr>
                <w:sz w:val="24"/>
                <w:szCs w:val="32"/>
              </w:rPr>
              <w:t>结合本项目实际情况，本项目涉及的总量控制指标为氮氧化物</w:t>
            </w:r>
            <w:r>
              <w:rPr>
                <w:rFonts w:hint="eastAsia"/>
                <w:sz w:val="24"/>
                <w:szCs w:val="32"/>
              </w:rPr>
              <w:t>，</w:t>
            </w:r>
            <w:r>
              <w:rPr>
                <w:sz w:val="24"/>
                <w:szCs w:val="32"/>
              </w:rPr>
              <w:t>本项目建成后全厂的总量控制指标具体</w:t>
            </w:r>
            <w:r>
              <w:rPr>
                <w:rFonts w:hint="eastAsia"/>
                <w:sz w:val="24"/>
                <w:szCs w:val="32"/>
              </w:rPr>
              <w:t>如下：</w:t>
            </w:r>
          </w:p>
          <w:p w14:paraId="0E5A0064">
            <w:pPr>
              <w:adjustRightInd w:val="0"/>
              <w:snapToGrid w:val="0"/>
              <w:ind w:firstLine="422" w:firstLineChars="200"/>
              <w:jc w:val="center"/>
              <w:rPr>
                <w:b/>
                <w:bCs/>
                <w:szCs w:val="21"/>
              </w:rPr>
            </w:pPr>
            <w:r>
              <w:rPr>
                <w:b/>
                <w:bCs/>
                <w:szCs w:val="21"/>
              </w:rPr>
              <w:t>表3-</w:t>
            </w:r>
            <w:r>
              <w:rPr>
                <w:rFonts w:hint="eastAsia"/>
                <w:b/>
                <w:bCs/>
                <w:szCs w:val="21"/>
              </w:rPr>
              <w:t>7</w:t>
            </w:r>
            <w:r>
              <w:rPr>
                <w:b/>
                <w:bCs/>
                <w:szCs w:val="21"/>
              </w:rPr>
              <w:t>污染物总量控制指标一览表</w:t>
            </w:r>
          </w:p>
          <w:tbl>
            <w:tblPr>
              <w:tblStyle w:val="3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1474"/>
              <w:gridCol w:w="1422"/>
              <w:gridCol w:w="1577"/>
              <w:gridCol w:w="1577"/>
              <w:gridCol w:w="1578"/>
            </w:tblGrid>
            <w:tr w14:paraId="0FBB64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62" w:type="dxa"/>
                  <w:tcBorders>
                    <w:tl2br w:val="nil"/>
                    <w:tr2bl w:val="nil"/>
                  </w:tcBorders>
                  <w:vAlign w:val="center"/>
                </w:tcPr>
                <w:p w14:paraId="2DCDA4DE">
                  <w:pPr>
                    <w:adjustRightInd w:val="0"/>
                    <w:snapToGrid w:val="0"/>
                    <w:jc w:val="center"/>
                    <w:rPr>
                      <w:b/>
                      <w:bCs/>
                    </w:rPr>
                  </w:pPr>
                  <w:r>
                    <w:rPr>
                      <w:rFonts w:hint="eastAsia"/>
                      <w:b/>
                      <w:bCs/>
                    </w:rPr>
                    <w:t>污染物</w:t>
                  </w:r>
                </w:p>
              </w:tc>
              <w:tc>
                <w:tcPr>
                  <w:tcW w:w="1796" w:type="dxa"/>
                  <w:tcBorders>
                    <w:tl2br w:val="nil"/>
                    <w:tr2bl w:val="nil"/>
                  </w:tcBorders>
                  <w:vAlign w:val="center"/>
                </w:tcPr>
                <w:p w14:paraId="453A9664">
                  <w:pPr>
                    <w:adjustRightInd w:val="0"/>
                    <w:snapToGrid w:val="0"/>
                    <w:jc w:val="center"/>
                    <w:rPr>
                      <w:b/>
                      <w:bCs/>
                    </w:rPr>
                  </w:pPr>
                  <w:r>
                    <w:rPr>
                      <w:rFonts w:hint="eastAsia"/>
                      <w:b/>
                      <w:bCs/>
                    </w:rPr>
                    <w:t>现有项目</w:t>
                  </w:r>
                </w:p>
                <w:p w14:paraId="73A84794">
                  <w:pPr>
                    <w:adjustRightInd w:val="0"/>
                    <w:snapToGrid w:val="0"/>
                    <w:jc w:val="center"/>
                    <w:rPr>
                      <w:b/>
                      <w:bCs/>
                    </w:rPr>
                  </w:pPr>
                  <w:r>
                    <w:rPr>
                      <w:rFonts w:hint="eastAsia"/>
                      <w:b/>
                      <w:bCs/>
                    </w:rPr>
                    <w:t>排放量</w:t>
                  </w:r>
                </w:p>
              </w:tc>
              <w:tc>
                <w:tcPr>
                  <w:tcW w:w="1729" w:type="dxa"/>
                  <w:tcBorders>
                    <w:tl2br w:val="nil"/>
                    <w:tr2bl w:val="nil"/>
                  </w:tcBorders>
                  <w:vAlign w:val="center"/>
                </w:tcPr>
                <w:p w14:paraId="19CEDD06">
                  <w:pPr>
                    <w:adjustRightInd w:val="0"/>
                    <w:snapToGrid w:val="0"/>
                    <w:jc w:val="center"/>
                    <w:rPr>
                      <w:b/>
                      <w:bCs/>
                    </w:rPr>
                  </w:pPr>
                  <w:r>
                    <w:rPr>
                      <w:rFonts w:hint="eastAsia"/>
                      <w:b/>
                      <w:bCs/>
                    </w:rPr>
                    <w:t>在建项目</w:t>
                  </w:r>
                </w:p>
                <w:p w14:paraId="3001E428">
                  <w:pPr>
                    <w:adjustRightInd w:val="0"/>
                    <w:snapToGrid w:val="0"/>
                    <w:jc w:val="center"/>
                    <w:rPr>
                      <w:b/>
                      <w:bCs/>
                    </w:rPr>
                  </w:pPr>
                  <w:r>
                    <w:rPr>
                      <w:rFonts w:hint="eastAsia"/>
                      <w:b/>
                      <w:bCs/>
                    </w:rPr>
                    <w:t>排放量</w:t>
                  </w:r>
                </w:p>
              </w:tc>
              <w:tc>
                <w:tcPr>
                  <w:tcW w:w="1926" w:type="dxa"/>
                  <w:tcBorders>
                    <w:tl2br w:val="nil"/>
                    <w:tr2bl w:val="nil"/>
                  </w:tcBorders>
                  <w:vAlign w:val="center"/>
                </w:tcPr>
                <w:p w14:paraId="539A961E">
                  <w:pPr>
                    <w:adjustRightInd w:val="0"/>
                    <w:snapToGrid w:val="0"/>
                    <w:jc w:val="center"/>
                  </w:pPr>
                  <w:r>
                    <w:rPr>
                      <w:rFonts w:hint="eastAsia"/>
                      <w:b/>
                      <w:bCs/>
                    </w:rPr>
                    <w:t>本次扩建工程排放量</w:t>
                  </w:r>
                </w:p>
              </w:tc>
              <w:tc>
                <w:tcPr>
                  <w:tcW w:w="1926" w:type="dxa"/>
                  <w:tcBorders>
                    <w:tl2br w:val="nil"/>
                    <w:tr2bl w:val="nil"/>
                  </w:tcBorders>
                  <w:vAlign w:val="center"/>
                </w:tcPr>
                <w:p w14:paraId="6C7DD097">
                  <w:pPr>
                    <w:adjustRightInd w:val="0"/>
                    <w:snapToGrid w:val="0"/>
                    <w:jc w:val="center"/>
                    <w:rPr>
                      <w:b/>
                      <w:bCs/>
                    </w:rPr>
                  </w:pPr>
                  <w:r>
                    <w:rPr>
                      <w:rFonts w:hint="eastAsia"/>
                      <w:b/>
                      <w:bCs/>
                    </w:rPr>
                    <w:t>建成后全厂</w:t>
                  </w:r>
                </w:p>
                <w:p w14:paraId="31B82CF0">
                  <w:pPr>
                    <w:adjustRightInd w:val="0"/>
                    <w:snapToGrid w:val="0"/>
                    <w:jc w:val="center"/>
                    <w:rPr>
                      <w:b/>
                      <w:bCs/>
                    </w:rPr>
                  </w:pPr>
                  <w:r>
                    <w:rPr>
                      <w:rFonts w:hint="eastAsia"/>
                      <w:b/>
                      <w:bCs/>
                    </w:rPr>
                    <w:t>排放量</w:t>
                  </w:r>
                </w:p>
              </w:tc>
              <w:tc>
                <w:tcPr>
                  <w:tcW w:w="1927" w:type="dxa"/>
                  <w:tcBorders>
                    <w:tl2br w:val="nil"/>
                    <w:tr2bl w:val="nil"/>
                  </w:tcBorders>
                  <w:vAlign w:val="center"/>
                </w:tcPr>
                <w:p w14:paraId="01A0C53D">
                  <w:pPr>
                    <w:adjustRightInd w:val="0"/>
                    <w:snapToGrid w:val="0"/>
                    <w:jc w:val="center"/>
                    <w:rPr>
                      <w:b/>
                      <w:bCs/>
                    </w:rPr>
                  </w:pPr>
                  <w:r>
                    <w:rPr>
                      <w:rFonts w:hint="eastAsia"/>
                      <w:b/>
                      <w:bCs/>
                    </w:rPr>
                    <w:t>扩建后建议申请总量控制指标量</w:t>
                  </w:r>
                </w:p>
              </w:tc>
            </w:tr>
            <w:tr w14:paraId="0A1ED9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62" w:type="dxa"/>
                  <w:tcBorders>
                    <w:tl2br w:val="nil"/>
                    <w:tr2bl w:val="nil"/>
                  </w:tcBorders>
                  <w:vAlign w:val="center"/>
                </w:tcPr>
                <w:p w14:paraId="2311ADBF">
                  <w:pPr>
                    <w:adjustRightInd w:val="0"/>
                    <w:snapToGrid w:val="0"/>
                    <w:jc w:val="center"/>
                    <w:rPr>
                      <w:szCs w:val="21"/>
                    </w:rPr>
                  </w:pPr>
                  <w:r>
                    <w:rPr>
                      <w:rFonts w:hint="eastAsia"/>
                      <w:szCs w:val="21"/>
                    </w:rPr>
                    <w:t>氮氧化物</w:t>
                  </w:r>
                </w:p>
              </w:tc>
              <w:tc>
                <w:tcPr>
                  <w:tcW w:w="1796" w:type="dxa"/>
                  <w:tcBorders>
                    <w:tl2br w:val="nil"/>
                    <w:tr2bl w:val="nil"/>
                  </w:tcBorders>
                  <w:vAlign w:val="center"/>
                </w:tcPr>
                <w:p w14:paraId="78432B26">
                  <w:pPr>
                    <w:adjustRightInd w:val="0"/>
                    <w:snapToGrid w:val="0"/>
                    <w:jc w:val="center"/>
                    <w:rPr>
                      <w:snapToGrid w:val="0"/>
                      <w:kern w:val="21"/>
                      <w:szCs w:val="21"/>
                    </w:rPr>
                  </w:pPr>
                  <w:r>
                    <w:rPr>
                      <w:rFonts w:hint="eastAsia"/>
                      <w:snapToGrid w:val="0"/>
                      <w:kern w:val="21"/>
                      <w:szCs w:val="21"/>
                    </w:rPr>
                    <w:t>0.591</w:t>
                  </w:r>
                  <w:r>
                    <w:t>t/a</w:t>
                  </w:r>
                </w:p>
              </w:tc>
              <w:tc>
                <w:tcPr>
                  <w:tcW w:w="1729" w:type="dxa"/>
                  <w:tcBorders>
                    <w:tl2br w:val="nil"/>
                    <w:tr2bl w:val="nil"/>
                  </w:tcBorders>
                  <w:vAlign w:val="center"/>
                </w:tcPr>
                <w:p w14:paraId="43DB4030">
                  <w:pPr>
                    <w:adjustRightInd w:val="0"/>
                    <w:snapToGrid w:val="0"/>
                    <w:jc w:val="center"/>
                    <w:rPr>
                      <w:rFonts w:eastAsia="等线"/>
                      <w:szCs w:val="21"/>
                    </w:rPr>
                  </w:pPr>
                  <w:r>
                    <w:rPr>
                      <w:rFonts w:hint="eastAsia"/>
                    </w:rPr>
                    <w:t>7.177</w:t>
                  </w:r>
                  <w:r>
                    <w:t>t/a</w:t>
                  </w:r>
                </w:p>
              </w:tc>
              <w:tc>
                <w:tcPr>
                  <w:tcW w:w="1926" w:type="dxa"/>
                  <w:tcBorders>
                    <w:tl2br w:val="nil"/>
                    <w:tr2bl w:val="nil"/>
                  </w:tcBorders>
                  <w:vAlign w:val="center"/>
                </w:tcPr>
                <w:p w14:paraId="4D3A388B">
                  <w:pPr>
                    <w:adjustRightInd w:val="0"/>
                    <w:snapToGrid w:val="0"/>
                    <w:jc w:val="center"/>
                    <w:rPr>
                      <w:rFonts w:hint="default" w:eastAsia="宋体"/>
                      <w:lang w:val="en-US" w:eastAsia="zh-CN"/>
                    </w:rPr>
                  </w:pPr>
                  <w:r>
                    <w:rPr>
                      <w:rFonts w:hint="eastAsia"/>
                    </w:rPr>
                    <w:t>0.0</w:t>
                  </w:r>
                  <w:r>
                    <w:rPr>
                      <w:rFonts w:hint="eastAsia"/>
                      <w:lang w:val="en-US" w:eastAsia="zh-CN"/>
                    </w:rPr>
                    <w:t>26</w:t>
                  </w:r>
                </w:p>
              </w:tc>
              <w:tc>
                <w:tcPr>
                  <w:tcW w:w="1926" w:type="dxa"/>
                  <w:tcBorders>
                    <w:tl2br w:val="nil"/>
                    <w:tr2bl w:val="nil"/>
                  </w:tcBorders>
                  <w:vAlign w:val="center"/>
                </w:tcPr>
                <w:p w14:paraId="4D9814CC">
                  <w:pPr>
                    <w:adjustRightInd w:val="0"/>
                    <w:snapToGrid w:val="0"/>
                    <w:jc w:val="center"/>
                    <w:rPr>
                      <w:rFonts w:eastAsia="等线"/>
                      <w:szCs w:val="21"/>
                    </w:rPr>
                  </w:pPr>
                  <w:r>
                    <w:rPr>
                      <w:rFonts w:hint="eastAsia"/>
                      <w:snapToGrid w:val="0"/>
                      <w:kern w:val="21"/>
                      <w:szCs w:val="21"/>
                    </w:rPr>
                    <w:t>7.801</w:t>
                  </w:r>
                  <w:r>
                    <w:t>t/a</w:t>
                  </w:r>
                </w:p>
              </w:tc>
              <w:tc>
                <w:tcPr>
                  <w:tcW w:w="1927" w:type="dxa"/>
                  <w:tcBorders>
                    <w:tl2br w:val="nil"/>
                    <w:tr2bl w:val="nil"/>
                  </w:tcBorders>
                  <w:vAlign w:val="center"/>
                </w:tcPr>
                <w:p w14:paraId="5E62A9F4">
                  <w:pPr>
                    <w:adjustRightInd w:val="0"/>
                    <w:snapToGrid w:val="0"/>
                    <w:jc w:val="center"/>
                    <w:rPr>
                      <w:rFonts w:eastAsia="等线"/>
                      <w:szCs w:val="21"/>
                    </w:rPr>
                  </w:pPr>
                  <w:r>
                    <w:rPr>
                      <w:rFonts w:hint="eastAsia"/>
                      <w:snapToGrid w:val="0"/>
                      <w:kern w:val="21"/>
                      <w:szCs w:val="21"/>
                    </w:rPr>
                    <w:t>7.</w:t>
                  </w:r>
                  <w:r>
                    <w:rPr>
                      <w:rFonts w:hint="eastAsia"/>
                      <w:snapToGrid w:val="0"/>
                      <w:kern w:val="21"/>
                      <w:szCs w:val="21"/>
                      <w:lang w:val="en-US" w:eastAsia="zh-CN"/>
                    </w:rPr>
                    <w:t>794</w:t>
                  </w:r>
                  <w:r>
                    <w:t>t/a</w:t>
                  </w:r>
                </w:p>
              </w:tc>
            </w:tr>
          </w:tbl>
          <w:p w14:paraId="5C83026A">
            <w:pPr>
              <w:spacing w:line="360" w:lineRule="auto"/>
              <w:ind w:firstLine="480" w:firstLineChars="200"/>
            </w:pPr>
            <w:r>
              <w:rPr>
                <w:rFonts w:hint="eastAsia"/>
                <w:sz w:val="24"/>
                <w:szCs w:val="32"/>
              </w:rPr>
              <w:t>建设单位现有项目已通过“陕西省环境权交易所”购买取得的污染物排放权指标为：二氧化硫0.226t/a，氮氧化物9.52t/a。本次改造后氮氧化物在原有取得的污染物排放权指标内。</w:t>
            </w:r>
          </w:p>
        </w:tc>
      </w:tr>
    </w:tbl>
    <w:p w14:paraId="114D6B91">
      <w:pPr>
        <w:pStyle w:val="31"/>
        <w:pageBreakBefore/>
        <w:wordWrap w:val="0"/>
        <w:spacing w:before="0" w:beforeAutospacing="0" w:after="0" w:afterAutospacing="0"/>
        <w:jc w:val="center"/>
        <w:outlineLvl w:val="0"/>
        <w:rPr>
          <w:rFonts w:ascii="Times New Roman" w:hAnsi="Times New Roman" w:eastAsia="黑体"/>
          <w:snapToGrid w:val="0"/>
          <w:sz w:val="30"/>
          <w:szCs w:val="30"/>
        </w:rPr>
      </w:pPr>
      <w:r>
        <w:rPr>
          <w:rFonts w:hint="eastAsia" w:ascii="Times New Roman" w:hAnsi="Times New Roman" w:eastAsia="黑体"/>
          <w:snapToGrid w:val="0"/>
          <w:sz w:val="30"/>
          <w:szCs w:val="30"/>
        </w:rPr>
        <w:t>四、主要环境影响和保护措施</w:t>
      </w:r>
      <w:bookmarkEnd w:id="19"/>
      <w:bookmarkEnd w:id="20"/>
      <w:bookmarkEnd w:id="21"/>
    </w:p>
    <w:tbl>
      <w:tblPr>
        <w:tblStyle w:val="35"/>
        <w:tblW w:w="524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3"/>
        <w:gridCol w:w="9508"/>
      </w:tblGrid>
      <w:tr w14:paraId="2B433F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4" w:hRule="atLeast"/>
          <w:jc w:val="center"/>
        </w:trPr>
        <w:tc>
          <w:tcPr>
            <w:tcW w:w="856" w:type="dxa"/>
            <w:tcMar>
              <w:left w:w="28" w:type="dxa"/>
              <w:right w:w="28" w:type="dxa"/>
            </w:tcMar>
            <w:vAlign w:val="center"/>
          </w:tcPr>
          <w:p w14:paraId="62246474">
            <w:pPr>
              <w:pStyle w:val="31"/>
              <w:wordWrap w:val="0"/>
              <w:adjustRightInd w:val="0"/>
              <w:snapToGrid w:val="0"/>
              <w:spacing w:before="0" w:beforeAutospacing="0" w:after="0" w:afterAutospacing="0" w:line="360" w:lineRule="auto"/>
              <w:jc w:val="center"/>
              <w:rPr>
                <w:rFonts w:ascii="Times New Roman" w:hAnsi="Times New Roman" w:cs="宋体"/>
                <w:b/>
                <w:bCs/>
                <w:kern w:val="2"/>
                <w:szCs w:val="24"/>
              </w:rPr>
            </w:pPr>
            <w:r>
              <w:rPr>
                <w:rFonts w:hint="eastAsia" w:ascii="Times New Roman" w:hAnsi="Times New Roman" w:cs="宋体"/>
                <w:b/>
                <w:bCs/>
                <w:kern w:val="2"/>
                <w:szCs w:val="24"/>
              </w:rPr>
              <w:t>施工</w:t>
            </w:r>
          </w:p>
          <w:p w14:paraId="292E9A9F">
            <w:pPr>
              <w:pStyle w:val="31"/>
              <w:wordWrap w:val="0"/>
              <w:adjustRightInd w:val="0"/>
              <w:snapToGrid w:val="0"/>
              <w:spacing w:before="0" w:beforeAutospacing="0" w:after="0" w:afterAutospacing="0" w:line="360" w:lineRule="auto"/>
              <w:jc w:val="center"/>
              <w:rPr>
                <w:rFonts w:ascii="Times New Roman" w:hAnsi="Times New Roman" w:cs="宋体"/>
                <w:b/>
                <w:bCs/>
                <w:kern w:val="2"/>
                <w:szCs w:val="24"/>
              </w:rPr>
            </w:pPr>
            <w:r>
              <w:rPr>
                <w:rFonts w:hint="eastAsia" w:ascii="Times New Roman" w:hAnsi="Times New Roman" w:cs="宋体"/>
                <w:b/>
                <w:bCs/>
                <w:kern w:val="2"/>
                <w:szCs w:val="24"/>
              </w:rPr>
              <w:t>期环</w:t>
            </w:r>
          </w:p>
          <w:p w14:paraId="7BEE8F7D">
            <w:pPr>
              <w:pStyle w:val="31"/>
              <w:wordWrap w:val="0"/>
              <w:adjustRightInd w:val="0"/>
              <w:snapToGrid w:val="0"/>
              <w:spacing w:before="0" w:beforeAutospacing="0" w:after="0" w:afterAutospacing="0" w:line="360" w:lineRule="auto"/>
              <w:jc w:val="center"/>
              <w:rPr>
                <w:rFonts w:ascii="Times New Roman" w:hAnsi="Times New Roman" w:cs="宋体"/>
                <w:b/>
                <w:bCs/>
                <w:kern w:val="2"/>
                <w:szCs w:val="24"/>
              </w:rPr>
            </w:pPr>
            <w:r>
              <w:rPr>
                <w:rFonts w:hint="eastAsia" w:ascii="Times New Roman" w:hAnsi="Times New Roman" w:cs="宋体"/>
                <w:b/>
                <w:bCs/>
                <w:kern w:val="2"/>
                <w:szCs w:val="24"/>
              </w:rPr>
              <w:t>境保</w:t>
            </w:r>
          </w:p>
          <w:p w14:paraId="0A03A46D">
            <w:pPr>
              <w:pStyle w:val="31"/>
              <w:wordWrap w:val="0"/>
              <w:adjustRightInd w:val="0"/>
              <w:snapToGrid w:val="0"/>
              <w:spacing w:before="0" w:beforeAutospacing="0" w:after="0" w:afterAutospacing="0" w:line="360" w:lineRule="auto"/>
              <w:jc w:val="center"/>
              <w:rPr>
                <w:rFonts w:ascii="Times New Roman" w:hAnsi="Times New Roman" w:cs="宋体"/>
                <w:b/>
                <w:bCs/>
                <w:kern w:val="2"/>
                <w:szCs w:val="24"/>
              </w:rPr>
            </w:pPr>
            <w:r>
              <w:rPr>
                <w:rFonts w:hint="eastAsia" w:ascii="Times New Roman" w:hAnsi="Times New Roman" w:cs="宋体"/>
                <w:b/>
                <w:bCs/>
                <w:kern w:val="2"/>
                <w:szCs w:val="24"/>
              </w:rPr>
              <w:t>护措</w:t>
            </w:r>
          </w:p>
          <w:p w14:paraId="48C7A05F">
            <w:pPr>
              <w:pStyle w:val="31"/>
              <w:wordWrap w:val="0"/>
              <w:adjustRightInd w:val="0"/>
              <w:snapToGrid w:val="0"/>
              <w:spacing w:before="0" w:beforeAutospacing="0" w:after="0" w:afterAutospacing="0" w:line="360" w:lineRule="auto"/>
              <w:jc w:val="center"/>
              <w:rPr>
                <w:rFonts w:ascii="Times New Roman" w:hAnsi="Times New Roman" w:cs="宋体"/>
                <w:b/>
                <w:bCs/>
                <w:kern w:val="2"/>
                <w:szCs w:val="24"/>
              </w:rPr>
            </w:pPr>
            <w:r>
              <w:rPr>
                <w:rFonts w:hint="eastAsia" w:ascii="Times New Roman" w:hAnsi="Times New Roman" w:cs="宋体"/>
                <w:b/>
                <w:bCs/>
                <w:kern w:val="2"/>
                <w:szCs w:val="24"/>
              </w:rPr>
              <w:t>施</w:t>
            </w:r>
          </w:p>
        </w:tc>
        <w:tc>
          <w:tcPr>
            <w:tcW w:w="9432" w:type="dxa"/>
            <w:vAlign w:val="center"/>
          </w:tcPr>
          <w:p w14:paraId="2D602DE3">
            <w:pPr>
              <w:pStyle w:val="111"/>
              <w:rPr>
                <w:rFonts w:hint="default"/>
                <w:color w:val="auto"/>
              </w:rPr>
            </w:pPr>
            <w:r>
              <w:rPr>
                <w:color w:val="auto"/>
              </w:rPr>
              <w:t>根据现场勘查，本次改扩建项目利用现有生产厂房内闲置区域进行内部建设，因此施工期主要为生产设备进场安装。</w:t>
            </w:r>
          </w:p>
          <w:p w14:paraId="5DCD1AFB">
            <w:pPr>
              <w:pStyle w:val="111"/>
              <w:ind w:firstLine="482"/>
              <w:rPr>
                <w:rFonts w:hint="default"/>
                <w:b/>
                <w:bCs/>
                <w:color w:val="auto"/>
              </w:rPr>
            </w:pPr>
            <w:r>
              <w:rPr>
                <w:b/>
                <w:bCs/>
                <w:color w:val="auto"/>
              </w:rPr>
              <w:t>一、施工期废气保护措施</w:t>
            </w:r>
          </w:p>
          <w:p w14:paraId="2090EDE5">
            <w:pPr>
              <w:pStyle w:val="111"/>
              <w:rPr>
                <w:rFonts w:hint="default"/>
                <w:color w:val="auto"/>
              </w:rPr>
            </w:pPr>
            <w:r>
              <w:rPr>
                <w:color w:val="auto"/>
              </w:rPr>
              <w:t>施工期主要为设备安装，不涉及土方施工，安装过程中需要进行少量焊接和切割作业，评价要求施工材料焊接和切割在车间内进行，不得露天焊接和切割。</w:t>
            </w:r>
          </w:p>
          <w:p w14:paraId="73033471">
            <w:pPr>
              <w:pStyle w:val="111"/>
              <w:rPr>
                <w:rFonts w:hint="default"/>
                <w:color w:val="auto"/>
              </w:rPr>
            </w:pPr>
            <w:r>
              <w:rPr>
                <w:color w:val="auto"/>
              </w:rPr>
              <w:t>随着施工期的结束，施工废气的影响将消失，对周围环境影响也将消失。</w:t>
            </w:r>
          </w:p>
          <w:p w14:paraId="5CFFD37A">
            <w:pPr>
              <w:pStyle w:val="111"/>
              <w:ind w:firstLine="482"/>
              <w:rPr>
                <w:rFonts w:hint="default"/>
                <w:b/>
                <w:bCs/>
                <w:color w:val="auto"/>
              </w:rPr>
            </w:pPr>
            <w:r>
              <w:rPr>
                <w:b/>
                <w:bCs/>
                <w:color w:val="auto"/>
              </w:rPr>
              <w:t>二、施工期废水保护措施</w:t>
            </w:r>
          </w:p>
          <w:p w14:paraId="5D60D60C">
            <w:pPr>
              <w:pStyle w:val="111"/>
              <w:rPr>
                <w:rFonts w:hint="default"/>
                <w:color w:val="auto"/>
              </w:rPr>
            </w:pPr>
            <w:r>
              <w:rPr>
                <w:color w:val="auto"/>
              </w:rPr>
              <w:t>本项目施工期短，施工人员少，施工过程中人员产生的生活污水经百万平米园区现有化粪池处理后处理，对周围环境影响较小。</w:t>
            </w:r>
          </w:p>
          <w:p w14:paraId="67006552">
            <w:pPr>
              <w:pStyle w:val="111"/>
              <w:ind w:firstLine="482"/>
              <w:rPr>
                <w:rFonts w:hint="default"/>
                <w:b/>
                <w:bCs/>
                <w:color w:val="auto"/>
              </w:rPr>
            </w:pPr>
            <w:r>
              <w:rPr>
                <w:b/>
                <w:bCs/>
                <w:color w:val="auto"/>
              </w:rPr>
              <w:t>三、施工期噪声保护措施</w:t>
            </w:r>
          </w:p>
          <w:p w14:paraId="153BE843">
            <w:pPr>
              <w:pStyle w:val="111"/>
              <w:rPr>
                <w:rFonts w:hint="default"/>
                <w:color w:val="auto"/>
              </w:rPr>
            </w:pPr>
            <w:r>
              <w:rPr>
                <w:color w:val="auto"/>
              </w:rPr>
              <w:t>根据类比调查，施工阶段主要噪声设备主要为电锯和电钻等施工设备对环境的影响，环评要求建设单位合理安排施工进度和作业时间，对电锯和电钻噪声设备应采取相应的限时作业；合理安排电锯和电钻的安放位置，并采取基础减振以减小对周围居民的影响。</w:t>
            </w:r>
          </w:p>
          <w:p w14:paraId="364A1447">
            <w:pPr>
              <w:pStyle w:val="111"/>
              <w:ind w:firstLine="482"/>
              <w:rPr>
                <w:rFonts w:hint="default"/>
                <w:b/>
                <w:bCs/>
                <w:color w:val="auto"/>
              </w:rPr>
            </w:pPr>
            <w:r>
              <w:rPr>
                <w:b/>
                <w:bCs/>
                <w:color w:val="auto"/>
              </w:rPr>
              <w:t>四、施工期固体废物保护措施</w:t>
            </w:r>
          </w:p>
          <w:p w14:paraId="52F8BBA3">
            <w:pPr>
              <w:pStyle w:val="111"/>
              <w:rPr>
                <w:rFonts w:hint="default"/>
                <w:color w:val="auto"/>
              </w:rPr>
            </w:pPr>
            <w:r>
              <w:rPr>
                <w:color w:val="auto"/>
              </w:rPr>
              <w:t>项目施工过程中产生的固体废物主要为施工材料切割废料、施工人员的生活垃圾，其中施工期生活垃圾委托园区环卫部门统一清运，施工材料切割废料、废包装等施工固废外售综合利用。在对施工期固体废物妥善处置的前提下，对周围环境的影响较小</w:t>
            </w:r>
          </w:p>
        </w:tc>
      </w:tr>
      <w:tr w14:paraId="599A8F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4" w:hRule="atLeast"/>
          <w:jc w:val="center"/>
        </w:trPr>
        <w:tc>
          <w:tcPr>
            <w:tcW w:w="856" w:type="dxa"/>
            <w:tcMar>
              <w:left w:w="28" w:type="dxa"/>
              <w:right w:w="28" w:type="dxa"/>
            </w:tcMar>
            <w:vAlign w:val="center"/>
          </w:tcPr>
          <w:p w14:paraId="4DF617D1">
            <w:pPr>
              <w:wordWrap w:val="0"/>
              <w:adjustRightInd w:val="0"/>
              <w:snapToGrid w:val="0"/>
              <w:spacing w:line="360" w:lineRule="auto"/>
              <w:jc w:val="center"/>
              <w:rPr>
                <w:rFonts w:cs="宋体"/>
                <w:b/>
                <w:bCs/>
                <w:sz w:val="24"/>
              </w:rPr>
            </w:pPr>
            <w:r>
              <w:rPr>
                <w:rFonts w:hint="eastAsia" w:cs="宋体"/>
                <w:b/>
                <w:bCs/>
                <w:sz w:val="24"/>
              </w:rPr>
              <w:t>运营</w:t>
            </w:r>
          </w:p>
          <w:p w14:paraId="74FC838A">
            <w:pPr>
              <w:wordWrap w:val="0"/>
              <w:adjustRightInd w:val="0"/>
              <w:snapToGrid w:val="0"/>
              <w:spacing w:line="360" w:lineRule="auto"/>
              <w:jc w:val="center"/>
              <w:rPr>
                <w:rFonts w:cs="宋体"/>
                <w:b/>
                <w:bCs/>
                <w:sz w:val="24"/>
              </w:rPr>
            </w:pPr>
            <w:r>
              <w:rPr>
                <w:rFonts w:hint="eastAsia" w:cs="宋体"/>
                <w:b/>
                <w:bCs/>
                <w:sz w:val="24"/>
              </w:rPr>
              <w:t>期环</w:t>
            </w:r>
          </w:p>
          <w:p w14:paraId="164F4470">
            <w:pPr>
              <w:wordWrap w:val="0"/>
              <w:adjustRightInd w:val="0"/>
              <w:snapToGrid w:val="0"/>
              <w:spacing w:line="360" w:lineRule="auto"/>
              <w:jc w:val="center"/>
              <w:rPr>
                <w:rFonts w:cs="宋体"/>
                <w:b/>
                <w:bCs/>
                <w:sz w:val="24"/>
              </w:rPr>
            </w:pPr>
            <w:r>
              <w:rPr>
                <w:rFonts w:hint="eastAsia" w:cs="宋体"/>
                <w:b/>
                <w:bCs/>
                <w:sz w:val="24"/>
              </w:rPr>
              <w:t>境影</w:t>
            </w:r>
          </w:p>
          <w:p w14:paraId="7A01478A">
            <w:pPr>
              <w:wordWrap w:val="0"/>
              <w:adjustRightInd w:val="0"/>
              <w:snapToGrid w:val="0"/>
              <w:spacing w:line="360" w:lineRule="auto"/>
              <w:jc w:val="center"/>
              <w:rPr>
                <w:rFonts w:cs="宋体"/>
                <w:b/>
                <w:bCs/>
                <w:sz w:val="24"/>
              </w:rPr>
            </w:pPr>
            <w:r>
              <w:rPr>
                <w:rFonts w:hint="eastAsia" w:cs="宋体"/>
                <w:b/>
                <w:bCs/>
                <w:sz w:val="24"/>
              </w:rPr>
              <w:t>响和</w:t>
            </w:r>
          </w:p>
          <w:p w14:paraId="1E226495">
            <w:pPr>
              <w:wordWrap w:val="0"/>
              <w:adjustRightInd w:val="0"/>
              <w:snapToGrid w:val="0"/>
              <w:spacing w:line="360" w:lineRule="auto"/>
              <w:jc w:val="center"/>
              <w:rPr>
                <w:rFonts w:cs="宋体"/>
                <w:b/>
                <w:bCs/>
                <w:sz w:val="24"/>
              </w:rPr>
            </w:pPr>
            <w:r>
              <w:rPr>
                <w:rFonts w:hint="eastAsia" w:cs="宋体"/>
                <w:b/>
                <w:bCs/>
                <w:sz w:val="24"/>
              </w:rPr>
              <w:t>保护</w:t>
            </w:r>
          </w:p>
          <w:p w14:paraId="28796DE4">
            <w:pPr>
              <w:pStyle w:val="31"/>
              <w:wordWrap w:val="0"/>
              <w:adjustRightInd w:val="0"/>
              <w:snapToGrid w:val="0"/>
              <w:spacing w:before="0" w:beforeAutospacing="0" w:after="0" w:afterAutospacing="0" w:line="360" w:lineRule="auto"/>
              <w:jc w:val="center"/>
              <w:rPr>
                <w:rFonts w:ascii="Times New Roman" w:hAnsi="Times New Roman" w:cs="宋体"/>
                <w:b/>
                <w:bCs/>
                <w:kern w:val="2"/>
                <w:szCs w:val="24"/>
              </w:rPr>
            </w:pPr>
            <w:r>
              <w:rPr>
                <w:rFonts w:hint="eastAsia" w:ascii="Times New Roman" w:hAnsi="Times New Roman" w:cs="宋体"/>
                <w:b/>
                <w:bCs/>
                <w:szCs w:val="24"/>
              </w:rPr>
              <w:t>措施</w:t>
            </w:r>
          </w:p>
        </w:tc>
        <w:tc>
          <w:tcPr>
            <w:tcW w:w="9432" w:type="dxa"/>
            <w:vAlign w:val="center"/>
          </w:tcPr>
          <w:p w14:paraId="55797B6D">
            <w:pPr>
              <w:pStyle w:val="111"/>
              <w:numPr>
                <w:ilvl w:val="0"/>
                <w:numId w:val="23"/>
              </w:numPr>
              <w:ind w:firstLine="482"/>
              <w:rPr>
                <w:rFonts w:hint="default"/>
                <w:b/>
                <w:bCs/>
                <w:color w:val="auto"/>
              </w:rPr>
            </w:pPr>
            <w:r>
              <w:rPr>
                <w:b/>
                <w:bCs/>
                <w:color w:val="auto"/>
              </w:rPr>
              <w:t>废气</w:t>
            </w:r>
          </w:p>
          <w:p w14:paraId="3080D5E5">
            <w:pPr>
              <w:pStyle w:val="111"/>
              <w:numPr>
                <w:ilvl w:val="0"/>
                <w:numId w:val="24"/>
              </w:numPr>
              <w:wordWrap w:val="0"/>
              <w:ind w:firstLine="482"/>
              <w:rPr>
                <w:rFonts w:hint="default"/>
                <w:color w:val="auto"/>
              </w:rPr>
            </w:pPr>
            <w:r>
              <w:rPr>
                <w:b/>
                <w:bCs/>
                <w:color w:val="auto"/>
              </w:rPr>
              <w:t>本项目废气污染物产排核算汇总</w:t>
            </w:r>
          </w:p>
        </w:tc>
      </w:tr>
    </w:tbl>
    <w:p w14:paraId="1970BB47">
      <w:pPr>
        <w:wordWrap w:val="0"/>
        <w:adjustRightInd w:val="0"/>
        <w:snapToGrid w:val="0"/>
        <w:spacing w:line="360" w:lineRule="auto"/>
        <w:rPr>
          <w:rFonts w:cs="宋体"/>
          <w:b/>
          <w:kern w:val="0"/>
          <w:sz w:val="28"/>
          <w:szCs w:val="28"/>
        </w:rPr>
        <w:sectPr>
          <w:pgSz w:w="11907" w:h="16840"/>
          <w:pgMar w:top="1440" w:right="1080" w:bottom="1440" w:left="1080" w:header="851" w:footer="851" w:gutter="0"/>
          <w:cols w:space="720" w:num="1"/>
          <w:docGrid w:linePitch="312" w:charSpace="0"/>
        </w:sectPr>
      </w:pPr>
    </w:p>
    <w:p w14:paraId="14CD5CAD">
      <w:pPr>
        <w:pStyle w:val="57"/>
        <w:rPr>
          <w:lang w:val="en-US"/>
        </w:rPr>
      </w:pPr>
      <w:r>
        <w:rPr>
          <w:rFonts w:hint="eastAsia"/>
          <w:lang w:val="en-US"/>
        </w:rPr>
        <w:t>表4-1项目废气污染物产排核算汇总</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913"/>
        <w:gridCol w:w="568"/>
        <w:gridCol w:w="809"/>
        <w:gridCol w:w="1007"/>
        <w:gridCol w:w="841"/>
        <w:gridCol w:w="1004"/>
        <w:gridCol w:w="873"/>
        <w:gridCol w:w="681"/>
        <w:gridCol w:w="681"/>
        <w:gridCol w:w="681"/>
        <w:gridCol w:w="681"/>
        <w:gridCol w:w="1255"/>
        <w:gridCol w:w="841"/>
        <w:gridCol w:w="958"/>
        <w:gridCol w:w="930"/>
        <w:gridCol w:w="681"/>
        <w:gridCol w:w="713"/>
        <w:gridCol w:w="691"/>
      </w:tblGrid>
      <w:tr w14:paraId="2F816E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restart"/>
            <w:shd w:val="clear" w:color="auto" w:fill="auto"/>
            <w:vAlign w:val="center"/>
          </w:tcPr>
          <w:p w14:paraId="25691012">
            <w:pPr>
              <w:pStyle w:val="57"/>
            </w:pPr>
            <w:r>
              <w:rPr>
                <w:rFonts w:hint="eastAsia"/>
                <w:lang w:val="en-US"/>
              </w:rPr>
              <w:t>产排污环节</w:t>
            </w:r>
          </w:p>
        </w:tc>
        <w:tc>
          <w:tcPr>
            <w:tcW w:w="913" w:type="dxa"/>
            <w:vMerge w:val="restart"/>
            <w:shd w:val="clear" w:color="auto" w:fill="auto"/>
            <w:vAlign w:val="center"/>
          </w:tcPr>
          <w:p w14:paraId="4A9A575C">
            <w:pPr>
              <w:pStyle w:val="57"/>
            </w:pPr>
            <w:r>
              <w:rPr>
                <w:rFonts w:hint="eastAsia"/>
                <w:lang w:val="en-US"/>
              </w:rPr>
              <w:t>污染物种类</w:t>
            </w:r>
          </w:p>
        </w:tc>
        <w:tc>
          <w:tcPr>
            <w:tcW w:w="568" w:type="dxa"/>
            <w:vMerge w:val="restart"/>
            <w:shd w:val="clear" w:color="auto" w:fill="auto"/>
            <w:vAlign w:val="center"/>
          </w:tcPr>
          <w:p w14:paraId="1E162F94">
            <w:pPr>
              <w:pStyle w:val="57"/>
            </w:pPr>
            <w:r>
              <w:rPr>
                <w:rFonts w:hint="eastAsia"/>
                <w:lang w:val="en-US"/>
              </w:rPr>
              <w:t>排放形式</w:t>
            </w:r>
          </w:p>
        </w:tc>
        <w:tc>
          <w:tcPr>
            <w:tcW w:w="809" w:type="dxa"/>
            <w:vMerge w:val="restart"/>
            <w:shd w:val="clear" w:color="auto" w:fill="auto"/>
            <w:vAlign w:val="center"/>
          </w:tcPr>
          <w:p w14:paraId="542BFB5C">
            <w:pPr>
              <w:pStyle w:val="57"/>
            </w:pPr>
            <w:r>
              <w:rPr>
                <w:rFonts w:hint="eastAsia"/>
                <w:lang w:val="en-US"/>
              </w:rPr>
              <w:t>排放时间</w:t>
            </w:r>
            <w:r>
              <w:rPr>
                <w:lang w:val="en-US"/>
              </w:rPr>
              <w:t>h/a</w:t>
            </w:r>
          </w:p>
        </w:tc>
        <w:tc>
          <w:tcPr>
            <w:tcW w:w="2852" w:type="dxa"/>
            <w:gridSpan w:val="3"/>
            <w:shd w:val="clear" w:color="auto" w:fill="auto"/>
            <w:vAlign w:val="center"/>
          </w:tcPr>
          <w:p w14:paraId="3656D3E9">
            <w:pPr>
              <w:pStyle w:val="57"/>
            </w:pPr>
            <w:r>
              <w:rPr>
                <w:rFonts w:hint="eastAsia"/>
                <w:lang w:val="en-US"/>
              </w:rPr>
              <w:t>污染物产生量和浓度</w:t>
            </w:r>
          </w:p>
        </w:tc>
        <w:tc>
          <w:tcPr>
            <w:tcW w:w="3597" w:type="dxa"/>
            <w:gridSpan w:val="5"/>
            <w:shd w:val="clear" w:color="auto" w:fill="auto"/>
            <w:vAlign w:val="center"/>
          </w:tcPr>
          <w:p w14:paraId="3C0C632B">
            <w:pPr>
              <w:pStyle w:val="57"/>
            </w:pPr>
            <w:r>
              <w:rPr>
                <w:rFonts w:hint="eastAsia"/>
                <w:lang w:val="en-US"/>
              </w:rPr>
              <w:t>污染治理设施</w:t>
            </w:r>
          </w:p>
        </w:tc>
        <w:tc>
          <w:tcPr>
            <w:tcW w:w="3054" w:type="dxa"/>
            <w:gridSpan w:val="3"/>
            <w:shd w:val="clear" w:color="auto" w:fill="auto"/>
            <w:vAlign w:val="center"/>
          </w:tcPr>
          <w:p w14:paraId="42453413">
            <w:pPr>
              <w:pStyle w:val="57"/>
            </w:pPr>
            <w:r>
              <w:rPr>
                <w:rFonts w:hint="eastAsia"/>
                <w:lang w:val="en-US"/>
              </w:rPr>
              <w:t>污染物排放量和浓度</w:t>
            </w:r>
          </w:p>
        </w:tc>
        <w:tc>
          <w:tcPr>
            <w:tcW w:w="3015" w:type="dxa"/>
            <w:gridSpan w:val="4"/>
            <w:shd w:val="clear" w:color="auto" w:fill="auto"/>
            <w:vAlign w:val="center"/>
          </w:tcPr>
          <w:p w14:paraId="73EB935E">
            <w:pPr>
              <w:pStyle w:val="57"/>
            </w:pPr>
            <w:r>
              <w:rPr>
                <w:rFonts w:hint="eastAsia"/>
                <w:lang w:val="en-US"/>
              </w:rPr>
              <w:t>排放口基本情况</w:t>
            </w:r>
          </w:p>
        </w:tc>
      </w:tr>
      <w:tr w14:paraId="62C055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continue"/>
            <w:shd w:val="clear" w:color="auto" w:fill="auto"/>
            <w:vAlign w:val="center"/>
          </w:tcPr>
          <w:p w14:paraId="1379910D">
            <w:pPr>
              <w:pStyle w:val="57"/>
            </w:pPr>
          </w:p>
        </w:tc>
        <w:tc>
          <w:tcPr>
            <w:tcW w:w="913" w:type="dxa"/>
            <w:vMerge w:val="continue"/>
            <w:shd w:val="clear" w:color="auto" w:fill="auto"/>
            <w:vAlign w:val="center"/>
          </w:tcPr>
          <w:p w14:paraId="39BE640F">
            <w:pPr>
              <w:pStyle w:val="57"/>
            </w:pPr>
          </w:p>
        </w:tc>
        <w:tc>
          <w:tcPr>
            <w:tcW w:w="568" w:type="dxa"/>
            <w:vMerge w:val="continue"/>
            <w:shd w:val="clear" w:color="auto" w:fill="auto"/>
            <w:vAlign w:val="center"/>
          </w:tcPr>
          <w:p w14:paraId="5811601A">
            <w:pPr>
              <w:pStyle w:val="57"/>
            </w:pPr>
          </w:p>
        </w:tc>
        <w:tc>
          <w:tcPr>
            <w:tcW w:w="809" w:type="dxa"/>
            <w:vMerge w:val="continue"/>
            <w:shd w:val="clear" w:color="auto" w:fill="auto"/>
            <w:vAlign w:val="center"/>
          </w:tcPr>
          <w:p w14:paraId="2DA09851">
            <w:pPr>
              <w:pStyle w:val="57"/>
            </w:pPr>
          </w:p>
        </w:tc>
        <w:tc>
          <w:tcPr>
            <w:tcW w:w="1007" w:type="dxa"/>
            <w:vMerge w:val="restart"/>
            <w:shd w:val="clear" w:color="auto" w:fill="auto"/>
            <w:vAlign w:val="center"/>
          </w:tcPr>
          <w:p w14:paraId="05003139">
            <w:pPr>
              <w:pStyle w:val="57"/>
            </w:pPr>
            <w:r>
              <w:rPr>
                <w:rFonts w:hint="eastAsia"/>
                <w:lang w:val="en-US"/>
              </w:rPr>
              <w:t>产生浓度</w:t>
            </w:r>
            <w:r>
              <w:rPr>
                <w:lang w:val="en-US"/>
              </w:rPr>
              <w:t>mg/m</w:t>
            </w:r>
            <w:r>
              <w:rPr>
                <w:vertAlign w:val="superscript"/>
                <w:lang w:val="en-US"/>
              </w:rPr>
              <w:t>3</w:t>
            </w:r>
          </w:p>
        </w:tc>
        <w:tc>
          <w:tcPr>
            <w:tcW w:w="1845" w:type="dxa"/>
            <w:gridSpan w:val="2"/>
            <w:shd w:val="clear" w:color="auto" w:fill="auto"/>
            <w:vAlign w:val="center"/>
          </w:tcPr>
          <w:p w14:paraId="736D0A5B">
            <w:pPr>
              <w:pStyle w:val="57"/>
            </w:pPr>
            <w:r>
              <w:rPr>
                <w:rFonts w:hint="eastAsia"/>
                <w:lang w:val="en-US"/>
              </w:rPr>
              <w:t>产生量</w:t>
            </w:r>
          </w:p>
        </w:tc>
        <w:tc>
          <w:tcPr>
            <w:tcW w:w="873" w:type="dxa"/>
            <w:shd w:val="clear" w:color="auto" w:fill="auto"/>
            <w:vAlign w:val="center"/>
          </w:tcPr>
          <w:p w14:paraId="39333D2B">
            <w:pPr>
              <w:pStyle w:val="57"/>
            </w:pPr>
            <w:r>
              <w:rPr>
                <w:rFonts w:hint="eastAsia"/>
                <w:lang w:val="en-US"/>
              </w:rPr>
              <w:t>处理能力</w:t>
            </w:r>
          </w:p>
        </w:tc>
        <w:tc>
          <w:tcPr>
            <w:tcW w:w="681" w:type="dxa"/>
            <w:shd w:val="clear" w:color="auto" w:fill="auto"/>
            <w:vAlign w:val="center"/>
          </w:tcPr>
          <w:p w14:paraId="7DBE7B0D">
            <w:pPr>
              <w:pStyle w:val="57"/>
            </w:pPr>
            <w:r>
              <w:rPr>
                <w:rFonts w:hint="eastAsia"/>
                <w:lang w:val="en-US"/>
              </w:rPr>
              <w:t>收集效率</w:t>
            </w:r>
          </w:p>
        </w:tc>
        <w:tc>
          <w:tcPr>
            <w:tcW w:w="681" w:type="dxa"/>
            <w:shd w:val="clear" w:color="auto" w:fill="auto"/>
            <w:vAlign w:val="center"/>
          </w:tcPr>
          <w:p w14:paraId="0F839929">
            <w:pPr>
              <w:pStyle w:val="57"/>
            </w:pPr>
            <w:r>
              <w:rPr>
                <w:rFonts w:hint="eastAsia"/>
                <w:lang w:val="en-US"/>
              </w:rPr>
              <w:t>去除效率</w:t>
            </w:r>
          </w:p>
        </w:tc>
        <w:tc>
          <w:tcPr>
            <w:tcW w:w="681" w:type="dxa"/>
            <w:vMerge w:val="restart"/>
            <w:shd w:val="clear" w:color="auto" w:fill="auto"/>
            <w:vAlign w:val="center"/>
          </w:tcPr>
          <w:p w14:paraId="4697820D">
            <w:pPr>
              <w:pStyle w:val="57"/>
            </w:pPr>
            <w:r>
              <w:rPr>
                <w:rFonts w:hint="eastAsia"/>
                <w:lang w:val="en-US"/>
              </w:rPr>
              <w:t>处理工艺</w:t>
            </w:r>
          </w:p>
        </w:tc>
        <w:tc>
          <w:tcPr>
            <w:tcW w:w="681" w:type="dxa"/>
            <w:vMerge w:val="restart"/>
            <w:shd w:val="clear" w:color="auto" w:fill="auto"/>
            <w:vAlign w:val="center"/>
          </w:tcPr>
          <w:p w14:paraId="3D65037D">
            <w:pPr>
              <w:pStyle w:val="57"/>
            </w:pPr>
            <w:r>
              <w:rPr>
                <w:rFonts w:hint="eastAsia"/>
                <w:lang w:val="en-US"/>
              </w:rPr>
              <w:t>是否可行技术</w:t>
            </w:r>
          </w:p>
        </w:tc>
        <w:tc>
          <w:tcPr>
            <w:tcW w:w="1255" w:type="dxa"/>
            <w:shd w:val="clear" w:color="auto" w:fill="auto"/>
            <w:vAlign w:val="center"/>
          </w:tcPr>
          <w:p w14:paraId="6743B949">
            <w:pPr>
              <w:pStyle w:val="57"/>
            </w:pPr>
            <w:r>
              <w:rPr>
                <w:rFonts w:hint="eastAsia"/>
                <w:lang w:val="en-US"/>
              </w:rPr>
              <w:t>排放</w:t>
            </w:r>
          </w:p>
        </w:tc>
        <w:tc>
          <w:tcPr>
            <w:tcW w:w="1799" w:type="dxa"/>
            <w:gridSpan w:val="2"/>
            <w:shd w:val="clear" w:color="auto" w:fill="auto"/>
            <w:vAlign w:val="center"/>
          </w:tcPr>
          <w:p w14:paraId="2C280E6C">
            <w:pPr>
              <w:pStyle w:val="57"/>
            </w:pPr>
            <w:r>
              <w:rPr>
                <w:rFonts w:hint="eastAsia"/>
                <w:lang w:val="en-US"/>
              </w:rPr>
              <w:t>排放量</w:t>
            </w:r>
          </w:p>
        </w:tc>
        <w:tc>
          <w:tcPr>
            <w:tcW w:w="930" w:type="dxa"/>
            <w:shd w:val="clear" w:color="auto" w:fill="auto"/>
            <w:vAlign w:val="center"/>
          </w:tcPr>
          <w:p w14:paraId="17BE041A">
            <w:pPr>
              <w:pStyle w:val="57"/>
            </w:pPr>
            <w:r>
              <w:rPr>
                <w:rFonts w:hint="eastAsia"/>
                <w:lang w:val="en-US"/>
              </w:rPr>
              <w:t>编号</w:t>
            </w:r>
          </w:p>
        </w:tc>
        <w:tc>
          <w:tcPr>
            <w:tcW w:w="681" w:type="dxa"/>
            <w:shd w:val="clear" w:color="auto" w:fill="auto"/>
            <w:vAlign w:val="center"/>
          </w:tcPr>
          <w:p w14:paraId="6FB01C21">
            <w:pPr>
              <w:pStyle w:val="57"/>
            </w:pPr>
            <w:r>
              <w:rPr>
                <w:rFonts w:hint="eastAsia"/>
                <w:lang w:val="en-US"/>
              </w:rPr>
              <w:t>高度</w:t>
            </w:r>
          </w:p>
        </w:tc>
        <w:tc>
          <w:tcPr>
            <w:tcW w:w="713" w:type="dxa"/>
            <w:shd w:val="clear" w:color="auto" w:fill="auto"/>
            <w:vAlign w:val="center"/>
          </w:tcPr>
          <w:p w14:paraId="52341127">
            <w:pPr>
              <w:pStyle w:val="57"/>
            </w:pPr>
            <w:r>
              <w:rPr>
                <w:rFonts w:hint="eastAsia"/>
                <w:lang w:val="en-US"/>
              </w:rPr>
              <w:t>内径</w:t>
            </w:r>
          </w:p>
        </w:tc>
        <w:tc>
          <w:tcPr>
            <w:tcW w:w="691" w:type="dxa"/>
            <w:shd w:val="clear" w:color="auto" w:fill="auto"/>
            <w:vAlign w:val="center"/>
          </w:tcPr>
          <w:p w14:paraId="3282E60D">
            <w:pPr>
              <w:pStyle w:val="57"/>
            </w:pPr>
            <w:r>
              <w:rPr>
                <w:rFonts w:hint="eastAsia"/>
                <w:lang w:val="en-US"/>
              </w:rPr>
              <w:t>温度</w:t>
            </w:r>
          </w:p>
        </w:tc>
      </w:tr>
      <w:tr w14:paraId="08F64C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08" w:type="dxa"/>
            <w:vMerge w:val="continue"/>
            <w:shd w:val="clear" w:color="auto" w:fill="auto"/>
            <w:vAlign w:val="center"/>
          </w:tcPr>
          <w:p w14:paraId="0793012C">
            <w:pPr>
              <w:pStyle w:val="57"/>
            </w:pPr>
          </w:p>
        </w:tc>
        <w:tc>
          <w:tcPr>
            <w:tcW w:w="913" w:type="dxa"/>
            <w:vMerge w:val="continue"/>
            <w:shd w:val="clear" w:color="auto" w:fill="auto"/>
            <w:vAlign w:val="center"/>
          </w:tcPr>
          <w:p w14:paraId="2DA099B3">
            <w:pPr>
              <w:pStyle w:val="57"/>
            </w:pPr>
          </w:p>
        </w:tc>
        <w:tc>
          <w:tcPr>
            <w:tcW w:w="568" w:type="dxa"/>
            <w:vMerge w:val="continue"/>
            <w:shd w:val="clear" w:color="auto" w:fill="auto"/>
            <w:vAlign w:val="center"/>
          </w:tcPr>
          <w:p w14:paraId="05354205">
            <w:pPr>
              <w:pStyle w:val="57"/>
            </w:pPr>
          </w:p>
        </w:tc>
        <w:tc>
          <w:tcPr>
            <w:tcW w:w="809" w:type="dxa"/>
            <w:vMerge w:val="continue"/>
            <w:shd w:val="clear" w:color="auto" w:fill="auto"/>
            <w:vAlign w:val="center"/>
          </w:tcPr>
          <w:p w14:paraId="6732730F">
            <w:pPr>
              <w:pStyle w:val="57"/>
            </w:pPr>
          </w:p>
        </w:tc>
        <w:tc>
          <w:tcPr>
            <w:tcW w:w="1007" w:type="dxa"/>
            <w:vMerge w:val="continue"/>
            <w:shd w:val="clear" w:color="auto" w:fill="auto"/>
            <w:vAlign w:val="center"/>
          </w:tcPr>
          <w:p w14:paraId="1574FDF6">
            <w:pPr>
              <w:pStyle w:val="57"/>
            </w:pPr>
          </w:p>
        </w:tc>
        <w:tc>
          <w:tcPr>
            <w:tcW w:w="841" w:type="dxa"/>
            <w:shd w:val="clear" w:color="auto" w:fill="auto"/>
            <w:vAlign w:val="center"/>
          </w:tcPr>
          <w:p w14:paraId="443F9557">
            <w:pPr>
              <w:pStyle w:val="57"/>
            </w:pPr>
            <w:r>
              <w:rPr>
                <w:lang w:val="en-US"/>
              </w:rPr>
              <w:t>t/a</w:t>
            </w:r>
          </w:p>
        </w:tc>
        <w:tc>
          <w:tcPr>
            <w:tcW w:w="1004" w:type="dxa"/>
            <w:shd w:val="clear" w:color="auto" w:fill="auto"/>
            <w:vAlign w:val="center"/>
          </w:tcPr>
          <w:p w14:paraId="565115AD">
            <w:pPr>
              <w:pStyle w:val="57"/>
            </w:pPr>
            <w:r>
              <w:rPr>
                <w:lang w:val="en-US"/>
              </w:rPr>
              <w:t>kg/h</w:t>
            </w:r>
          </w:p>
        </w:tc>
        <w:tc>
          <w:tcPr>
            <w:tcW w:w="873" w:type="dxa"/>
            <w:shd w:val="clear" w:color="auto" w:fill="auto"/>
            <w:vAlign w:val="center"/>
          </w:tcPr>
          <w:p w14:paraId="7FB97D56">
            <w:pPr>
              <w:pStyle w:val="57"/>
            </w:pPr>
            <w:r>
              <w:rPr>
                <w:lang w:val="en-US"/>
              </w:rPr>
              <w:t>m</w:t>
            </w:r>
            <w:r>
              <w:rPr>
                <w:vertAlign w:val="superscript"/>
                <w:lang w:val="en-US"/>
              </w:rPr>
              <w:t>3</w:t>
            </w:r>
            <w:r>
              <w:rPr>
                <w:lang w:val="en-US"/>
              </w:rPr>
              <w:t>/h</w:t>
            </w:r>
          </w:p>
        </w:tc>
        <w:tc>
          <w:tcPr>
            <w:tcW w:w="681" w:type="dxa"/>
            <w:shd w:val="clear" w:color="auto" w:fill="auto"/>
            <w:vAlign w:val="center"/>
          </w:tcPr>
          <w:p w14:paraId="0A0A573D">
            <w:pPr>
              <w:pStyle w:val="57"/>
            </w:pPr>
            <w:r>
              <w:rPr>
                <w:lang w:val="en-US"/>
              </w:rPr>
              <w:t>%</w:t>
            </w:r>
          </w:p>
        </w:tc>
        <w:tc>
          <w:tcPr>
            <w:tcW w:w="681" w:type="dxa"/>
            <w:shd w:val="clear" w:color="auto" w:fill="auto"/>
            <w:vAlign w:val="center"/>
          </w:tcPr>
          <w:p w14:paraId="49C1708A">
            <w:pPr>
              <w:pStyle w:val="57"/>
            </w:pPr>
            <w:r>
              <w:rPr>
                <w:lang w:val="en-US"/>
              </w:rPr>
              <w:t>%</w:t>
            </w:r>
          </w:p>
        </w:tc>
        <w:tc>
          <w:tcPr>
            <w:tcW w:w="681" w:type="dxa"/>
            <w:vMerge w:val="continue"/>
            <w:shd w:val="clear" w:color="auto" w:fill="auto"/>
            <w:vAlign w:val="center"/>
          </w:tcPr>
          <w:p w14:paraId="1D072C83">
            <w:pPr>
              <w:pStyle w:val="57"/>
            </w:pPr>
          </w:p>
        </w:tc>
        <w:tc>
          <w:tcPr>
            <w:tcW w:w="681" w:type="dxa"/>
            <w:vMerge w:val="continue"/>
            <w:shd w:val="clear" w:color="auto" w:fill="auto"/>
            <w:vAlign w:val="center"/>
          </w:tcPr>
          <w:p w14:paraId="374350EB">
            <w:pPr>
              <w:pStyle w:val="57"/>
            </w:pPr>
          </w:p>
        </w:tc>
        <w:tc>
          <w:tcPr>
            <w:tcW w:w="1255" w:type="dxa"/>
            <w:shd w:val="clear" w:color="auto" w:fill="auto"/>
            <w:vAlign w:val="center"/>
          </w:tcPr>
          <w:p w14:paraId="2C840B1C">
            <w:pPr>
              <w:pStyle w:val="57"/>
            </w:pPr>
            <w:r>
              <w:rPr>
                <w:rFonts w:hint="eastAsia"/>
                <w:lang w:val="en-US"/>
              </w:rPr>
              <w:t>浓度</w:t>
            </w:r>
            <w:r>
              <w:rPr>
                <w:lang w:val="en-US"/>
              </w:rPr>
              <w:t>mg/m</w:t>
            </w:r>
            <w:r>
              <w:rPr>
                <w:vertAlign w:val="superscript"/>
                <w:lang w:val="en-US"/>
              </w:rPr>
              <w:t>3</w:t>
            </w:r>
          </w:p>
        </w:tc>
        <w:tc>
          <w:tcPr>
            <w:tcW w:w="841" w:type="dxa"/>
            <w:shd w:val="clear" w:color="auto" w:fill="auto"/>
            <w:vAlign w:val="center"/>
          </w:tcPr>
          <w:p w14:paraId="60AAEC70">
            <w:pPr>
              <w:pStyle w:val="57"/>
            </w:pPr>
            <w:r>
              <w:rPr>
                <w:lang w:val="en-US"/>
              </w:rPr>
              <w:t>t/a</w:t>
            </w:r>
          </w:p>
        </w:tc>
        <w:tc>
          <w:tcPr>
            <w:tcW w:w="958" w:type="dxa"/>
            <w:shd w:val="clear" w:color="auto" w:fill="auto"/>
            <w:vAlign w:val="center"/>
          </w:tcPr>
          <w:p w14:paraId="183D7888">
            <w:pPr>
              <w:pStyle w:val="57"/>
            </w:pPr>
            <w:r>
              <w:rPr>
                <w:lang w:val="en-US"/>
              </w:rPr>
              <w:t>kg/h</w:t>
            </w:r>
          </w:p>
        </w:tc>
        <w:tc>
          <w:tcPr>
            <w:tcW w:w="930" w:type="dxa"/>
            <w:shd w:val="clear" w:color="auto" w:fill="auto"/>
            <w:vAlign w:val="center"/>
          </w:tcPr>
          <w:p w14:paraId="0945A5D8">
            <w:pPr>
              <w:pStyle w:val="57"/>
            </w:pPr>
            <w:r>
              <w:rPr>
                <w:lang w:val="en-US"/>
              </w:rPr>
              <w:t>/</w:t>
            </w:r>
          </w:p>
        </w:tc>
        <w:tc>
          <w:tcPr>
            <w:tcW w:w="681" w:type="dxa"/>
            <w:shd w:val="clear" w:color="auto" w:fill="auto"/>
            <w:vAlign w:val="center"/>
          </w:tcPr>
          <w:p w14:paraId="4FF7F7EE">
            <w:pPr>
              <w:pStyle w:val="57"/>
            </w:pPr>
            <w:r>
              <w:rPr>
                <w:lang w:val="en-US"/>
              </w:rPr>
              <w:t>m</w:t>
            </w:r>
          </w:p>
        </w:tc>
        <w:tc>
          <w:tcPr>
            <w:tcW w:w="713" w:type="dxa"/>
            <w:shd w:val="clear" w:color="auto" w:fill="auto"/>
            <w:vAlign w:val="center"/>
          </w:tcPr>
          <w:p w14:paraId="76EF4298">
            <w:pPr>
              <w:pStyle w:val="57"/>
            </w:pPr>
            <w:r>
              <w:rPr>
                <w:lang w:val="en-US"/>
              </w:rPr>
              <w:t>m</w:t>
            </w:r>
          </w:p>
        </w:tc>
        <w:tc>
          <w:tcPr>
            <w:tcW w:w="691" w:type="dxa"/>
            <w:shd w:val="clear" w:color="auto" w:fill="auto"/>
            <w:vAlign w:val="center"/>
          </w:tcPr>
          <w:p w14:paraId="53DAB8F4">
            <w:pPr>
              <w:pStyle w:val="57"/>
            </w:pPr>
            <w:r>
              <w:rPr>
                <w:lang w:val="en-US"/>
              </w:rPr>
              <w:t>℃</w:t>
            </w:r>
          </w:p>
        </w:tc>
      </w:tr>
      <w:tr w14:paraId="477815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restart"/>
            <w:shd w:val="clear" w:color="auto" w:fill="auto"/>
            <w:vAlign w:val="center"/>
          </w:tcPr>
          <w:p w14:paraId="6BE828C4">
            <w:pPr>
              <w:pStyle w:val="57"/>
              <w:rPr>
                <w:b w:val="0"/>
                <w:bCs/>
              </w:rPr>
            </w:pPr>
            <w:r>
              <w:rPr>
                <w:rFonts w:hint="eastAsia"/>
                <w:b w:val="0"/>
                <w:bCs/>
                <w:lang w:val="en-US"/>
              </w:rPr>
              <w:t>电解清洗、“钨回收系统”蒸发干化</w:t>
            </w:r>
          </w:p>
        </w:tc>
        <w:tc>
          <w:tcPr>
            <w:tcW w:w="913" w:type="dxa"/>
            <w:vMerge w:val="restart"/>
            <w:shd w:val="clear" w:color="auto" w:fill="auto"/>
            <w:vAlign w:val="center"/>
          </w:tcPr>
          <w:p w14:paraId="4470CF94">
            <w:pPr>
              <w:pStyle w:val="57"/>
              <w:rPr>
                <w:b w:val="0"/>
                <w:bCs/>
              </w:rPr>
            </w:pPr>
            <w:r>
              <w:rPr>
                <w:rFonts w:hint="eastAsia"/>
                <w:b w:val="0"/>
                <w:bCs/>
                <w:lang w:val="en-US"/>
              </w:rPr>
              <w:t>碱雾</w:t>
            </w:r>
          </w:p>
        </w:tc>
        <w:tc>
          <w:tcPr>
            <w:tcW w:w="568" w:type="dxa"/>
            <w:shd w:val="clear" w:color="auto" w:fill="auto"/>
            <w:vAlign w:val="center"/>
          </w:tcPr>
          <w:p w14:paraId="36D83BA8">
            <w:pPr>
              <w:pStyle w:val="57"/>
              <w:rPr>
                <w:b w:val="0"/>
                <w:bCs/>
              </w:rPr>
            </w:pPr>
            <w:r>
              <w:rPr>
                <w:rFonts w:hint="eastAsia"/>
                <w:b w:val="0"/>
                <w:bCs/>
                <w:lang w:val="en-US"/>
              </w:rPr>
              <w:t>无组织</w:t>
            </w:r>
          </w:p>
        </w:tc>
        <w:tc>
          <w:tcPr>
            <w:tcW w:w="809" w:type="dxa"/>
            <w:shd w:val="clear" w:color="auto" w:fill="auto"/>
            <w:vAlign w:val="center"/>
          </w:tcPr>
          <w:p w14:paraId="20755C2C">
            <w:pPr>
              <w:pStyle w:val="57"/>
              <w:rPr>
                <w:b w:val="0"/>
                <w:bCs/>
              </w:rPr>
            </w:pPr>
            <w:r>
              <w:rPr>
                <w:b w:val="0"/>
                <w:bCs/>
                <w:lang w:val="en-US"/>
              </w:rPr>
              <w:t>7200</w:t>
            </w:r>
          </w:p>
        </w:tc>
        <w:tc>
          <w:tcPr>
            <w:tcW w:w="1007" w:type="dxa"/>
            <w:shd w:val="clear" w:color="auto" w:fill="auto"/>
            <w:vAlign w:val="center"/>
          </w:tcPr>
          <w:p w14:paraId="515DCA0B">
            <w:pPr>
              <w:pStyle w:val="57"/>
              <w:rPr>
                <w:b w:val="0"/>
                <w:bCs/>
                <w:lang w:val="en-US"/>
              </w:rPr>
            </w:pPr>
            <w:r>
              <w:rPr>
                <w:rFonts w:hint="eastAsia"/>
                <w:b w:val="0"/>
                <w:bCs/>
                <w:lang w:val="en-US"/>
              </w:rPr>
              <w:t>/</w:t>
            </w:r>
          </w:p>
        </w:tc>
        <w:tc>
          <w:tcPr>
            <w:tcW w:w="841" w:type="dxa"/>
            <w:shd w:val="clear" w:color="auto" w:fill="auto"/>
            <w:vAlign w:val="center"/>
          </w:tcPr>
          <w:p w14:paraId="161CDB78">
            <w:pPr>
              <w:pStyle w:val="57"/>
              <w:rPr>
                <w:b w:val="0"/>
                <w:bCs/>
              </w:rPr>
            </w:pPr>
            <w:r>
              <w:rPr>
                <w:b w:val="0"/>
                <w:bCs/>
                <w:lang w:val="en-US"/>
              </w:rPr>
              <w:t xml:space="preserve">0.099 </w:t>
            </w:r>
          </w:p>
        </w:tc>
        <w:tc>
          <w:tcPr>
            <w:tcW w:w="1004" w:type="dxa"/>
            <w:shd w:val="clear" w:color="auto" w:fill="auto"/>
            <w:vAlign w:val="center"/>
          </w:tcPr>
          <w:p w14:paraId="6C1C4B68">
            <w:pPr>
              <w:pStyle w:val="57"/>
              <w:rPr>
                <w:b w:val="0"/>
                <w:bCs/>
              </w:rPr>
            </w:pPr>
            <w:r>
              <w:rPr>
                <w:b w:val="0"/>
                <w:bCs/>
                <w:lang w:val="en-US"/>
              </w:rPr>
              <w:t xml:space="preserve">0.014 </w:t>
            </w:r>
          </w:p>
        </w:tc>
        <w:tc>
          <w:tcPr>
            <w:tcW w:w="873" w:type="dxa"/>
            <w:shd w:val="clear" w:color="auto" w:fill="auto"/>
            <w:vAlign w:val="center"/>
          </w:tcPr>
          <w:p w14:paraId="1485B332">
            <w:pPr>
              <w:pStyle w:val="57"/>
              <w:rPr>
                <w:b w:val="0"/>
                <w:bCs/>
              </w:rPr>
            </w:pPr>
            <w:r>
              <w:rPr>
                <w:b w:val="0"/>
                <w:bCs/>
                <w:lang w:val="en-US"/>
              </w:rPr>
              <w:t>/</w:t>
            </w:r>
          </w:p>
        </w:tc>
        <w:tc>
          <w:tcPr>
            <w:tcW w:w="681" w:type="dxa"/>
            <w:shd w:val="clear" w:color="auto" w:fill="auto"/>
            <w:vAlign w:val="center"/>
          </w:tcPr>
          <w:p w14:paraId="6838338B">
            <w:pPr>
              <w:pStyle w:val="57"/>
              <w:rPr>
                <w:b w:val="0"/>
                <w:bCs/>
              </w:rPr>
            </w:pPr>
            <w:r>
              <w:rPr>
                <w:b w:val="0"/>
                <w:bCs/>
                <w:lang w:val="en-US"/>
              </w:rPr>
              <w:t>0</w:t>
            </w:r>
          </w:p>
        </w:tc>
        <w:tc>
          <w:tcPr>
            <w:tcW w:w="681" w:type="dxa"/>
            <w:shd w:val="clear" w:color="auto" w:fill="auto"/>
            <w:vAlign w:val="center"/>
          </w:tcPr>
          <w:p w14:paraId="4F1E460B">
            <w:pPr>
              <w:pStyle w:val="57"/>
              <w:rPr>
                <w:b w:val="0"/>
                <w:bCs/>
              </w:rPr>
            </w:pPr>
          </w:p>
        </w:tc>
        <w:tc>
          <w:tcPr>
            <w:tcW w:w="681" w:type="dxa"/>
            <w:shd w:val="clear" w:color="auto" w:fill="auto"/>
            <w:vAlign w:val="center"/>
          </w:tcPr>
          <w:p w14:paraId="5771F913">
            <w:pPr>
              <w:pStyle w:val="57"/>
              <w:rPr>
                <w:b w:val="0"/>
                <w:bCs/>
              </w:rPr>
            </w:pPr>
            <w:r>
              <w:rPr>
                <w:b w:val="0"/>
                <w:bCs/>
                <w:lang w:val="en-US"/>
              </w:rPr>
              <w:t>/</w:t>
            </w:r>
          </w:p>
        </w:tc>
        <w:tc>
          <w:tcPr>
            <w:tcW w:w="681" w:type="dxa"/>
            <w:shd w:val="clear" w:color="auto" w:fill="auto"/>
            <w:vAlign w:val="center"/>
          </w:tcPr>
          <w:p w14:paraId="4A6D2904">
            <w:pPr>
              <w:pStyle w:val="57"/>
              <w:rPr>
                <w:b w:val="0"/>
                <w:bCs/>
              </w:rPr>
            </w:pPr>
            <w:r>
              <w:rPr>
                <w:b w:val="0"/>
                <w:bCs/>
                <w:lang w:val="en-US"/>
              </w:rPr>
              <w:t>/</w:t>
            </w:r>
          </w:p>
        </w:tc>
        <w:tc>
          <w:tcPr>
            <w:tcW w:w="1255" w:type="dxa"/>
            <w:shd w:val="clear" w:color="auto" w:fill="auto"/>
            <w:vAlign w:val="center"/>
          </w:tcPr>
          <w:p w14:paraId="58CB537F">
            <w:pPr>
              <w:pStyle w:val="57"/>
              <w:rPr>
                <w:b w:val="0"/>
                <w:bCs/>
                <w:lang w:val="en-US"/>
              </w:rPr>
            </w:pPr>
            <w:r>
              <w:rPr>
                <w:rFonts w:hint="eastAsia"/>
                <w:b w:val="0"/>
                <w:bCs/>
                <w:lang w:val="en-US"/>
              </w:rPr>
              <w:t>/</w:t>
            </w:r>
          </w:p>
        </w:tc>
        <w:tc>
          <w:tcPr>
            <w:tcW w:w="841" w:type="dxa"/>
            <w:shd w:val="clear" w:color="auto" w:fill="auto"/>
            <w:vAlign w:val="center"/>
          </w:tcPr>
          <w:p w14:paraId="0B4F0F33">
            <w:pPr>
              <w:pStyle w:val="57"/>
              <w:rPr>
                <w:b w:val="0"/>
                <w:bCs/>
              </w:rPr>
            </w:pPr>
            <w:r>
              <w:rPr>
                <w:b w:val="0"/>
                <w:bCs/>
                <w:lang w:val="en-US"/>
              </w:rPr>
              <w:t xml:space="preserve">0.099 </w:t>
            </w:r>
          </w:p>
        </w:tc>
        <w:tc>
          <w:tcPr>
            <w:tcW w:w="958" w:type="dxa"/>
            <w:shd w:val="clear" w:color="auto" w:fill="auto"/>
            <w:vAlign w:val="center"/>
          </w:tcPr>
          <w:p w14:paraId="7306C5C1">
            <w:pPr>
              <w:pStyle w:val="57"/>
              <w:rPr>
                <w:b w:val="0"/>
                <w:bCs/>
              </w:rPr>
            </w:pPr>
            <w:r>
              <w:rPr>
                <w:b w:val="0"/>
                <w:bCs/>
                <w:lang w:val="en-US"/>
              </w:rPr>
              <w:t xml:space="preserve">0.014 </w:t>
            </w:r>
          </w:p>
        </w:tc>
        <w:tc>
          <w:tcPr>
            <w:tcW w:w="930" w:type="dxa"/>
            <w:shd w:val="clear" w:color="auto" w:fill="auto"/>
            <w:vAlign w:val="center"/>
          </w:tcPr>
          <w:p w14:paraId="65DD8016">
            <w:pPr>
              <w:pStyle w:val="57"/>
              <w:rPr>
                <w:b w:val="0"/>
                <w:bCs/>
              </w:rPr>
            </w:pPr>
            <w:r>
              <w:rPr>
                <w:b w:val="0"/>
                <w:bCs/>
                <w:lang w:val="en-US"/>
              </w:rPr>
              <w:t>/</w:t>
            </w:r>
          </w:p>
        </w:tc>
        <w:tc>
          <w:tcPr>
            <w:tcW w:w="681" w:type="dxa"/>
            <w:shd w:val="clear" w:color="auto" w:fill="auto"/>
            <w:vAlign w:val="center"/>
          </w:tcPr>
          <w:p w14:paraId="7D87B94F">
            <w:pPr>
              <w:pStyle w:val="57"/>
              <w:rPr>
                <w:b w:val="0"/>
                <w:bCs/>
              </w:rPr>
            </w:pPr>
            <w:r>
              <w:rPr>
                <w:b w:val="0"/>
                <w:bCs/>
                <w:lang w:val="en-US"/>
              </w:rPr>
              <w:t>/</w:t>
            </w:r>
          </w:p>
        </w:tc>
        <w:tc>
          <w:tcPr>
            <w:tcW w:w="713" w:type="dxa"/>
            <w:shd w:val="clear" w:color="auto" w:fill="auto"/>
            <w:vAlign w:val="center"/>
          </w:tcPr>
          <w:p w14:paraId="5ADD0C6D">
            <w:pPr>
              <w:pStyle w:val="57"/>
              <w:rPr>
                <w:b w:val="0"/>
                <w:bCs/>
              </w:rPr>
            </w:pPr>
            <w:r>
              <w:rPr>
                <w:b w:val="0"/>
                <w:bCs/>
                <w:lang w:val="en-US"/>
              </w:rPr>
              <w:t>/</w:t>
            </w:r>
          </w:p>
        </w:tc>
        <w:tc>
          <w:tcPr>
            <w:tcW w:w="691" w:type="dxa"/>
            <w:shd w:val="clear" w:color="auto" w:fill="auto"/>
            <w:vAlign w:val="center"/>
          </w:tcPr>
          <w:p w14:paraId="6D328DD5">
            <w:pPr>
              <w:pStyle w:val="57"/>
              <w:rPr>
                <w:b w:val="0"/>
                <w:bCs/>
              </w:rPr>
            </w:pPr>
            <w:r>
              <w:rPr>
                <w:b w:val="0"/>
                <w:bCs/>
                <w:lang w:val="en-US"/>
              </w:rPr>
              <w:t>/</w:t>
            </w:r>
          </w:p>
        </w:tc>
      </w:tr>
      <w:tr w14:paraId="516035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continue"/>
            <w:shd w:val="clear" w:color="auto" w:fill="auto"/>
            <w:vAlign w:val="center"/>
          </w:tcPr>
          <w:p w14:paraId="64D2F476">
            <w:pPr>
              <w:pStyle w:val="57"/>
              <w:rPr>
                <w:b w:val="0"/>
                <w:bCs/>
              </w:rPr>
            </w:pPr>
          </w:p>
        </w:tc>
        <w:tc>
          <w:tcPr>
            <w:tcW w:w="913" w:type="dxa"/>
            <w:vMerge w:val="continue"/>
            <w:shd w:val="clear" w:color="auto" w:fill="auto"/>
            <w:vAlign w:val="center"/>
          </w:tcPr>
          <w:p w14:paraId="0BF93B05">
            <w:pPr>
              <w:pStyle w:val="57"/>
              <w:rPr>
                <w:b w:val="0"/>
                <w:bCs/>
              </w:rPr>
            </w:pPr>
          </w:p>
        </w:tc>
        <w:tc>
          <w:tcPr>
            <w:tcW w:w="568" w:type="dxa"/>
            <w:shd w:val="clear" w:color="auto" w:fill="auto"/>
            <w:vAlign w:val="center"/>
          </w:tcPr>
          <w:p w14:paraId="7359F4B9">
            <w:pPr>
              <w:pStyle w:val="57"/>
              <w:rPr>
                <w:b w:val="0"/>
                <w:bCs/>
              </w:rPr>
            </w:pPr>
            <w:r>
              <w:rPr>
                <w:rFonts w:hint="eastAsia"/>
                <w:b w:val="0"/>
                <w:bCs/>
                <w:lang w:val="en-US"/>
              </w:rPr>
              <w:t>有组织</w:t>
            </w:r>
          </w:p>
        </w:tc>
        <w:tc>
          <w:tcPr>
            <w:tcW w:w="809" w:type="dxa"/>
            <w:shd w:val="clear" w:color="auto" w:fill="auto"/>
            <w:vAlign w:val="center"/>
          </w:tcPr>
          <w:p w14:paraId="5D0E491A">
            <w:pPr>
              <w:pStyle w:val="57"/>
              <w:rPr>
                <w:b w:val="0"/>
                <w:bCs/>
              </w:rPr>
            </w:pPr>
            <w:r>
              <w:rPr>
                <w:b w:val="0"/>
                <w:bCs/>
                <w:lang w:val="en-US"/>
              </w:rPr>
              <w:t>7200</w:t>
            </w:r>
          </w:p>
        </w:tc>
        <w:tc>
          <w:tcPr>
            <w:tcW w:w="1007" w:type="dxa"/>
            <w:shd w:val="clear" w:color="auto" w:fill="auto"/>
            <w:vAlign w:val="center"/>
          </w:tcPr>
          <w:p w14:paraId="081759DE">
            <w:pPr>
              <w:pStyle w:val="57"/>
              <w:rPr>
                <w:b w:val="0"/>
                <w:bCs/>
              </w:rPr>
            </w:pPr>
            <w:r>
              <w:rPr>
                <w:b w:val="0"/>
                <w:bCs/>
                <w:lang w:val="en-US"/>
              </w:rPr>
              <w:t xml:space="preserve">4.142 </w:t>
            </w:r>
          </w:p>
        </w:tc>
        <w:tc>
          <w:tcPr>
            <w:tcW w:w="841" w:type="dxa"/>
            <w:shd w:val="clear" w:color="auto" w:fill="auto"/>
            <w:vAlign w:val="center"/>
          </w:tcPr>
          <w:p w14:paraId="02DF50F3">
            <w:pPr>
              <w:pStyle w:val="57"/>
              <w:rPr>
                <w:b w:val="0"/>
                <w:bCs/>
              </w:rPr>
            </w:pPr>
            <w:r>
              <w:rPr>
                <w:b w:val="0"/>
                <w:bCs/>
                <w:lang w:val="en-US"/>
              </w:rPr>
              <w:t xml:space="preserve">0.994 </w:t>
            </w:r>
          </w:p>
        </w:tc>
        <w:tc>
          <w:tcPr>
            <w:tcW w:w="1004" w:type="dxa"/>
            <w:shd w:val="clear" w:color="auto" w:fill="auto"/>
            <w:vAlign w:val="center"/>
          </w:tcPr>
          <w:p w14:paraId="4C312FB3">
            <w:pPr>
              <w:pStyle w:val="57"/>
              <w:rPr>
                <w:b w:val="0"/>
                <w:bCs/>
              </w:rPr>
            </w:pPr>
            <w:r>
              <w:rPr>
                <w:b w:val="0"/>
                <w:bCs/>
                <w:lang w:val="en-US"/>
              </w:rPr>
              <w:t xml:space="preserve">0.124 </w:t>
            </w:r>
          </w:p>
        </w:tc>
        <w:tc>
          <w:tcPr>
            <w:tcW w:w="873" w:type="dxa"/>
            <w:shd w:val="clear" w:color="auto" w:fill="auto"/>
            <w:vAlign w:val="center"/>
          </w:tcPr>
          <w:p w14:paraId="15FFD36E">
            <w:pPr>
              <w:pStyle w:val="57"/>
              <w:rPr>
                <w:b w:val="0"/>
                <w:bCs/>
              </w:rPr>
            </w:pPr>
            <w:r>
              <w:rPr>
                <w:b w:val="0"/>
                <w:bCs/>
                <w:lang w:val="en-US"/>
              </w:rPr>
              <w:t>30000</w:t>
            </w:r>
          </w:p>
        </w:tc>
        <w:tc>
          <w:tcPr>
            <w:tcW w:w="681" w:type="dxa"/>
            <w:shd w:val="clear" w:color="auto" w:fill="auto"/>
            <w:vAlign w:val="center"/>
          </w:tcPr>
          <w:p w14:paraId="125ECE93">
            <w:pPr>
              <w:pStyle w:val="57"/>
              <w:rPr>
                <w:b w:val="0"/>
                <w:bCs/>
              </w:rPr>
            </w:pPr>
            <w:r>
              <w:rPr>
                <w:b w:val="0"/>
                <w:bCs/>
                <w:lang w:val="en-US"/>
              </w:rPr>
              <w:t>90</w:t>
            </w:r>
          </w:p>
        </w:tc>
        <w:tc>
          <w:tcPr>
            <w:tcW w:w="681" w:type="dxa"/>
            <w:shd w:val="clear" w:color="auto" w:fill="auto"/>
            <w:vAlign w:val="center"/>
          </w:tcPr>
          <w:p w14:paraId="5A2785F0">
            <w:pPr>
              <w:pStyle w:val="57"/>
              <w:rPr>
                <w:b w:val="0"/>
                <w:bCs/>
              </w:rPr>
            </w:pPr>
            <w:r>
              <w:rPr>
                <w:b w:val="0"/>
                <w:bCs/>
                <w:lang w:val="en-US"/>
              </w:rPr>
              <w:t>85</w:t>
            </w:r>
          </w:p>
        </w:tc>
        <w:tc>
          <w:tcPr>
            <w:tcW w:w="681" w:type="dxa"/>
            <w:shd w:val="clear" w:color="auto" w:fill="auto"/>
            <w:vAlign w:val="center"/>
          </w:tcPr>
          <w:p w14:paraId="394A2C4B">
            <w:pPr>
              <w:pStyle w:val="57"/>
              <w:rPr>
                <w:b w:val="0"/>
                <w:bCs/>
              </w:rPr>
            </w:pPr>
            <w:r>
              <w:rPr>
                <w:rFonts w:hint="eastAsia"/>
                <w:b w:val="0"/>
                <w:bCs/>
                <w:lang w:val="en-US"/>
              </w:rPr>
              <w:t>喷淋塔</w:t>
            </w:r>
          </w:p>
        </w:tc>
        <w:tc>
          <w:tcPr>
            <w:tcW w:w="681" w:type="dxa"/>
            <w:shd w:val="clear" w:color="auto" w:fill="auto"/>
            <w:vAlign w:val="center"/>
          </w:tcPr>
          <w:p w14:paraId="6D92067F">
            <w:pPr>
              <w:pStyle w:val="57"/>
              <w:rPr>
                <w:b w:val="0"/>
                <w:bCs/>
              </w:rPr>
            </w:pPr>
            <w:r>
              <w:rPr>
                <w:rFonts w:hint="eastAsia"/>
                <w:b w:val="0"/>
                <w:bCs/>
                <w:lang w:val="en-US"/>
              </w:rPr>
              <w:t>是</w:t>
            </w:r>
          </w:p>
        </w:tc>
        <w:tc>
          <w:tcPr>
            <w:tcW w:w="1255" w:type="dxa"/>
            <w:shd w:val="clear" w:color="auto" w:fill="auto"/>
            <w:vAlign w:val="center"/>
          </w:tcPr>
          <w:p w14:paraId="16101A65">
            <w:pPr>
              <w:pStyle w:val="57"/>
              <w:rPr>
                <w:b w:val="0"/>
                <w:bCs/>
              </w:rPr>
            </w:pPr>
            <w:r>
              <w:rPr>
                <w:b w:val="0"/>
                <w:bCs/>
                <w:lang w:val="en-US"/>
              </w:rPr>
              <w:t>0.621</w:t>
            </w:r>
          </w:p>
        </w:tc>
        <w:tc>
          <w:tcPr>
            <w:tcW w:w="841" w:type="dxa"/>
            <w:shd w:val="clear" w:color="auto" w:fill="auto"/>
            <w:vAlign w:val="center"/>
          </w:tcPr>
          <w:p w14:paraId="02D149AB">
            <w:pPr>
              <w:pStyle w:val="57"/>
              <w:rPr>
                <w:b w:val="0"/>
                <w:bCs/>
              </w:rPr>
            </w:pPr>
            <w:r>
              <w:rPr>
                <w:b w:val="0"/>
                <w:bCs/>
                <w:lang w:val="en-US"/>
              </w:rPr>
              <w:t xml:space="preserve">0.134 </w:t>
            </w:r>
          </w:p>
        </w:tc>
        <w:tc>
          <w:tcPr>
            <w:tcW w:w="958" w:type="dxa"/>
            <w:shd w:val="clear" w:color="auto" w:fill="auto"/>
            <w:vAlign w:val="center"/>
          </w:tcPr>
          <w:p w14:paraId="3203E8B5">
            <w:pPr>
              <w:pStyle w:val="57"/>
              <w:rPr>
                <w:b w:val="0"/>
                <w:bCs/>
              </w:rPr>
            </w:pPr>
            <w:r>
              <w:rPr>
                <w:b w:val="0"/>
                <w:bCs/>
                <w:lang w:val="en-US"/>
              </w:rPr>
              <w:t xml:space="preserve">0.019 </w:t>
            </w:r>
          </w:p>
        </w:tc>
        <w:tc>
          <w:tcPr>
            <w:tcW w:w="930" w:type="dxa"/>
            <w:vMerge w:val="restart"/>
            <w:shd w:val="clear" w:color="auto" w:fill="auto"/>
            <w:vAlign w:val="center"/>
          </w:tcPr>
          <w:p w14:paraId="5B033B73">
            <w:pPr>
              <w:pStyle w:val="57"/>
              <w:rPr>
                <w:rFonts w:hint="eastAsia" w:eastAsia="宋体"/>
                <w:b w:val="0"/>
                <w:bCs/>
                <w:lang w:val="en-US" w:eastAsia="zh-CN"/>
              </w:rPr>
            </w:pPr>
            <w:r>
              <w:rPr>
                <w:rFonts w:hint="eastAsia"/>
                <w:b w:val="0"/>
                <w:bCs/>
                <w:lang w:val="en-US" w:eastAsia="zh-CN"/>
              </w:rPr>
              <w:t>1#</w:t>
            </w:r>
          </w:p>
        </w:tc>
        <w:tc>
          <w:tcPr>
            <w:tcW w:w="681" w:type="dxa"/>
            <w:vMerge w:val="restart"/>
            <w:shd w:val="clear" w:color="auto" w:fill="auto"/>
            <w:vAlign w:val="center"/>
          </w:tcPr>
          <w:p w14:paraId="260C9780">
            <w:pPr>
              <w:pStyle w:val="57"/>
              <w:rPr>
                <w:b w:val="0"/>
                <w:bCs/>
              </w:rPr>
            </w:pPr>
            <w:r>
              <w:rPr>
                <w:b w:val="0"/>
                <w:bCs/>
                <w:lang w:val="en-US"/>
              </w:rPr>
              <w:t>27</w:t>
            </w:r>
          </w:p>
        </w:tc>
        <w:tc>
          <w:tcPr>
            <w:tcW w:w="713" w:type="dxa"/>
            <w:vMerge w:val="restart"/>
            <w:shd w:val="clear" w:color="auto" w:fill="auto"/>
            <w:vAlign w:val="center"/>
          </w:tcPr>
          <w:p w14:paraId="4C1CD27B">
            <w:pPr>
              <w:pStyle w:val="57"/>
              <w:rPr>
                <w:b w:val="0"/>
                <w:bCs/>
              </w:rPr>
            </w:pPr>
            <w:r>
              <w:rPr>
                <w:b w:val="0"/>
                <w:bCs/>
                <w:lang w:val="en-US"/>
              </w:rPr>
              <w:t>0.8</w:t>
            </w:r>
          </w:p>
        </w:tc>
        <w:tc>
          <w:tcPr>
            <w:tcW w:w="691" w:type="dxa"/>
            <w:vMerge w:val="restart"/>
            <w:shd w:val="clear" w:color="auto" w:fill="auto"/>
            <w:vAlign w:val="center"/>
          </w:tcPr>
          <w:p w14:paraId="08C38F61">
            <w:pPr>
              <w:pStyle w:val="57"/>
              <w:rPr>
                <w:b w:val="0"/>
                <w:bCs/>
              </w:rPr>
            </w:pPr>
            <w:r>
              <w:rPr>
                <w:rFonts w:hint="eastAsia"/>
                <w:b w:val="0"/>
                <w:bCs/>
                <w:lang w:val="en-US"/>
              </w:rPr>
              <w:t>常温</w:t>
            </w:r>
          </w:p>
        </w:tc>
      </w:tr>
      <w:tr w14:paraId="1EA28C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restart"/>
            <w:shd w:val="clear" w:color="auto" w:fill="auto"/>
            <w:vAlign w:val="center"/>
          </w:tcPr>
          <w:p w14:paraId="72FC26AD">
            <w:pPr>
              <w:pStyle w:val="57"/>
              <w:rPr>
                <w:b w:val="0"/>
                <w:bCs/>
              </w:rPr>
            </w:pPr>
            <w:r>
              <w:rPr>
                <w:rFonts w:hint="eastAsia"/>
                <w:b w:val="0"/>
                <w:bCs/>
                <w:lang w:val="en-US"/>
              </w:rPr>
              <w:t>“钨回收系统”蒸发干化</w:t>
            </w:r>
          </w:p>
        </w:tc>
        <w:tc>
          <w:tcPr>
            <w:tcW w:w="913" w:type="dxa"/>
            <w:shd w:val="clear" w:color="auto" w:fill="auto"/>
            <w:vAlign w:val="center"/>
          </w:tcPr>
          <w:p w14:paraId="4E649FB3">
            <w:pPr>
              <w:pStyle w:val="57"/>
              <w:rPr>
                <w:b w:val="0"/>
                <w:bCs/>
              </w:rPr>
            </w:pPr>
            <w:r>
              <w:rPr>
                <w:rFonts w:hint="eastAsia"/>
                <w:b w:val="0"/>
                <w:bCs/>
                <w:lang w:val="en-US"/>
              </w:rPr>
              <w:t>颗粒物</w:t>
            </w:r>
          </w:p>
        </w:tc>
        <w:tc>
          <w:tcPr>
            <w:tcW w:w="568" w:type="dxa"/>
            <w:vMerge w:val="restart"/>
            <w:shd w:val="clear" w:color="auto" w:fill="auto"/>
            <w:vAlign w:val="center"/>
          </w:tcPr>
          <w:p w14:paraId="054F82C1">
            <w:pPr>
              <w:pStyle w:val="57"/>
              <w:rPr>
                <w:b w:val="0"/>
                <w:bCs/>
              </w:rPr>
            </w:pPr>
            <w:r>
              <w:rPr>
                <w:rFonts w:hint="eastAsia"/>
                <w:b w:val="0"/>
                <w:bCs/>
                <w:lang w:val="en-US"/>
              </w:rPr>
              <w:t>有组织</w:t>
            </w:r>
          </w:p>
        </w:tc>
        <w:tc>
          <w:tcPr>
            <w:tcW w:w="809" w:type="dxa"/>
            <w:shd w:val="clear" w:color="auto" w:fill="auto"/>
            <w:vAlign w:val="center"/>
          </w:tcPr>
          <w:p w14:paraId="5657C8BB">
            <w:pPr>
              <w:pStyle w:val="57"/>
              <w:rPr>
                <w:b w:val="0"/>
                <w:bCs/>
              </w:rPr>
            </w:pPr>
            <w:r>
              <w:rPr>
                <w:b w:val="0"/>
                <w:bCs/>
                <w:lang w:val="en-US"/>
              </w:rPr>
              <w:t>2400</w:t>
            </w:r>
          </w:p>
        </w:tc>
        <w:tc>
          <w:tcPr>
            <w:tcW w:w="1007" w:type="dxa"/>
            <w:shd w:val="clear" w:color="auto" w:fill="auto"/>
            <w:vAlign w:val="center"/>
          </w:tcPr>
          <w:p w14:paraId="00BC84A1">
            <w:pPr>
              <w:pStyle w:val="57"/>
              <w:rPr>
                <w:b w:val="0"/>
                <w:bCs/>
              </w:rPr>
            </w:pPr>
            <w:r>
              <w:rPr>
                <w:b w:val="0"/>
                <w:bCs/>
                <w:lang w:val="en-US"/>
              </w:rPr>
              <w:t xml:space="preserve">0.129 </w:t>
            </w:r>
          </w:p>
        </w:tc>
        <w:tc>
          <w:tcPr>
            <w:tcW w:w="841" w:type="dxa"/>
            <w:shd w:val="clear" w:color="auto" w:fill="auto"/>
            <w:vAlign w:val="center"/>
          </w:tcPr>
          <w:p w14:paraId="5B38CE08">
            <w:pPr>
              <w:pStyle w:val="57"/>
              <w:rPr>
                <w:b w:val="0"/>
                <w:bCs/>
              </w:rPr>
            </w:pPr>
            <w:r>
              <w:rPr>
                <w:b w:val="0"/>
                <w:bCs/>
                <w:lang w:val="en-US"/>
              </w:rPr>
              <w:t xml:space="preserve">0.010 </w:t>
            </w:r>
          </w:p>
        </w:tc>
        <w:tc>
          <w:tcPr>
            <w:tcW w:w="1004" w:type="dxa"/>
            <w:shd w:val="clear" w:color="auto" w:fill="auto"/>
            <w:vAlign w:val="center"/>
          </w:tcPr>
          <w:p w14:paraId="2D44F5EE">
            <w:pPr>
              <w:pStyle w:val="57"/>
              <w:rPr>
                <w:b w:val="0"/>
                <w:bCs/>
              </w:rPr>
            </w:pPr>
            <w:r>
              <w:rPr>
                <w:b w:val="0"/>
                <w:bCs/>
                <w:lang w:val="en-US"/>
              </w:rPr>
              <w:t xml:space="preserve">0.004 </w:t>
            </w:r>
          </w:p>
        </w:tc>
        <w:tc>
          <w:tcPr>
            <w:tcW w:w="873" w:type="dxa"/>
            <w:shd w:val="clear" w:color="auto" w:fill="auto"/>
            <w:vAlign w:val="center"/>
          </w:tcPr>
          <w:p w14:paraId="499B756A">
            <w:pPr>
              <w:pStyle w:val="57"/>
              <w:rPr>
                <w:b w:val="0"/>
                <w:bCs/>
              </w:rPr>
            </w:pPr>
            <w:r>
              <w:rPr>
                <w:b w:val="0"/>
                <w:bCs/>
                <w:lang w:val="en-US"/>
              </w:rPr>
              <w:t>30000</w:t>
            </w:r>
          </w:p>
        </w:tc>
        <w:tc>
          <w:tcPr>
            <w:tcW w:w="681" w:type="dxa"/>
            <w:shd w:val="clear" w:color="auto" w:fill="auto"/>
            <w:vAlign w:val="center"/>
          </w:tcPr>
          <w:p w14:paraId="6BF4480F">
            <w:pPr>
              <w:pStyle w:val="57"/>
              <w:rPr>
                <w:b w:val="0"/>
                <w:bCs/>
              </w:rPr>
            </w:pPr>
            <w:r>
              <w:rPr>
                <w:b w:val="0"/>
                <w:bCs/>
                <w:lang w:val="en-US"/>
              </w:rPr>
              <w:t>0</w:t>
            </w:r>
          </w:p>
        </w:tc>
        <w:tc>
          <w:tcPr>
            <w:tcW w:w="681" w:type="dxa"/>
            <w:shd w:val="clear" w:color="auto" w:fill="auto"/>
            <w:vAlign w:val="center"/>
          </w:tcPr>
          <w:p w14:paraId="157D5E83">
            <w:pPr>
              <w:pStyle w:val="57"/>
              <w:rPr>
                <w:b w:val="0"/>
                <w:bCs/>
              </w:rPr>
            </w:pPr>
            <w:r>
              <w:rPr>
                <w:b w:val="0"/>
                <w:bCs/>
                <w:lang w:val="en-US"/>
              </w:rPr>
              <w:t>50</w:t>
            </w:r>
          </w:p>
        </w:tc>
        <w:tc>
          <w:tcPr>
            <w:tcW w:w="681" w:type="dxa"/>
            <w:vMerge w:val="restart"/>
            <w:shd w:val="clear" w:color="auto" w:fill="auto"/>
            <w:vAlign w:val="center"/>
          </w:tcPr>
          <w:p w14:paraId="059F9332">
            <w:pPr>
              <w:pStyle w:val="57"/>
              <w:rPr>
                <w:b w:val="0"/>
                <w:bCs/>
              </w:rPr>
            </w:pPr>
            <w:r>
              <w:rPr>
                <w:rFonts w:hint="eastAsia"/>
                <w:b w:val="0"/>
                <w:bCs/>
                <w:lang w:val="en-US"/>
              </w:rPr>
              <w:t>喷淋塔</w:t>
            </w:r>
          </w:p>
        </w:tc>
        <w:tc>
          <w:tcPr>
            <w:tcW w:w="681" w:type="dxa"/>
            <w:vMerge w:val="restart"/>
            <w:shd w:val="clear" w:color="auto" w:fill="auto"/>
            <w:vAlign w:val="center"/>
          </w:tcPr>
          <w:p w14:paraId="55DEA334">
            <w:pPr>
              <w:pStyle w:val="57"/>
              <w:rPr>
                <w:b w:val="0"/>
                <w:bCs/>
              </w:rPr>
            </w:pPr>
            <w:r>
              <w:rPr>
                <w:rFonts w:hint="eastAsia"/>
                <w:b w:val="0"/>
                <w:bCs/>
                <w:lang w:val="en-US"/>
              </w:rPr>
              <w:t>是</w:t>
            </w:r>
          </w:p>
        </w:tc>
        <w:tc>
          <w:tcPr>
            <w:tcW w:w="1255" w:type="dxa"/>
            <w:shd w:val="clear" w:color="auto" w:fill="auto"/>
            <w:vAlign w:val="center"/>
          </w:tcPr>
          <w:p w14:paraId="5927EB04">
            <w:pPr>
              <w:pStyle w:val="57"/>
              <w:rPr>
                <w:b w:val="0"/>
                <w:bCs/>
              </w:rPr>
            </w:pPr>
            <w:r>
              <w:rPr>
                <w:b w:val="0"/>
                <w:bCs/>
                <w:lang w:val="en-US"/>
              </w:rPr>
              <w:t>0.064</w:t>
            </w:r>
          </w:p>
        </w:tc>
        <w:tc>
          <w:tcPr>
            <w:tcW w:w="841" w:type="dxa"/>
            <w:shd w:val="clear" w:color="auto" w:fill="auto"/>
            <w:vAlign w:val="center"/>
          </w:tcPr>
          <w:p w14:paraId="6B6FCC38">
            <w:pPr>
              <w:pStyle w:val="57"/>
              <w:rPr>
                <w:b w:val="0"/>
                <w:bCs/>
              </w:rPr>
            </w:pPr>
            <w:r>
              <w:rPr>
                <w:b w:val="0"/>
                <w:bCs/>
                <w:lang w:val="en-US"/>
              </w:rPr>
              <w:t xml:space="preserve">0.005 </w:t>
            </w:r>
          </w:p>
        </w:tc>
        <w:tc>
          <w:tcPr>
            <w:tcW w:w="958" w:type="dxa"/>
            <w:shd w:val="clear" w:color="auto" w:fill="auto"/>
            <w:vAlign w:val="center"/>
          </w:tcPr>
          <w:p w14:paraId="3AFA8365">
            <w:pPr>
              <w:pStyle w:val="57"/>
              <w:rPr>
                <w:b w:val="0"/>
                <w:bCs/>
              </w:rPr>
            </w:pPr>
            <w:r>
              <w:rPr>
                <w:b w:val="0"/>
                <w:bCs/>
                <w:lang w:val="en-US"/>
              </w:rPr>
              <w:t xml:space="preserve">0.002 </w:t>
            </w:r>
          </w:p>
        </w:tc>
        <w:tc>
          <w:tcPr>
            <w:tcW w:w="930" w:type="dxa"/>
            <w:vMerge w:val="continue"/>
            <w:shd w:val="clear" w:color="auto" w:fill="auto"/>
            <w:vAlign w:val="center"/>
          </w:tcPr>
          <w:p w14:paraId="378F87B1">
            <w:pPr>
              <w:pStyle w:val="57"/>
              <w:rPr>
                <w:b w:val="0"/>
                <w:bCs/>
              </w:rPr>
            </w:pPr>
          </w:p>
        </w:tc>
        <w:tc>
          <w:tcPr>
            <w:tcW w:w="681" w:type="dxa"/>
            <w:vMerge w:val="continue"/>
            <w:shd w:val="clear" w:color="auto" w:fill="auto"/>
            <w:vAlign w:val="center"/>
          </w:tcPr>
          <w:p w14:paraId="18556E84">
            <w:pPr>
              <w:pStyle w:val="57"/>
              <w:rPr>
                <w:b w:val="0"/>
                <w:bCs/>
              </w:rPr>
            </w:pPr>
          </w:p>
        </w:tc>
        <w:tc>
          <w:tcPr>
            <w:tcW w:w="713" w:type="dxa"/>
            <w:vMerge w:val="continue"/>
            <w:shd w:val="clear" w:color="auto" w:fill="auto"/>
            <w:vAlign w:val="center"/>
          </w:tcPr>
          <w:p w14:paraId="207D6FEF">
            <w:pPr>
              <w:pStyle w:val="57"/>
              <w:rPr>
                <w:b w:val="0"/>
                <w:bCs/>
              </w:rPr>
            </w:pPr>
          </w:p>
        </w:tc>
        <w:tc>
          <w:tcPr>
            <w:tcW w:w="691" w:type="dxa"/>
            <w:vMerge w:val="continue"/>
            <w:shd w:val="clear" w:color="auto" w:fill="auto"/>
            <w:vAlign w:val="center"/>
          </w:tcPr>
          <w:p w14:paraId="073BDD39">
            <w:pPr>
              <w:pStyle w:val="57"/>
              <w:rPr>
                <w:b w:val="0"/>
                <w:bCs/>
              </w:rPr>
            </w:pPr>
          </w:p>
        </w:tc>
      </w:tr>
      <w:tr w14:paraId="6522AC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continue"/>
            <w:shd w:val="clear" w:color="auto" w:fill="auto"/>
            <w:vAlign w:val="center"/>
          </w:tcPr>
          <w:p w14:paraId="5CF21EB1">
            <w:pPr>
              <w:pStyle w:val="57"/>
              <w:rPr>
                <w:b w:val="0"/>
                <w:bCs/>
              </w:rPr>
            </w:pPr>
          </w:p>
        </w:tc>
        <w:tc>
          <w:tcPr>
            <w:tcW w:w="913" w:type="dxa"/>
            <w:shd w:val="clear" w:color="auto" w:fill="auto"/>
            <w:vAlign w:val="center"/>
          </w:tcPr>
          <w:p w14:paraId="4F90581F">
            <w:pPr>
              <w:pStyle w:val="57"/>
              <w:rPr>
                <w:b w:val="0"/>
                <w:bCs/>
              </w:rPr>
            </w:pPr>
            <w:r>
              <w:rPr>
                <w:b w:val="0"/>
                <w:bCs/>
                <w:lang w:val="en-US"/>
              </w:rPr>
              <w:t>NOx</w:t>
            </w:r>
          </w:p>
        </w:tc>
        <w:tc>
          <w:tcPr>
            <w:tcW w:w="568" w:type="dxa"/>
            <w:vMerge w:val="continue"/>
            <w:shd w:val="clear" w:color="auto" w:fill="auto"/>
            <w:vAlign w:val="center"/>
          </w:tcPr>
          <w:p w14:paraId="6F9185B6">
            <w:pPr>
              <w:pStyle w:val="57"/>
              <w:rPr>
                <w:b w:val="0"/>
                <w:bCs/>
              </w:rPr>
            </w:pPr>
          </w:p>
        </w:tc>
        <w:tc>
          <w:tcPr>
            <w:tcW w:w="809" w:type="dxa"/>
            <w:shd w:val="clear" w:color="auto" w:fill="auto"/>
            <w:vAlign w:val="center"/>
          </w:tcPr>
          <w:p w14:paraId="3CC378E6">
            <w:pPr>
              <w:pStyle w:val="57"/>
              <w:rPr>
                <w:b w:val="0"/>
                <w:bCs/>
              </w:rPr>
            </w:pPr>
            <w:r>
              <w:rPr>
                <w:b w:val="0"/>
                <w:bCs/>
                <w:lang w:val="en-US"/>
              </w:rPr>
              <w:t>2400</w:t>
            </w:r>
          </w:p>
        </w:tc>
        <w:tc>
          <w:tcPr>
            <w:tcW w:w="1007" w:type="dxa"/>
            <w:shd w:val="clear" w:color="auto" w:fill="auto"/>
            <w:vAlign w:val="center"/>
          </w:tcPr>
          <w:p w14:paraId="3201EB0B">
            <w:pPr>
              <w:pStyle w:val="57"/>
              <w:rPr>
                <w:b w:val="0"/>
                <w:bCs/>
              </w:rPr>
            </w:pPr>
            <w:r>
              <w:rPr>
                <w:b w:val="0"/>
                <w:bCs/>
                <w:lang w:val="en-US"/>
              </w:rPr>
              <w:t xml:space="preserve">0.314 </w:t>
            </w:r>
          </w:p>
        </w:tc>
        <w:tc>
          <w:tcPr>
            <w:tcW w:w="841" w:type="dxa"/>
            <w:shd w:val="clear" w:color="auto" w:fill="auto"/>
            <w:vAlign w:val="center"/>
          </w:tcPr>
          <w:p w14:paraId="0EA2D685">
            <w:pPr>
              <w:pStyle w:val="57"/>
              <w:rPr>
                <w:b w:val="0"/>
                <w:bCs/>
              </w:rPr>
            </w:pPr>
            <w:r>
              <w:rPr>
                <w:b w:val="0"/>
                <w:bCs/>
                <w:lang w:val="en-US"/>
              </w:rPr>
              <w:t xml:space="preserve">0.025 </w:t>
            </w:r>
          </w:p>
        </w:tc>
        <w:tc>
          <w:tcPr>
            <w:tcW w:w="1004" w:type="dxa"/>
            <w:shd w:val="clear" w:color="auto" w:fill="auto"/>
            <w:vAlign w:val="center"/>
          </w:tcPr>
          <w:p w14:paraId="180C77C6">
            <w:pPr>
              <w:pStyle w:val="57"/>
              <w:rPr>
                <w:b w:val="0"/>
                <w:bCs/>
              </w:rPr>
            </w:pPr>
            <w:r>
              <w:rPr>
                <w:b w:val="0"/>
                <w:bCs/>
                <w:lang w:val="en-US"/>
              </w:rPr>
              <w:t xml:space="preserve">0.009 </w:t>
            </w:r>
          </w:p>
        </w:tc>
        <w:tc>
          <w:tcPr>
            <w:tcW w:w="873" w:type="dxa"/>
            <w:shd w:val="clear" w:color="auto" w:fill="auto"/>
            <w:vAlign w:val="center"/>
          </w:tcPr>
          <w:p w14:paraId="315B9709">
            <w:pPr>
              <w:pStyle w:val="57"/>
              <w:rPr>
                <w:b w:val="0"/>
                <w:bCs/>
              </w:rPr>
            </w:pPr>
            <w:r>
              <w:rPr>
                <w:b w:val="0"/>
                <w:bCs/>
                <w:lang w:val="en-US"/>
              </w:rPr>
              <w:t>30000</w:t>
            </w:r>
          </w:p>
        </w:tc>
        <w:tc>
          <w:tcPr>
            <w:tcW w:w="681" w:type="dxa"/>
            <w:shd w:val="clear" w:color="auto" w:fill="auto"/>
            <w:vAlign w:val="center"/>
          </w:tcPr>
          <w:p w14:paraId="21BDFF46">
            <w:pPr>
              <w:pStyle w:val="57"/>
              <w:rPr>
                <w:b w:val="0"/>
                <w:bCs/>
              </w:rPr>
            </w:pPr>
            <w:r>
              <w:rPr>
                <w:b w:val="0"/>
                <w:bCs/>
                <w:lang w:val="en-US"/>
              </w:rPr>
              <w:t>0</w:t>
            </w:r>
          </w:p>
        </w:tc>
        <w:tc>
          <w:tcPr>
            <w:tcW w:w="681" w:type="dxa"/>
            <w:shd w:val="clear" w:color="auto" w:fill="auto"/>
            <w:vAlign w:val="center"/>
          </w:tcPr>
          <w:p w14:paraId="10F6F374">
            <w:pPr>
              <w:pStyle w:val="57"/>
              <w:rPr>
                <w:b w:val="0"/>
                <w:bCs/>
              </w:rPr>
            </w:pPr>
            <w:r>
              <w:rPr>
                <w:b w:val="0"/>
                <w:bCs/>
                <w:lang w:val="en-US"/>
              </w:rPr>
              <w:t>0</w:t>
            </w:r>
          </w:p>
        </w:tc>
        <w:tc>
          <w:tcPr>
            <w:tcW w:w="681" w:type="dxa"/>
            <w:vMerge w:val="continue"/>
            <w:shd w:val="clear" w:color="auto" w:fill="auto"/>
            <w:vAlign w:val="center"/>
          </w:tcPr>
          <w:p w14:paraId="6CE66681">
            <w:pPr>
              <w:pStyle w:val="57"/>
              <w:rPr>
                <w:b w:val="0"/>
                <w:bCs/>
              </w:rPr>
            </w:pPr>
          </w:p>
        </w:tc>
        <w:tc>
          <w:tcPr>
            <w:tcW w:w="681" w:type="dxa"/>
            <w:vMerge w:val="continue"/>
            <w:shd w:val="clear" w:color="auto" w:fill="auto"/>
            <w:vAlign w:val="center"/>
          </w:tcPr>
          <w:p w14:paraId="5DF759FF">
            <w:pPr>
              <w:pStyle w:val="57"/>
              <w:rPr>
                <w:b w:val="0"/>
                <w:bCs/>
              </w:rPr>
            </w:pPr>
          </w:p>
        </w:tc>
        <w:tc>
          <w:tcPr>
            <w:tcW w:w="1255" w:type="dxa"/>
            <w:shd w:val="clear" w:color="auto" w:fill="auto"/>
            <w:vAlign w:val="center"/>
          </w:tcPr>
          <w:p w14:paraId="754484A5">
            <w:pPr>
              <w:pStyle w:val="57"/>
              <w:rPr>
                <w:b w:val="0"/>
                <w:bCs/>
                <w:lang w:val="en-US"/>
              </w:rPr>
            </w:pPr>
            <w:r>
              <w:rPr>
                <w:b w:val="0"/>
                <w:bCs/>
                <w:lang w:val="en-US"/>
              </w:rPr>
              <w:t>0.31</w:t>
            </w:r>
            <w:r>
              <w:rPr>
                <w:rFonts w:hint="eastAsia"/>
                <w:b w:val="0"/>
                <w:bCs/>
                <w:lang w:val="en-US"/>
              </w:rPr>
              <w:t>4</w:t>
            </w:r>
          </w:p>
        </w:tc>
        <w:tc>
          <w:tcPr>
            <w:tcW w:w="841" w:type="dxa"/>
            <w:shd w:val="clear" w:color="auto" w:fill="auto"/>
            <w:vAlign w:val="center"/>
          </w:tcPr>
          <w:p w14:paraId="60A19531">
            <w:pPr>
              <w:pStyle w:val="57"/>
              <w:rPr>
                <w:b w:val="0"/>
                <w:bCs/>
              </w:rPr>
            </w:pPr>
            <w:r>
              <w:rPr>
                <w:b w:val="0"/>
                <w:bCs/>
                <w:lang w:val="en-US"/>
              </w:rPr>
              <w:t xml:space="preserve">0.023 </w:t>
            </w:r>
          </w:p>
        </w:tc>
        <w:tc>
          <w:tcPr>
            <w:tcW w:w="958" w:type="dxa"/>
            <w:shd w:val="clear" w:color="auto" w:fill="auto"/>
            <w:vAlign w:val="center"/>
          </w:tcPr>
          <w:p w14:paraId="31E55E54">
            <w:pPr>
              <w:pStyle w:val="57"/>
              <w:rPr>
                <w:b w:val="0"/>
                <w:bCs/>
              </w:rPr>
            </w:pPr>
            <w:r>
              <w:rPr>
                <w:b w:val="0"/>
                <w:bCs/>
                <w:lang w:val="en-US"/>
              </w:rPr>
              <w:t xml:space="preserve">0.009 </w:t>
            </w:r>
          </w:p>
        </w:tc>
        <w:tc>
          <w:tcPr>
            <w:tcW w:w="930" w:type="dxa"/>
            <w:vMerge w:val="continue"/>
            <w:shd w:val="clear" w:color="auto" w:fill="auto"/>
            <w:vAlign w:val="center"/>
          </w:tcPr>
          <w:p w14:paraId="47609B13">
            <w:pPr>
              <w:pStyle w:val="57"/>
              <w:rPr>
                <w:b w:val="0"/>
                <w:bCs/>
              </w:rPr>
            </w:pPr>
          </w:p>
        </w:tc>
        <w:tc>
          <w:tcPr>
            <w:tcW w:w="681" w:type="dxa"/>
            <w:vMerge w:val="continue"/>
            <w:shd w:val="clear" w:color="auto" w:fill="auto"/>
            <w:vAlign w:val="center"/>
          </w:tcPr>
          <w:p w14:paraId="602A0A95">
            <w:pPr>
              <w:pStyle w:val="57"/>
              <w:rPr>
                <w:b w:val="0"/>
                <w:bCs/>
              </w:rPr>
            </w:pPr>
          </w:p>
        </w:tc>
        <w:tc>
          <w:tcPr>
            <w:tcW w:w="713" w:type="dxa"/>
            <w:vMerge w:val="continue"/>
            <w:shd w:val="clear" w:color="auto" w:fill="auto"/>
            <w:vAlign w:val="center"/>
          </w:tcPr>
          <w:p w14:paraId="47E4D86F">
            <w:pPr>
              <w:pStyle w:val="57"/>
              <w:rPr>
                <w:b w:val="0"/>
                <w:bCs/>
              </w:rPr>
            </w:pPr>
          </w:p>
        </w:tc>
        <w:tc>
          <w:tcPr>
            <w:tcW w:w="691" w:type="dxa"/>
            <w:vMerge w:val="continue"/>
            <w:shd w:val="clear" w:color="auto" w:fill="auto"/>
            <w:vAlign w:val="center"/>
          </w:tcPr>
          <w:p w14:paraId="31500027">
            <w:pPr>
              <w:pStyle w:val="57"/>
              <w:rPr>
                <w:b w:val="0"/>
                <w:bCs/>
              </w:rPr>
            </w:pPr>
          </w:p>
        </w:tc>
      </w:tr>
      <w:tr w14:paraId="72A6B7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continue"/>
            <w:shd w:val="clear" w:color="auto" w:fill="auto"/>
            <w:vAlign w:val="center"/>
          </w:tcPr>
          <w:p w14:paraId="7E36725A">
            <w:pPr>
              <w:pStyle w:val="57"/>
              <w:rPr>
                <w:b w:val="0"/>
                <w:bCs/>
              </w:rPr>
            </w:pPr>
          </w:p>
        </w:tc>
        <w:tc>
          <w:tcPr>
            <w:tcW w:w="913" w:type="dxa"/>
            <w:shd w:val="clear" w:color="auto" w:fill="auto"/>
            <w:vAlign w:val="center"/>
          </w:tcPr>
          <w:p w14:paraId="09CDF0DE">
            <w:pPr>
              <w:pStyle w:val="57"/>
              <w:rPr>
                <w:b w:val="0"/>
                <w:bCs/>
              </w:rPr>
            </w:pPr>
            <w:r>
              <w:rPr>
                <w:b w:val="0"/>
                <w:bCs/>
                <w:lang w:val="en-US"/>
              </w:rPr>
              <w:t>SO</w:t>
            </w:r>
            <w:r>
              <w:rPr>
                <w:b w:val="0"/>
                <w:bCs/>
                <w:vertAlign w:val="subscript"/>
                <w:lang w:val="en-US"/>
              </w:rPr>
              <w:t>2</w:t>
            </w:r>
          </w:p>
        </w:tc>
        <w:tc>
          <w:tcPr>
            <w:tcW w:w="568" w:type="dxa"/>
            <w:vMerge w:val="continue"/>
            <w:shd w:val="clear" w:color="auto" w:fill="auto"/>
            <w:vAlign w:val="center"/>
          </w:tcPr>
          <w:p w14:paraId="3C9E2607">
            <w:pPr>
              <w:pStyle w:val="57"/>
              <w:rPr>
                <w:b w:val="0"/>
                <w:bCs/>
              </w:rPr>
            </w:pPr>
          </w:p>
        </w:tc>
        <w:tc>
          <w:tcPr>
            <w:tcW w:w="809" w:type="dxa"/>
            <w:shd w:val="clear" w:color="auto" w:fill="auto"/>
            <w:vAlign w:val="center"/>
          </w:tcPr>
          <w:p w14:paraId="1A25A8EC">
            <w:pPr>
              <w:pStyle w:val="57"/>
              <w:rPr>
                <w:b w:val="0"/>
                <w:bCs/>
              </w:rPr>
            </w:pPr>
            <w:r>
              <w:rPr>
                <w:b w:val="0"/>
                <w:bCs/>
                <w:lang w:val="en-US"/>
              </w:rPr>
              <w:t>2400</w:t>
            </w:r>
          </w:p>
        </w:tc>
        <w:tc>
          <w:tcPr>
            <w:tcW w:w="1007" w:type="dxa"/>
            <w:shd w:val="clear" w:color="auto" w:fill="auto"/>
            <w:vAlign w:val="center"/>
          </w:tcPr>
          <w:p w14:paraId="31CE1910">
            <w:pPr>
              <w:pStyle w:val="57"/>
              <w:rPr>
                <w:b w:val="0"/>
                <w:bCs/>
              </w:rPr>
            </w:pPr>
            <w:r>
              <w:rPr>
                <w:b w:val="0"/>
                <w:bCs/>
                <w:lang w:val="en-US"/>
              </w:rPr>
              <w:t xml:space="preserve">0.090 </w:t>
            </w:r>
          </w:p>
        </w:tc>
        <w:tc>
          <w:tcPr>
            <w:tcW w:w="841" w:type="dxa"/>
            <w:shd w:val="clear" w:color="auto" w:fill="auto"/>
            <w:vAlign w:val="center"/>
          </w:tcPr>
          <w:p w14:paraId="4AA43E8C">
            <w:pPr>
              <w:pStyle w:val="57"/>
              <w:rPr>
                <w:b w:val="0"/>
                <w:bCs/>
              </w:rPr>
            </w:pPr>
            <w:r>
              <w:rPr>
                <w:b w:val="0"/>
                <w:bCs/>
                <w:lang w:val="en-US"/>
              </w:rPr>
              <w:t xml:space="preserve">0.007 </w:t>
            </w:r>
          </w:p>
        </w:tc>
        <w:tc>
          <w:tcPr>
            <w:tcW w:w="1004" w:type="dxa"/>
            <w:shd w:val="clear" w:color="auto" w:fill="auto"/>
            <w:vAlign w:val="center"/>
          </w:tcPr>
          <w:p w14:paraId="1A00627E">
            <w:pPr>
              <w:pStyle w:val="57"/>
              <w:rPr>
                <w:b w:val="0"/>
                <w:bCs/>
              </w:rPr>
            </w:pPr>
            <w:r>
              <w:rPr>
                <w:b w:val="0"/>
                <w:bCs/>
                <w:lang w:val="en-US"/>
              </w:rPr>
              <w:t xml:space="preserve">0.003 </w:t>
            </w:r>
          </w:p>
        </w:tc>
        <w:tc>
          <w:tcPr>
            <w:tcW w:w="0" w:type="auto"/>
            <w:shd w:val="clear" w:color="auto" w:fill="auto"/>
            <w:noWrap/>
            <w:vAlign w:val="center"/>
          </w:tcPr>
          <w:p w14:paraId="1BCF4940">
            <w:pPr>
              <w:pStyle w:val="57"/>
              <w:rPr>
                <w:b w:val="0"/>
                <w:bCs/>
              </w:rPr>
            </w:pPr>
            <w:r>
              <w:rPr>
                <w:b w:val="0"/>
                <w:bCs/>
                <w:lang w:val="en-US"/>
              </w:rPr>
              <w:t>30000</w:t>
            </w:r>
          </w:p>
        </w:tc>
        <w:tc>
          <w:tcPr>
            <w:tcW w:w="681" w:type="dxa"/>
            <w:shd w:val="clear" w:color="auto" w:fill="auto"/>
            <w:vAlign w:val="center"/>
          </w:tcPr>
          <w:p w14:paraId="7A39EF0B">
            <w:pPr>
              <w:pStyle w:val="57"/>
              <w:rPr>
                <w:b w:val="0"/>
                <w:bCs/>
              </w:rPr>
            </w:pPr>
          </w:p>
        </w:tc>
        <w:tc>
          <w:tcPr>
            <w:tcW w:w="681" w:type="dxa"/>
            <w:shd w:val="clear" w:color="auto" w:fill="auto"/>
            <w:vAlign w:val="center"/>
          </w:tcPr>
          <w:p w14:paraId="1B946E30">
            <w:pPr>
              <w:pStyle w:val="57"/>
              <w:rPr>
                <w:b w:val="0"/>
                <w:bCs/>
              </w:rPr>
            </w:pPr>
            <w:r>
              <w:rPr>
                <w:b w:val="0"/>
                <w:bCs/>
                <w:lang w:val="en-US"/>
              </w:rPr>
              <w:t>0</w:t>
            </w:r>
          </w:p>
        </w:tc>
        <w:tc>
          <w:tcPr>
            <w:tcW w:w="681" w:type="dxa"/>
            <w:vMerge w:val="continue"/>
            <w:shd w:val="clear" w:color="auto" w:fill="auto"/>
            <w:vAlign w:val="center"/>
          </w:tcPr>
          <w:p w14:paraId="2853DE36">
            <w:pPr>
              <w:pStyle w:val="57"/>
              <w:rPr>
                <w:b w:val="0"/>
                <w:bCs/>
              </w:rPr>
            </w:pPr>
          </w:p>
        </w:tc>
        <w:tc>
          <w:tcPr>
            <w:tcW w:w="681" w:type="dxa"/>
            <w:vMerge w:val="continue"/>
            <w:shd w:val="clear" w:color="auto" w:fill="auto"/>
            <w:vAlign w:val="center"/>
          </w:tcPr>
          <w:p w14:paraId="34808EFE">
            <w:pPr>
              <w:pStyle w:val="57"/>
              <w:rPr>
                <w:b w:val="0"/>
                <w:bCs/>
              </w:rPr>
            </w:pPr>
          </w:p>
        </w:tc>
        <w:tc>
          <w:tcPr>
            <w:tcW w:w="1255" w:type="dxa"/>
            <w:shd w:val="clear" w:color="auto" w:fill="auto"/>
            <w:vAlign w:val="center"/>
          </w:tcPr>
          <w:p w14:paraId="42FA63CA">
            <w:pPr>
              <w:pStyle w:val="57"/>
              <w:rPr>
                <w:b w:val="0"/>
                <w:bCs/>
              </w:rPr>
            </w:pPr>
            <w:r>
              <w:rPr>
                <w:b w:val="0"/>
                <w:bCs/>
                <w:lang w:val="en-US"/>
              </w:rPr>
              <w:t>0.09</w:t>
            </w:r>
          </w:p>
        </w:tc>
        <w:tc>
          <w:tcPr>
            <w:tcW w:w="841" w:type="dxa"/>
            <w:shd w:val="clear" w:color="auto" w:fill="auto"/>
            <w:vAlign w:val="center"/>
          </w:tcPr>
          <w:p w14:paraId="1AD31B18">
            <w:pPr>
              <w:pStyle w:val="57"/>
              <w:rPr>
                <w:b w:val="0"/>
                <w:bCs/>
              </w:rPr>
            </w:pPr>
            <w:r>
              <w:rPr>
                <w:b w:val="0"/>
                <w:bCs/>
                <w:lang w:val="en-US"/>
              </w:rPr>
              <w:t xml:space="preserve">0.006 </w:t>
            </w:r>
          </w:p>
        </w:tc>
        <w:tc>
          <w:tcPr>
            <w:tcW w:w="958" w:type="dxa"/>
            <w:shd w:val="clear" w:color="auto" w:fill="auto"/>
            <w:vAlign w:val="center"/>
          </w:tcPr>
          <w:p w14:paraId="2FC331F9">
            <w:pPr>
              <w:pStyle w:val="57"/>
              <w:rPr>
                <w:b w:val="0"/>
                <w:bCs/>
              </w:rPr>
            </w:pPr>
            <w:r>
              <w:rPr>
                <w:b w:val="0"/>
                <w:bCs/>
                <w:lang w:val="en-US"/>
              </w:rPr>
              <w:t xml:space="preserve">0.003 </w:t>
            </w:r>
          </w:p>
        </w:tc>
        <w:tc>
          <w:tcPr>
            <w:tcW w:w="930" w:type="dxa"/>
            <w:vMerge w:val="continue"/>
            <w:shd w:val="clear" w:color="auto" w:fill="auto"/>
            <w:vAlign w:val="center"/>
          </w:tcPr>
          <w:p w14:paraId="6E60F785">
            <w:pPr>
              <w:pStyle w:val="57"/>
              <w:rPr>
                <w:b w:val="0"/>
                <w:bCs/>
              </w:rPr>
            </w:pPr>
          </w:p>
        </w:tc>
        <w:tc>
          <w:tcPr>
            <w:tcW w:w="681" w:type="dxa"/>
            <w:vMerge w:val="continue"/>
            <w:shd w:val="clear" w:color="auto" w:fill="auto"/>
            <w:vAlign w:val="center"/>
          </w:tcPr>
          <w:p w14:paraId="19048FE5">
            <w:pPr>
              <w:pStyle w:val="57"/>
              <w:rPr>
                <w:b w:val="0"/>
                <w:bCs/>
              </w:rPr>
            </w:pPr>
          </w:p>
        </w:tc>
        <w:tc>
          <w:tcPr>
            <w:tcW w:w="713" w:type="dxa"/>
            <w:vMerge w:val="continue"/>
            <w:shd w:val="clear" w:color="auto" w:fill="auto"/>
            <w:vAlign w:val="center"/>
          </w:tcPr>
          <w:p w14:paraId="5F11114B">
            <w:pPr>
              <w:pStyle w:val="57"/>
              <w:rPr>
                <w:b w:val="0"/>
                <w:bCs/>
              </w:rPr>
            </w:pPr>
          </w:p>
        </w:tc>
        <w:tc>
          <w:tcPr>
            <w:tcW w:w="691" w:type="dxa"/>
            <w:vMerge w:val="continue"/>
            <w:shd w:val="clear" w:color="auto" w:fill="auto"/>
            <w:vAlign w:val="center"/>
          </w:tcPr>
          <w:p w14:paraId="2CD14091">
            <w:pPr>
              <w:pStyle w:val="57"/>
              <w:rPr>
                <w:b w:val="0"/>
                <w:bCs/>
              </w:rPr>
            </w:pPr>
          </w:p>
        </w:tc>
      </w:tr>
      <w:tr w14:paraId="6D0193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continue"/>
            <w:shd w:val="clear" w:color="auto" w:fill="auto"/>
            <w:vAlign w:val="center"/>
          </w:tcPr>
          <w:p w14:paraId="00E3CF4A">
            <w:pPr>
              <w:pStyle w:val="57"/>
              <w:rPr>
                <w:b w:val="0"/>
                <w:bCs/>
              </w:rPr>
            </w:pPr>
          </w:p>
        </w:tc>
        <w:tc>
          <w:tcPr>
            <w:tcW w:w="913" w:type="dxa"/>
            <w:shd w:val="clear" w:color="auto" w:fill="auto"/>
            <w:vAlign w:val="center"/>
          </w:tcPr>
          <w:p w14:paraId="3E9406A6">
            <w:pPr>
              <w:pStyle w:val="57"/>
              <w:rPr>
                <w:b w:val="0"/>
                <w:bCs/>
              </w:rPr>
            </w:pPr>
            <w:r>
              <w:rPr>
                <w:rFonts w:hint="eastAsia"/>
                <w:b w:val="0"/>
                <w:bCs/>
                <w:lang w:val="en-US"/>
              </w:rPr>
              <w:t>颗粒物</w:t>
            </w:r>
          </w:p>
        </w:tc>
        <w:tc>
          <w:tcPr>
            <w:tcW w:w="568" w:type="dxa"/>
            <w:vMerge w:val="restart"/>
            <w:shd w:val="clear" w:color="auto" w:fill="auto"/>
            <w:vAlign w:val="center"/>
          </w:tcPr>
          <w:p w14:paraId="4FCFF40F">
            <w:pPr>
              <w:pStyle w:val="57"/>
              <w:rPr>
                <w:b w:val="0"/>
                <w:bCs/>
              </w:rPr>
            </w:pPr>
            <w:r>
              <w:rPr>
                <w:rFonts w:hint="eastAsia"/>
                <w:b w:val="0"/>
                <w:bCs/>
                <w:lang w:val="en-US"/>
              </w:rPr>
              <w:t>无组织</w:t>
            </w:r>
          </w:p>
        </w:tc>
        <w:tc>
          <w:tcPr>
            <w:tcW w:w="809" w:type="dxa"/>
            <w:shd w:val="clear" w:color="auto" w:fill="auto"/>
            <w:vAlign w:val="center"/>
          </w:tcPr>
          <w:p w14:paraId="77D2BC03">
            <w:pPr>
              <w:pStyle w:val="57"/>
              <w:rPr>
                <w:b w:val="0"/>
                <w:bCs/>
              </w:rPr>
            </w:pPr>
            <w:r>
              <w:rPr>
                <w:b w:val="0"/>
                <w:bCs/>
                <w:lang w:val="en-US"/>
              </w:rPr>
              <w:t>2400</w:t>
            </w:r>
          </w:p>
        </w:tc>
        <w:tc>
          <w:tcPr>
            <w:tcW w:w="1007" w:type="dxa"/>
            <w:shd w:val="clear" w:color="auto" w:fill="auto"/>
            <w:vAlign w:val="center"/>
          </w:tcPr>
          <w:p w14:paraId="6A83B3C0">
            <w:pPr>
              <w:pStyle w:val="57"/>
              <w:rPr>
                <w:b w:val="0"/>
                <w:bCs/>
                <w:lang w:val="en-US"/>
              </w:rPr>
            </w:pPr>
            <w:r>
              <w:rPr>
                <w:rFonts w:hint="eastAsia"/>
                <w:b w:val="0"/>
                <w:bCs/>
                <w:lang w:val="en-US"/>
              </w:rPr>
              <w:t>/</w:t>
            </w:r>
          </w:p>
        </w:tc>
        <w:tc>
          <w:tcPr>
            <w:tcW w:w="0" w:type="auto"/>
            <w:shd w:val="clear" w:color="auto" w:fill="auto"/>
            <w:noWrap/>
            <w:vAlign w:val="center"/>
          </w:tcPr>
          <w:p w14:paraId="5993C5E8">
            <w:pPr>
              <w:pStyle w:val="57"/>
              <w:rPr>
                <w:b w:val="0"/>
                <w:bCs/>
              </w:rPr>
            </w:pPr>
            <w:r>
              <w:rPr>
                <w:b w:val="0"/>
                <w:bCs/>
                <w:lang w:val="en-US"/>
              </w:rPr>
              <w:t xml:space="preserve">0.001 </w:t>
            </w:r>
          </w:p>
        </w:tc>
        <w:tc>
          <w:tcPr>
            <w:tcW w:w="1004" w:type="dxa"/>
            <w:shd w:val="clear" w:color="auto" w:fill="auto"/>
            <w:vAlign w:val="center"/>
          </w:tcPr>
          <w:p w14:paraId="151C4A79">
            <w:pPr>
              <w:pStyle w:val="57"/>
              <w:rPr>
                <w:b w:val="0"/>
                <w:bCs/>
              </w:rPr>
            </w:pPr>
            <w:r>
              <w:rPr>
                <w:b w:val="0"/>
                <w:bCs/>
                <w:lang w:val="en-US"/>
              </w:rPr>
              <w:t xml:space="preserve">0.0004 </w:t>
            </w:r>
          </w:p>
        </w:tc>
        <w:tc>
          <w:tcPr>
            <w:tcW w:w="873" w:type="dxa"/>
            <w:shd w:val="clear" w:color="auto" w:fill="auto"/>
            <w:vAlign w:val="center"/>
          </w:tcPr>
          <w:p w14:paraId="7961BABA">
            <w:pPr>
              <w:pStyle w:val="57"/>
              <w:rPr>
                <w:b w:val="0"/>
                <w:bCs/>
              </w:rPr>
            </w:pPr>
            <w:r>
              <w:rPr>
                <w:b w:val="0"/>
                <w:bCs/>
                <w:lang w:val="en-US"/>
              </w:rPr>
              <w:t>/</w:t>
            </w:r>
          </w:p>
        </w:tc>
        <w:tc>
          <w:tcPr>
            <w:tcW w:w="681" w:type="dxa"/>
            <w:shd w:val="clear" w:color="auto" w:fill="auto"/>
            <w:vAlign w:val="center"/>
          </w:tcPr>
          <w:p w14:paraId="3545694F">
            <w:pPr>
              <w:pStyle w:val="57"/>
              <w:rPr>
                <w:b w:val="0"/>
                <w:bCs/>
              </w:rPr>
            </w:pPr>
            <w:r>
              <w:rPr>
                <w:b w:val="0"/>
                <w:bCs/>
                <w:lang w:val="en-US"/>
              </w:rPr>
              <w:t>/</w:t>
            </w:r>
          </w:p>
        </w:tc>
        <w:tc>
          <w:tcPr>
            <w:tcW w:w="681" w:type="dxa"/>
            <w:shd w:val="clear" w:color="auto" w:fill="auto"/>
            <w:vAlign w:val="center"/>
          </w:tcPr>
          <w:p w14:paraId="42E5B95E">
            <w:pPr>
              <w:pStyle w:val="57"/>
              <w:rPr>
                <w:b w:val="0"/>
                <w:bCs/>
              </w:rPr>
            </w:pPr>
            <w:r>
              <w:rPr>
                <w:b w:val="0"/>
                <w:bCs/>
                <w:lang w:val="en-US"/>
              </w:rPr>
              <w:t>/</w:t>
            </w:r>
          </w:p>
        </w:tc>
        <w:tc>
          <w:tcPr>
            <w:tcW w:w="681" w:type="dxa"/>
            <w:shd w:val="clear" w:color="auto" w:fill="auto"/>
            <w:vAlign w:val="center"/>
          </w:tcPr>
          <w:p w14:paraId="0205116F">
            <w:pPr>
              <w:pStyle w:val="57"/>
              <w:rPr>
                <w:b w:val="0"/>
                <w:bCs/>
              </w:rPr>
            </w:pPr>
            <w:r>
              <w:rPr>
                <w:b w:val="0"/>
                <w:bCs/>
                <w:lang w:val="en-US"/>
              </w:rPr>
              <w:t>/</w:t>
            </w:r>
          </w:p>
        </w:tc>
        <w:tc>
          <w:tcPr>
            <w:tcW w:w="681" w:type="dxa"/>
            <w:shd w:val="clear" w:color="auto" w:fill="auto"/>
            <w:vAlign w:val="center"/>
          </w:tcPr>
          <w:p w14:paraId="177A9157">
            <w:pPr>
              <w:pStyle w:val="57"/>
              <w:rPr>
                <w:b w:val="0"/>
                <w:bCs/>
              </w:rPr>
            </w:pPr>
            <w:r>
              <w:rPr>
                <w:b w:val="0"/>
                <w:bCs/>
                <w:lang w:val="en-US"/>
              </w:rPr>
              <w:t>/</w:t>
            </w:r>
          </w:p>
        </w:tc>
        <w:tc>
          <w:tcPr>
            <w:tcW w:w="1255" w:type="dxa"/>
            <w:shd w:val="clear" w:color="auto" w:fill="auto"/>
            <w:vAlign w:val="center"/>
          </w:tcPr>
          <w:p w14:paraId="54266B0F">
            <w:pPr>
              <w:pStyle w:val="57"/>
              <w:rPr>
                <w:b w:val="0"/>
                <w:bCs/>
                <w:lang w:val="en-US"/>
              </w:rPr>
            </w:pPr>
            <w:r>
              <w:rPr>
                <w:rFonts w:hint="eastAsia"/>
                <w:b w:val="0"/>
                <w:bCs/>
                <w:lang w:val="en-US"/>
              </w:rPr>
              <w:t>/</w:t>
            </w:r>
          </w:p>
        </w:tc>
        <w:tc>
          <w:tcPr>
            <w:tcW w:w="841" w:type="dxa"/>
            <w:shd w:val="clear" w:color="auto" w:fill="auto"/>
            <w:vAlign w:val="center"/>
          </w:tcPr>
          <w:p w14:paraId="60E5EE9F">
            <w:pPr>
              <w:pStyle w:val="57"/>
              <w:rPr>
                <w:b w:val="0"/>
                <w:bCs/>
              </w:rPr>
            </w:pPr>
            <w:r>
              <w:rPr>
                <w:b w:val="0"/>
                <w:bCs/>
                <w:lang w:val="en-US"/>
              </w:rPr>
              <w:t xml:space="preserve">0.001 </w:t>
            </w:r>
          </w:p>
        </w:tc>
        <w:tc>
          <w:tcPr>
            <w:tcW w:w="958" w:type="dxa"/>
            <w:shd w:val="clear" w:color="auto" w:fill="auto"/>
            <w:vAlign w:val="center"/>
          </w:tcPr>
          <w:p w14:paraId="7000313C">
            <w:pPr>
              <w:pStyle w:val="57"/>
              <w:rPr>
                <w:b w:val="0"/>
                <w:bCs/>
              </w:rPr>
            </w:pPr>
            <w:r>
              <w:rPr>
                <w:b w:val="0"/>
                <w:bCs/>
                <w:lang w:val="en-US"/>
              </w:rPr>
              <w:t xml:space="preserve">0.0004 </w:t>
            </w:r>
          </w:p>
        </w:tc>
        <w:tc>
          <w:tcPr>
            <w:tcW w:w="930" w:type="dxa"/>
            <w:shd w:val="clear" w:color="auto" w:fill="auto"/>
            <w:vAlign w:val="center"/>
          </w:tcPr>
          <w:p w14:paraId="526DC514">
            <w:pPr>
              <w:pStyle w:val="57"/>
              <w:rPr>
                <w:b w:val="0"/>
                <w:bCs/>
              </w:rPr>
            </w:pPr>
            <w:r>
              <w:rPr>
                <w:b w:val="0"/>
                <w:bCs/>
                <w:lang w:val="en-US"/>
              </w:rPr>
              <w:t>/</w:t>
            </w:r>
          </w:p>
        </w:tc>
        <w:tc>
          <w:tcPr>
            <w:tcW w:w="681" w:type="dxa"/>
            <w:shd w:val="clear" w:color="auto" w:fill="auto"/>
            <w:vAlign w:val="center"/>
          </w:tcPr>
          <w:p w14:paraId="582E7AE3">
            <w:pPr>
              <w:pStyle w:val="57"/>
              <w:rPr>
                <w:b w:val="0"/>
                <w:bCs/>
              </w:rPr>
            </w:pPr>
            <w:r>
              <w:rPr>
                <w:b w:val="0"/>
                <w:bCs/>
                <w:lang w:val="en-US"/>
              </w:rPr>
              <w:t>/</w:t>
            </w:r>
          </w:p>
        </w:tc>
        <w:tc>
          <w:tcPr>
            <w:tcW w:w="713" w:type="dxa"/>
            <w:shd w:val="clear" w:color="auto" w:fill="auto"/>
            <w:vAlign w:val="center"/>
          </w:tcPr>
          <w:p w14:paraId="0A2D4284">
            <w:pPr>
              <w:pStyle w:val="57"/>
              <w:rPr>
                <w:b w:val="0"/>
                <w:bCs/>
              </w:rPr>
            </w:pPr>
            <w:r>
              <w:rPr>
                <w:b w:val="0"/>
                <w:bCs/>
                <w:lang w:val="en-US"/>
              </w:rPr>
              <w:t>/</w:t>
            </w:r>
          </w:p>
        </w:tc>
        <w:tc>
          <w:tcPr>
            <w:tcW w:w="691" w:type="dxa"/>
            <w:shd w:val="clear" w:color="auto" w:fill="auto"/>
            <w:vAlign w:val="center"/>
          </w:tcPr>
          <w:p w14:paraId="055D7296">
            <w:pPr>
              <w:pStyle w:val="57"/>
              <w:rPr>
                <w:b w:val="0"/>
                <w:bCs/>
              </w:rPr>
            </w:pPr>
            <w:r>
              <w:rPr>
                <w:b w:val="0"/>
                <w:bCs/>
                <w:lang w:val="en-US"/>
              </w:rPr>
              <w:t>/</w:t>
            </w:r>
          </w:p>
        </w:tc>
      </w:tr>
      <w:tr w14:paraId="224236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continue"/>
            <w:shd w:val="clear" w:color="auto" w:fill="auto"/>
            <w:vAlign w:val="center"/>
          </w:tcPr>
          <w:p w14:paraId="70863E65">
            <w:pPr>
              <w:pStyle w:val="57"/>
              <w:rPr>
                <w:b w:val="0"/>
                <w:bCs/>
              </w:rPr>
            </w:pPr>
          </w:p>
        </w:tc>
        <w:tc>
          <w:tcPr>
            <w:tcW w:w="913" w:type="dxa"/>
            <w:shd w:val="clear" w:color="auto" w:fill="auto"/>
            <w:vAlign w:val="center"/>
          </w:tcPr>
          <w:p w14:paraId="69148F1E">
            <w:pPr>
              <w:pStyle w:val="57"/>
              <w:rPr>
                <w:b w:val="0"/>
                <w:bCs/>
              </w:rPr>
            </w:pPr>
            <w:r>
              <w:rPr>
                <w:b w:val="0"/>
                <w:bCs/>
                <w:lang w:val="en-US"/>
              </w:rPr>
              <w:t>NOx</w:t>
            </w:r>
          </w:p>
        </w:tc>
        <w:tc>
          <w:tcPr>
            <w:tcW w:w="568" w:type="dxa"/>
            <w:vMerge w:val="continue"/>
            <w:shd w:val="clear" w:color="auto" w:fill="auto"/>
            <w:vAlign w:val="center"/>
          </w:tcPr>
          <w:p w14:paraId="54C3576D">
            <w:pPr>
              <w:pStyle w:val="57"/>
              <w:rPr>
                <w:b w:val="0"/>
                <w:bCs/>
              </w:rPr>
            </w:pPr>
          </w:p>
        </w:tc>
        <w:tc>
          <w:tcPr>
            <w:tcW w:w="809" w:type="dxa"/>
            <w:shd w:val="clear" w:color="auto" w:fill="auto"/>
            <w:vAlign w:val="center"/>
          </w:tcPr>
          <w:p w14:paraId="64FDCF28">
            <w:pPr>
              <w:pStyle w:val="57"/>
              <w:rPr>
                <w:b w:val="0"/>
                <w:bCs/>
              </w:rPr>
            </w:pPr>
            <w:r>
              <w:rPr>
                <w:b w:val="0"/>
                <w:bCs/>
                <w:lang w:val="en-US"/>
              </w:rPr>
              <w:t>2400</w:t>
            </w:r>
          </w:p>
        </w:tc>
        <w:tc>
          <w:tcPr>
            <w:tcW w:w="1007" w:type="dxa"/>
            <w:shd w:val="clear" w:color="auto" w:fill="auto"/>
            <w:vAlign w:val="center"/>
          </w:tcPr>
          <w:p w14:paraId="78011435">
            <w:pPr>
              <w:pStyle w:val="57"/>
              <w:rPr>
                <w:b w:val="0"/>
                <w:bCs/>
                <w:lang w:val="en-US"/>
              </w:rPr>
            </w:pPr>
            <w:r>
              <w:rPr>
                <w:rFonts w:hint="eastAsia"/>
                <w:b w:val="0"/>
                <w:bCs/>
                <w:lang w:val="en-US"/>
              </w:rPr>
              <w:t>/</w:t>
            </w:r>
          </w:p>
        </w:tc>
        <w:tc>
          <w:tcPr>
            <w:tcW w:w="0" w:type="auto"/>
            <w:shd w:val="clear" w:color="auto" w:fill="auto"/>
            <w:noWrap/>
            <w:vAlign w:val="center"/>
          </w:tcPr>
          <w:p w14:paraId="5C713DEC">
            <w:pPr>
              <w:pStyle w:val="57"/>
              <w:rPr>
                <w:b w:val="0"/>
                <w:bCs/>
              </w:rPr>
            </w:pPr>
            <w:r>
              <w:rPr>
                <w:b w:val="0"/>
                <w:bCs/>
                <w:lang w:val="en-US"/>
              </w:rPr>
              <w:t xml:space="preserve">0.003 </w:t>
            </w:r>
          </w:p>
        </w:tc>
        <w:tc>
          <w:tcPr>
            <w:tcW w:w="1004" w:type="dxa"/>
            <w:shd w:val="clear" w:color="auto" w:fill="auto"/>
            <w:vAlign w:val="center"/>
          </w:tcPr>
          <w:p w14:paraId="7F616C8F">
            <w:pPr>
              <w:pStyle w:val="57"/>
              <w:rPr>
                <w:b w:val="0"/>
                <w:bCs/>
              </w:rPr>
            </w:pPr>
            <w:r>
              <w:rPr>
                <w:b w:val="0"/>
                <w:bCs/>
                <w:lang w:val="en-US"/>
              </w:rPr>
              <w:t xml:space="preserve">0.001 </w:t>
            </w:r>
          </w:p>
        </w:tc>
        <w:tc>
          <w:tcPr>
            <w:tcW w:w="873" w:type="dxa"/>
            <w:shd w:val="clear" w:color="auto" w:fill="auto"/>
            <w:vAlign w:val="center"/>
          </w:tcPr>
          <w:p w14:paraId="578EA462">
            <w:pPr>
              <w:pStyle w:val="57"/>
              <w:rPr>
                <w:b w:val="0"/>
                <w:bCs/>
              </w:rPr>
            </w:pPr>
            <w:r>
              <w:rPr>
                <w:b w:val="0"/>
                <w:bCs/>
                <w:lang w:val="en-US"/>
              </w:rPr>
              <w:t>/</w:t>
            </w:r>
          </w:p>
        </w:tc>
        <w:tc>
          <w:tcPr>
            <w:tcW w:w="681" w:type="dxa"/>
            <w:shd w:val="clear" w:color="auto" w:fill="auto"/>
            <w:vAlign w:val="center"/>
          </w:tcPr>
          <w:p w14:paraId="164515F3">
            <w:pPr>
              <w:pStyle w:val="57"/>
              <w:rPr>
                <w:b w:val="0"/>
                <w:bCs/>
              </w:rPr>
            </w:pPr>
            <w:r>
              <w:rPr>
                <w:b w:val="0"/>
                <w:bCs/>
                <w:lang w:val="en-US"/>
              </w:rPr>
              <w:t>/</w:t>
            </w:r>
          </w:p>
        </w:tc>
        <w:tc>
          <w:tcPr>
            <w:tcW w:w="681" w:type="dxa"/>
            <w:shd w:val="clear" w:color="auto" w:fill="auto"/>
            <w:vAlign w:val="center"/>
          </w:tcPr>
          <w:p w14:paraId="7367D6A7">
            <w:pPr>
              <w:pStyle w:val="57"/>
              <w:rPr>
                <w:b w:val="0"/>
                <w:bCs/>
              </w:rPr>
            </w:pPr>
            <w:r>
              <w:rPr>
                <w:b w:val="0"/>
                <w:bCs/>
                <w:lang w:val="en-US"/>
              </w:rPr>
              <w:t>/</w:t>
            </w:r>
          </w:p>
        </w:tc>
        <w:tc>
          <w:tcPr>
            <w:tcW w:w="681" w:type="dxa"/>
            <w:shd w:val="clear" w:color="auto" w:fill="auto"/>
            <w:vAlign w:val="center"/>
          </w:tcPr>
          <w:p w14:paraId="71A2BA87">
            <w:pPr>
              <w:pStyle w:val="57"/>
              <w:rPr>
                <w:b w:val="0"/>
                <w:bCs/>
              </w:rPr>
            </w:pPr>
            <w:r>
              <w:rPr>
                <w:b w:val="0"/>
                <w:bCs/>
                <w:lang w:val="en-US"/>
              </w:rPr>
              <w:t>/</w:t>
            </w:r>
          </w:p>
        </w:tc>
        <w:tc>
          <w:tcPr>
            <w:tcW w:w="681" w:type="dxa"/>
            <w:shd w:val="clear" w:color="auto" w:fill="auto"/>
            <w:vAlign w:val="center"/>
          </w:tcPr>
          <w:p w14:paraId="0ADAC29C">
            <w:pPr>
              <w:pStyle w:val="57"/>
              <w:rPr>
                <w:b w:val="0"/>
                <w:bCs/>
              </w:rPr>
            </w:pPr>
            <w:r>
              <w:rPr>
                <w:b w:val="0"/>
                <w:bCs/>
                <w:lang w:val="en-US"/>
              </w:rPr>
              <w:t>/</w:t>
            </w:r>
          </w:p>
        </w:tc>
        <w:tc>
          <w:tcPr>
            <w:tcW w:w="1255" w:type="dxa"/>
            <w:shd w:val="clear" w:color="auto" w:fill="auto"/>
            <w:vAlign w:val="center"/>
          </w:tcPr>
          <w:p w14:paraId="05688E00">
            <w:pPr>
              <w:pStyle w:val="57"/>
              <w:rPr>
                <w:b w:val="0"/>
                <w:bCs/>
                <w:lang w:val="en-US"/>
              </w:rPr>
            </w:pPr>
            <w:r>
              <w:rPr>
                <w:rFonts w:hint="eastAsia"/>
                <w:b w:val="0"/>
                <w:bCs/>
                <w:lang w:val="en-US"/>
              </w:rPr>
              <w:t>/</w:t>
            </w:r>
          </w:p>
        </w:tc>
        <w:tc>
          <w:tcPr>
            <w:tcW w:w="841" w:type="dxa"/>
            <w:shd w:val="clear" w:color="auto" w:fill="auto"/>
            <w:vAlign w:val="center"/>
          </w:tcPr>
          <w:p w14:paraId="171C59BD">
            <w:pPr>
              <w:pStyle w:val="57"/>
              <w:rPr>
                <w:b w:val="0"/>
                <w:bCs/>
              </w:rPr>
            </w:pPr>
            <w:r>
              <w:rPr>
                <w:b w:val="0"/>
                <w:bCs/>
                <w:lang w:val="en-US"/>
              </w:rPr>
              <w:t xml:space="preserve">0.003 </w:t>
            </w:r>
          </w:p>
        </w:tc>
        <w:tc>
          <w:tcPr>
            <w:tcW w:w="958" w:type="dxa"/>
            <w:shd w:val="clear" w:color="auto" w:fill="auto"/>
            <w:vAlign w:val="center"/>
          </w:tcPr>
          <w:p w14:paraId="35AB62EE">
            <w:pPr>
              <w:pStyle w:val="57"/>
              <w:rPr>
                <w:b w:val="0"/>
                <w:bCs/>
              </w:rPr>
            </w:pPr>
            <w:r>
              <w:rPr>
                <w:b w:val="0"/>
                <w:bCs/>
                <w:lang w:val="en-US"/>
              </w:rPr>
              <w:t xml:space="preserve">0.001 </w:t>
            </w:r>
          </w:p>
        </w:tc>
        <w:tc>
          <w:tcPr>
            <w:tcW w:w="930" w:type="dxa"/>
            <w:shd w:val="clear" w:color="auto" w:fill="auto"/>
            <w:vAlign w:val="center"/>
          </w:tcPr>
          <w:p w14:paraId="0AFF11F1">
            <w:pPr>
              <w:pStyle w:val="57"/>
              <w:rPr>
                <w:b w:val="0"/>
                <w:bCs/>
              </w:rPr>
            </w:pPr>
            <w:r>
              <w:rPr>
                <w:b w:val="0"/>
                <w:bCs/>
                <w:lang w:val="en-US"/>
              </w:rPr>
              <w:t>/</w:t>
            </w:r>
          </w:p>
        </w:tc>
        <w:tc>
          <w:tcPr>
            <w:tcW w:w="681" w:type="dxa"/>
            <w:shd w:val="clear" w:color="auto" w:fill="auto"/>
            <w:vAlign w:val="center"/>
          </w:tcPr>
          <w:p w14:paraId="765FF6FB">
            <w:pPr>
              <w:pStyle w:val="57"/>
              <w:rPr>
                <w:b w:val="0"/>
                <w:bCs/>
              </w:rPr>
            </w:pPr>
            <w:r>
              <w:rPr>
                <w:b w:val="0"/>
                <w:bCs/>
                <w:lang w:val="en-US"/>
              </w:rPr>
              <w:t>/</w:t>
            </w:r>
          </w:p>
        </w:tc>
        <w:tc>
          <w:tcPr>
            <w:tcW w:w="713" w:type="dxa"/>
            <w:shd w:val="clear" w:color="auto" w:fill="auto"/>
            <w:vAlign w:val="center"/>
          </w:tcPr>
          <w:p w14:paraId="5A92F05F">
            <w:pPr>
              <w:pStyle w:val="57"/>
              <w:rPr>
                <w:b w:val="0"/>
                <w:bCs/>
              </w:rPr>
            </w:pPr>
            <w:r>
              <w:rPr>
                <w:b w:val="0"/>
                <w:bCs/>
                <w:lang w:val="en-US"/>
              </w:rPr>
              <w:t>/</w:t>
            </w:r>
          </w:p>
        </w:tc>
        <w:tc>
          <w:tcPr>
            <w:tcW w:w="691" w:type="dxa"/>
            <w:shd w:val="clear" w:color="auto" w:fill="auto"/>
            <w:vAlign w:val="center"/>
          </w:tcPr>
          <w:p w14:paraId="521C49A6">
            <w:pPr>
              <w:pStyle w:val="57"/>
              <w:rPr>
                <w:b w:val="0"/>
                <w:bCs/>
              </w:rPr>
            </w:pPr>
            <w:r>
              <w:rPr>
                <w:b w:val="0"/>
                <w:bCs/>
                <w:lang w:val="en-US"/>
              </w:rPr>
              <w:t>/</w:t>
            </w:r>
          </w:p>
        </w:tc>
      </w:tr>
      <w:tr w14:paraId="4265BF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8" w:type="dxa"/>
            <w:vMerge w:val="continue"/>
            <w:shd w:val="clear" w:color="auto" w:fill="auto"/>
            <w:vAlign w:val="center"/>
          </w:tcPr>
          <w:p w14:paraId="61386EBA">
            <w:pPr>
              <w:pStyle w:val="57"/>
              <w:rPr>
                <w:b w:val="0"/>
                <w:bCs/>
              </w:rPr>
            </w:pPr>
          </w:p>
        </w:tc>
        <w:tc>
          <w:tcPr>
            <w:tcW w:w="913" w:type="dxa"/>
            <w:shd w:val="clear" w:color="auto" w:fill="auto"/>
            <w:vAlign w:val="center"/>
          </w:tcPr>
          <w:p w14:paraId="4CFCB447">
            <w:pPr>
              <w:pStyle w:val="57"/>
              <w:rPr>
                <w:b w:val="0"/>
                <w:bCs/>
              </w:rPr>
            </w:pPr>
            <w:r>
              <w:rPr>
                <w:b w:val="0"/>
                <w:bCs/>
                <w:lang w:val="en-US"/>
              </w:rPr>
              <w:t>SO</w:t>
            </w:r>
            <w:r>
              <w:rPr>
                <w:b w:val="0"/>
                <w:bCs/>
                <w:vertAlign w:val="subscript"/>
                <w:lang w:val="en-US"/>
              </w:rPr>
              <w:t>2</w:t>
            </w:r>
          </w:p>
        </w:tc>
        <w:tc>
          <w:tcPr>
            <w:tcW w:w="568" w:type="dxa"/>
            <w:vMerge w:val="continue"/>
            <w:shd w:val="clear" w:color="auto" w:fill="auto"/>
            <w:vAlign w:val="center"/>
          </w:tcPr>
          <w:p w14:paraId="159CF86A">
            <w:pPr>
              <w:pStyle w:val="57"/>
              <w:rPr>
                <w:b w:val="0"/>
                <w:bCs/>
              </w:rPr>
            </w:pPr>
          </w:p>
        </w:tc>
        <w:tc>
          <w:tcPr>
            <w:tcW w:w="809" w:type="dxa"/>
            <w:shd w:val="clear" w:color="auto" w:fill="auto"/>
            <w:vAlign w:val="center"/>
          </w:tcPr>
          <w:p w14:paraId="41F2AE35">
            <w:pPr>
              <w:pStyle w:val="57"/>
              <w:rPr>
                <w:b w:val="0"/>
                <w:bCs/>
              </w:rPr>
            </w:pPr>
            <w:r>
              <w:rPr>
                <w:b w:val="0"/>
                <w:bCs/>
                <w:lang w:val="en-US"/>
              </w:rPr>
              <w:t>2400</w:t>
            </w:r>
          </w:p>
        </w:tc>
        <w:tc>
          <w:tcPr>
            <w:tcW w:w="1007" w:type="dxa"/>
            <w:shd w:val="clear" w:color="auto" w:fill="auto"/>
            <w:vAlign w:val="center"/>
          </w:tcPr>
          <w:p w14:paraId="16120DD5">
            <w:pPr>
              <w:pStyle w:val="57"/>
              <w:rPr>
                <w:b w:val="0"/>
                <w:bCs/>
                <w:lang w:val="en-US"/>
              </w:rPr>
            </w:pPr>
            <w:r>
              <w:rPr>
                <w:rFonts w:hint="eastAsia"/>
                <w:b w:val="0"/>
                <w:bCs/>
                <w:lang w:val="en-US"/>
              </w:rPr>
              <w:t>/</w:t>
            </w:r>
          </w:p>
        </w:tc>
        <w:tc>
          <w:tcPr>
            <w:tcW w:w="0" w:type="auto"/>
            <w:shd w:val="clear" w:color="auto" w:fill="auto"/>
            <w:noWrap/>
            <w:vAlign w:val="center"/>
          </w:tcPr>
          <w:p w14:paraId="4DA97168">
            <w:pPr>
              <w:pStyle w:val="57"/>
              <w:rPr>
                <w:b w:val="0"/>
                <w:bCs/>
              </w:rPr>
            </w:pPr>
            <w:r>
              <w:rPr>
                <w:b w:val="0"/>
                <w:bCs/>
                <w:lang w:val="en-US"/>
              </w:rPr>
              <w:t xml:space="preserve">0.001 </w:t>
            </w:r>
          </w:p>
        </w:tc>
        <w:tc>
          <w:tcPr>
            <w:tcW w:w="1004" w:type="dxa"/>
            <w:shd w:val="clear" w:color="auto" w:fill="auto"/>
            <w:vAlign w:val="center"/>
          </w:tcPr>
          <w:p w14:paraId="78707221">
            <w:pPr>
              <w:pStyle w:val="57"/>
              <w:rPr>
                <w:b w:val="0"/>
                <w:bCs/>
              </w:rPr>
            </w:pPr>
            <w:r>
              <w:rPr>
                <w:b w:val="0"/>
                <w:bCs/>
                <w:lang w:val="en-US"/>
              </w:rPr>
              <w:t xml:space="preserve">0.0003 </w:t>
            </w:r>
          </w:p>
        </w:tc>
        <w:tc>
          <w:tcPr>
            <w:tcW w:w="873" w:type="dxa"/>
            <w:shd w:val="clear" w:color="auto" w:fill="auto"/>
            <w:vAlign w:val="center"/>
          </w:tcPr>
          <w:p w14:paraId="0CD7438B">
            <w:pPr>
              <w:pStyle w:val="57"/>
              <w:rPr>
                <w:b w:val="0"/>
                <w:bCs/>
              </w:rPr>
            </w:pPr>
            <w:r>
              <w:rPr>
                <w:b w:val="0"/>
                <w:bCs/>
                <w:lang w:val="en-US"/>
              </w:rPr>
              <w:t>/</w:t>
            </w:r>
          </w:p>
        </w:tc>
        <w:tc>
          <w:tcPr>
            <w:tcW w:w="681" w:type="dxa"/>
            <w:shd w:val="clear" w:color="auto" w:fill="auto"/>
            <w:vAlign w:val="center"/>
          </w:tcPr>
          <w:p w14:paraId="3946E02C">
            <w:pPr>
              <w:pStyle w:val="57"/>
              <w:rPr>
                <w:b w:val="0"/>
                <w:bCs/>
              </w:rPr>
            </w:pPr>
            <w:r>
              <w:rPr>
                <w:b w:val="0"/>
                <w:bCs/>
                <w:lang w:val="en-US"/>
              </w:rPr>
              <w:t>/</w:t>
            </w:r>
          </w:p>
        </w:tc>
        <w:tc>
          <w:tcPr>
            <w:tcW w:w="681" w:type="dxa"/>
            <w:shd w:val="clear" w:color="auto" w:fill="auto"/>
            <w:vAlign w:val="center"/>
          </w:tcPr>
          <w:p w14:paraId="6F12C60F">
            <w:pPr>
              <w:pStyle w:val="57"/>
              <w:rPr>
                <w:b w:val="0"/>
                <w:bCs/>
              </w:rPr>
            </w:pPr>
            <w:r>
              <w:rPr>
                <w:b w:val="0"/>
                <w:bCs/>
                <w:lang w:val="en-US"/>
              </w:rPr>
              <w:t>/</w:t>
            </w:r>
          </w:p>
        </w:tc>
        <w:tc>
          <w:tcPr>
            <w:tcW w:w="681" w:type="dxa"/>
            <w:shd w:val="clear" w:color="auto" w:fill="auto"/>
            <w:vAlign w:val="center"/>
          </w:tcPr>
          <w:p w14:paraId="3E4511A1">
            <w:pPr>
              <w:pStyle w:val="57"/>
              <w:rPr>
                <w:b w:val="0"/>
                <w:bCs/>
              </w:rPr>
            </w:pPr>
            <w:r>
              <w:rPr>
                <w:b w:val="0"/>
                <w:bCs/>
                <w:lang w:val="en-US"/>
              </w:rPr>
              <w:t>/</w:t>
            </w:r>
          </w:p>
        </w:tc>
        <w:tc>
          <w:tcPr>
            <w:tcW w:w="681" w:type="dxa"/>
            <w:shd w:val="clear" w:color="auto" w:fill="auto"/>
            <w:vAlign w:val="center"/>
          </w:tcPr>
          <w:p w14:paraId="7AC221C8">
            <w:pPr>
              <w:pStyle w:val="57"/>
              <w:rPr>
                <w:b w:val="0"/>
                <w:bCs/>
              </w:rPr>
            </w:pPr>
            <w:r>
              <w:rPr>
                <w:b w:val="0"/>
                <w:bCs/>
                <w:lang w:val="en-US"/>
              </w:rPr>
              <w:t>/</w:t>
            </w:r>
          </w:p>
        </w:tc>
        <w:tc>
          <w:tcPr>
            <w:tcW w:w="1255" w:type="dxa"/>
            <w:shd w:val="clear" w:color="auto" w:fill="auto"/>
            <w:vAlign w:val="center"/>
          </w:tcPr>
          <w:p w14:paraId="0496DCC3">
            <w:pPr>
              <w:pStyle w:val="57"/>
              <w:rPr>
                <w:b w:val="0"/>
                <w:bCs/>
                <w:lang w:val="en-US"/>
              </w:rPr>
            </w:pPr>
            <w:r>
              <w:rPr>
                <w:rFonts w:hint="eastAsia"/>
                <w:b w:val="0"/>
                <w:bCs/>
                <w:lang w:val="en-US"/>
              </w:rPr>
              <w:t>/</w:t>
            </w:r>
          </w:p>
        </w:tc>
        <w:tc>
          <w:tcPr>
            <w:tcW w:w="841" w:type="dxa"/>
            <w:shd w:val="clear" w:color="auto" w:fill="auto"/>
            <w:vAlign w:val="center"/>
          </w:tcPr>
          <w:p w14:paraId="2A9FD5EB">
            <w:pPr>
              <w:pStyle w:val="57"/>
              <w:rPr>
                <w:b w:val="0"/>
                <w:bCs/>
              </w:rPr>
            </w:pPr>
            <w:r>
              <w:rPr>
                <w:b w:val="0"/>
                <w:bCs/>
                <w:lang w:val="en-US"/>
              </w:rPr>
              <w:t xml:space="preserve">0.001 </w:t>
            </w:r>
          </w:p>
        </w:tc>
        <w:tc>
          <w:tcPr>
            <w:tcW w:w="958" w:type="dxa"/>
            <w:shd w:val="clear" w:color="auto" w:fill="auto"/>
            <w:vAlign w:val="center"/>
          </w:tcPr>
          <w:p w14:paraId="50DE713C">
            <w:pPr>
              <w:pStyle w:val="57"/>
              <w:rPr>
                <w:b w:val="0"/>
                <w:bCs/>
              </w:rPr>
            </w:pPr>
            <w:r>
              <w:rPr>
                <w:b w:val="0"/>
                <w:bCs/>
                <w:lang w:val="en-US"/>
              </w:rPr>
              <w:t xml:space="preserve">0.0003 </w:t>
            </w:r>
          </w:p>
        </w:tc>
        <w:tc>
          <w:tcPr>
            <w:tcW w:w="930" w:type="dxa"/>
            <w:shd w:val="clear" w:color="auto" w:fill="auto"/>
            <w:vAlign w:val="center"/>
          </w:tcPr>
          <w:p w14:paraId="00AAF4F9">
            <w:pPr>
              <w:pStyle w:val="57"/>
              <w:rPr>
                <w:b w:val="0"/>
                <w:bCs/>
              </w:rPr>
            </w:pPr>
            <w:r>
              <w:rPr>
                <w:b w:val="0"/>
                <w:bCs/>
                <w:lang w:val="en-US"/>
              </w:rPr>
              <w:t>/</w:t>
            </w:r>
          </w:p>
        </w:tc>
        <w:tc>
          <w:tcPr>
            <w:tcW w:w="681" w:type="dxa"/>
            <w:shd w:val="clear" w:color="auto" w:fill="auto"/>
            <w:vAlign w:val="center"/>
          </w:tcPr>
          <w:p w14:paraId="3984B6B2">
            <w:pPr>
              <w:pStyle w:val="57"/>
              <w:rPr>
                <w:b w:val="0"/>
                <w:bCs/>
              </w:rPr>
            </w:pPr>
            <w:r>
              <w:rPr>
                <w:b w:val="0"/>
                <w:bCs/>
                <w:lang w:val="en-US"/>
              </w:rPr>
              <w:t>/</w:t>
            </w:r>
          </w:p>
        </w:tc>
        <w:tc>
          <w:tcPr>
            <w:tcW w:w="713" w:type="dxa"/>
            <w:shd w:val="clear" w:color="auto" w:fill="auto"/>
            <w:vAlign w:val="center"/>
          </w:tcPr>
          <w:p w14:paraId="33619405">
            <w:pPr>
              <w:pStyle w:val="57"/>
              <w:rPr>
                <w:b w:val="0"/>
                <w:bCs/>
              </w:rPr>
            </w:pPr>
            <w:r>
              <w:rPr>
                <w:b w:val="0"/>
                <w:bCs/>
                <w:lang w:val="en-US"/>
              </w:rPr>
              <w:t>/</w:t>
            </w:r>
          </w:p>
        </w:tc>
        <w:tc>
          <w:tcPr>
            <w:tcW w:w="691" w:type="dxa"/>
            <w:shd w:val="clear" w:color="auto" w:fill="auto"/>
            <w:vAlign w:val="center"/>
          </w:tcPr>
          <w:p w14:paraId="41786273">
            <w:pPr>
              <w:pStyle w:val="57"/>
              <w:rPr>
                <w:b w:val="0"/>
                <w:bCs/>
              </w:rPr>
            </w:pPr>
            <w:r>
              <w:rPr>
                <w:b w:val="0"/>
                <w:bCs/>
                <w:lang w:val="en-US"/>
              </w:rPr>
              <w:t>/</w:t>
            </w:r>
          </w:p>
        </w:tc>
      </w:tr>
    </w:tbl>
    <w:p w14:paraId="546D96C8">
      <w:pPr>
        <w:pStyle w:val="57"/>
        <w:rPr>
          <w:lang w:val="en-US"/>
        </w:rPr>
      </w:pPr>
    </w:p>
    <w:p w14:paraId="0B3E5CDD">
      <w:pPr>
        <w:wordWrap w:val="0"/>
        <w:adjustRightInd w:val="0"/>
        <w:snapToGrid w:val="0"/>
        <w:spacing w:line="360" w:lineRule="auto"/>
        <w:rPr>
          <w:rFonts w:cs="宋体"/>
          <w:b/>
          <w:kern w:val="0"/>
          <w:sz w:val="28"/>
          <w:szCs w:val="28"/>
        </w:rPr>
      </w:pPr>
    </w:p>
    <w:p w14:paraId="727D3478">
      <w:pPr>
        <w:wordWrap w:val="0"/>
        <w:adjustRightInd w:val="0"/>
        <w:snapToGrid w:val="0"/>
        <w:spacing w:line="360" w:lineRule="auto"/>
        <w:rPr>
          <w:rFonts w:cs="宋体"/>
          <w:b/>
          <w:kern w:val="0"/>
          <w:sz w:val="28"/>
          <w:szCs w:val="28"/>
        </w:rPr>
        <w:sectPr>
          <w:pgSz w:w="16840" w:h="11907" w:orient="landscape"/>
          <w:pgMar w:top="720" w:right="720" w:bottom="720" w:left="720" w:header="851" w:footer="851" w:gutter="0"/>
          <w:cols w:space="720" w:num="1"/>
          <w:docGrid w:linePitch="312" w:charSpace="0"/>
        </w:sectPr>
      </w:pPr>
    </w:p>
    <w:tbl>
      <w:tblPr>
        <w:tblStyle w:val="35"/>
        <w:tblW w:w="537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5"/>
        <w:gridCol w:w="9739"/>
      </w:tblGrid>
      <w:tr w14:paraId="651C55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57" w:hRule="atLeast"/>
          <w:jc w:val="center"/>
        </w:trPr>
        <w:tc>
          <w:tcPr>
            <w:tcW w:w="878" w:type="dxa"/>
            <w:tcMar>
              <w:left w:w="28" w:type="dxa"/>
              <w:right w:w="28" w:type="dxa"/>
            </w:tcMar>
            <w:vAlign w:val="center"/>
          </w:tcPr>
          <w:p w14:paraId="4852C38C">
            <w:pPr>
              <w:wordWrap w:val="0"/>
              <w:adjustRightInd w:val="0"/>
              <w:snapToGrid w:val="0"/>
              <w:spacing w:line="360" w:lineRule="auto"/>
              <w:jc w:val="center"/>
              <w:rPr>
                <w:rFonts w:cs="宋体"/>
                <w:b/>
                <w:bCs/>
                <w:sz w:val="24"/>
              </w:rPr>
            </w:pPr>
            <w:r>
              <w:rPr>
                <w:rFonts w:hint="eastAsia" w:cs="宋体"/>
                <w:b/>
                <w:bCs/>
                <w:sz w:val="24"/>
              </w:rPr>
              <w:t>运营</w:t>
            </w:r>
          </w:p>
          <w:p w14:paraId="2A24B7B0">
            <w:pPr>
              <w:wordWrap w:val="0"/>
              <w:adjustRightInd w:val="0"/>
              <w:snapToGrid w:val="0"/>
              <w:spacing w:line="360" w:lineRule="auto"/>
              <w:jc w:val="center"/>
              <w:rPr>
                <w:rFonts w:cs="宋体"/>
                <w:b/>
                <w:bCs/>
                <w:sz w:val="24"/>
              </w:rPr>
            </w:pPr>
            <w:r>
              <w:rPr>
                <w:rFonts w:hint="eastAsia" w:cs="宋体"/>
                <w:b/>
                <w:bCs/>
                <w:sz w:val="24"/>
              </w:rPr>
              <w:t>期环</w:t>
            </w:r>
          </w:p>
          <w:p w14:paraId="5DA7AF01">
            <w:pPr>
              <w:wordWrap w:val="0"/>
              <w:adjustRightInd w:val="0"/>
              <w:snapToGrid w:val="0"/>
              <w:spacing w:line="360" w:lineRule="auto"/>
              <w:jc w:val="center"/>
              <w:rPr>
                <w:rFonts w:cs="宋体"/>
                <w:b/>
                <w:bCs/>
                <w:sz w:val="24"/>
              </w:rPr>
            </w:pPr>
            <w:r>
              <w:rPr>
                <w:rFonts w:hint="eastAsia" w:cs="宋体"/>
                <w:b/>
                <w:bCs/>
                <w:sz w:val="24"/>
              </w:rPr>
              <w:t>境影</w:t>
            </w:r>
          </w:p>
          <w:p w14:paraId="04F1B1ED">
            <w:pPr>
              <w:wordWrap w:val="0"/>
              <w:adjustRightInd w:val="0"/>
              <w:snapToGrid w:val="0"/>
              <w:spacing w:line="360" w:lineRule="auto"/>
              <w:jc w:val="center"/>
              <w:rPr>
                <w:rFonts w:cs="宋体"/>
                <w:b/>
                <w:bCs/>
                <w:sz w:val="24"/>
              </w:rPr>
            </w:pPr>
            <w:r>
              <w:rPr>
                <w:rFonts w:hint="eastAsia" w:cs="宋体"/>
                <w:b/>
                <w:bCs/>
                <w:sz w:val="24"/>
              </w:rPr>
              <w:t>响和</w:t>
            </w:r>
          </w:p>
          <w:p w14:paraId="47438E8A">
            <w:pPr>
              <w:wordWrap w:val="0"/>
              <w:adjustRightInd w:val="0"/>
              <w:snapToGrid w:val="0"/>
              <w:spacing w:line="360" w:lineRule="auto"/>
              <w:jc w:val="center"/>
              <w:rPr>
                <w:rFonts w:cs="宋体"/>
                <w:b/>
                <w:bCs/>
                <w:sz w:val="24"/>
              </w:rPr>
            </w:pPr>
            <w:r>
              <w:rPr>
                <w:rFonts w:hint="eastAsia" w:cs="宋体"/>
                <w:b/>
                <w:bCs/>
                <w:sz w:val="24"/>
              </w:rPr>
              <w:t>保护</w:t>
            </w:r>
          </w:p>
          <w:p w14:paraId="05C01BE1">
            <w:pPr>
              <w:wordWrap w:val="0"/>
              <w:adjustRightInd w:val="0"/>
              <w:snapToGrid w:val="0"/>
              <w:spacing w:line="360" w:lineRule="auto"/>
              <w:jc w:val="center"/>
              <w:rPr>
                <w:rFonts w:cs="宋体"/>
                <w:b/>
                <w:bCs/>
                <w:sz w:val="24"/>
              </w:rPr>
            </w:pPr>
            <w:r>
              <w:rPr>
                <w:rFonts w:hint="eastAsia" w:cs="宋体"/>
                <w:b/>
                <w:bCs/>
                <w:sz w:val="24"/>
              </w:rPr>
              <w:t>措施</w:t>
            </w:r>
          </w:p>
        </w:tc>
        <w:tc>
          <w:tcPr>
            <w:tcW w:w="9661" w:type="dxa"/>
            <w:vAlign w:val="center"/>
          </w:tcPr>
          <w:p w14:paraId="35FA2EC0">
            <w:pPr>
              <w:pStyle w:val="111"/>
              <w:numPr>
                <w:ilvl w:val="0"/>
                <w:numId w:val="24"/>
              </w:numPr>
              <w:wordWrap w:val="0"/>
              <w:ind w:firstLine="482"/>
              <w:rPr>
                <w:rFonts w:hint="default"/>
                <w:b/>
                <w:bCs/>
                <w:color w:val="auto"/>
              </w:rPr>
            </w:pPr>
            <w:r>
              <w:rPr>
                <w:b/>
                <w:bCs/>
                <w:color w:val="auto"/>
              </w:rPr>
              <w:t>污染源强度核算过程</w:t>
            </w:r>
          </w:p>
          <w:p w14:paraId="59E05570">
            <w:pPr>
              <w:pStyle w:val="111"/>
              <w:ind w:firstLine="482"/>
              <w:rPr>
                <w:rFonts w:hint="default"/>
                <w:b/>
                <w:bCs/>
                <w:color w:val="auto"/>
              </w:rPr>
            </w:pPr>
            <w:r>
              <w:rPr>
                <w:b/>
                <w:bCs/>
                <w:color w:val="auto"/>
              </w:rPr>
              <w:t>（1）电解清洗过程中碱雾</w:t>
            </w:r>
          </w:p>
          <w:p w14:paraId="0E3A93CA">
            <w:pPr>
              <w:pStyle w:val="111"/>
              <w:rPr>
                <w:rFonts w:hint="default"/>
                <w:color w:val="auto"/>
              </w:rPr>
            </w:pPr>
            <w:r>
              <w:rPr>
                <w:color w:val="auto"/>
              </w:rPr>
              <w:t>项目采用12%NaOH溶液作为电解清洗液，清洗过程中温度≤32℃，根据NaOH特性，其在剧烈反应或高温作业等条件下才能产生碱雾，本项目电解清洗过程中不会产生碱雾，但是由于电解反应会产生水蒸气、氧气及氢气，水蒸气、氧气及氢气在逸出过程中会携带微量的碱液液滴进入空气，形成碱雾。</w:t>
            </w:r>
          </w:p>
          <w:p w14:paraId="784467A6">
            <w:pPr>
              <w:pStyle w:val="111"/>
              <w:rPr>
                <w:rFonts w:hint="default"/>
                <w:color w:val="auto"/>
              </w:rPr>
            </w:pPr>
            <w:r>
              <w:rPr>
                <w:rFonts w:hint="default"/>
                <w:color w:val="auto"/>
              </w:rPr>
              <w:t>根据《机械工业采暖通风与空调设计手册》有色金属电解去油，NaOH散发率2～4g/（m</w:t>
            </w:r>
            <w:r>
              <w:rPr>
                <w:rFonts w:hint="default"/>
                <w:color w:val="auto"/>
                <w:vertAlign w:val="superscript"/>
              </w:rPr>
              <w:t>2</w:t>
            </w:r>
            <w:r>
              <w:rPr>
                <w:rFonts w:hint="default"/>
                <w:color w:val="auto"/>
              </w:rPr>
              <w:t>·h），项目</w:t>
            </w:r>
            <w:r>
              <w:rPr>
                <w:color w:val="auto"/>
              </w:rPr>
              <w:t>每台电解清洗槽</w:t>
            </w:r>
            <w:r>
              <w:rPr>
                <w:rFonts w:hint="default"/>
                <w:color w:val="auto"/>
              </w:rPr>
              <w:t>面积</w:t>
            </w:r>
            <w:r>
              <w:rPr>
                <w:color w:val="auto"/>
              </w:rPr>
              <w:t>0.88</w:t>
            </w:r>
            <w:r>
              <w:rPr>
                <w:rFonts w:hint="default"/>
                <w:color w:val="auto"/>
              </w:rPr>
              <w:t>m</w:t>
            </w:r>
            <w:r>
              <w:rPr>
                <w:color w:val="auto"/>
                <w:vertAlign w:val="superscript"/>
              </w:rPr>
              <w:t>2</w:t>
            </w:r>
            <w:r>
              <w:rPr>
                <w:rFonts w:hint="default"/>
                <w:color w:val="auto"/>
              </w:rPr>
              <w:t>（</w:t>
            </w:r>
            <w:r>
              <w:rPr>
                <w:color w:val="auto"/>
              </w:rPr>
              <w:t>2</w:t>
            </w:r>
            <w:r>
              <w:rPr>
                <w:rFonts w:hint="default"/>
                <w:color w:val="auto"/>
              </w:rPr>
              <w:t>m×0.</w:t>
            </w:r>
            <w:r>
              <w:rPr>
                <w:color w:val="auto"/>
              </w:rPr>
              <w:t>44</w:t>
            </w:r>
            <w:r>
              <w:rPr>
                <w:rFonts w:hint="default"/>
                <w:color w:val="auto"/>
              </w:rPr>
              <w:t>m），</w:t>
            </w:r>
            <w:r>
              <w:rPr>
                <w:color w:val="auto"/>
              </w:rPr>
              <w:t>共37台电解清洗槽，</w:t>
            </w:r>
            <w:r>
              <w:rPr>
                <w:rFonts w:hint="default"/>
                <w:color w:val="auto"/>
              </w:rPr>
              <w:t>本次评价按最不利因素考虑，取4g/（m</w:t>
            </w:r>
            <w:r>
              <w:rPr>
                <w:rFonts w:hint="default"/>
                <w:color w:val="auto"/>
                <w:vertAlign w:val="superscript"/>
              </w:rPr>
              <w:t>2</w:t>
            </w:r>
            <w:r>
              <w:rPr>
                <w:rFonts w:hint="default"/>
                <w:color w:val="auto"/>
              </w:rPr>
              <w:t>·h），年</w:t>
            </w:r>
            <w:r>
              <w:rPr>
                <w:color w:val="auto"/>
              </w:rPr>
              <w:t>电解清洗</w:t>
            </w:r>
            <w:r>
              <w:rPr>
                <w:rFonts w:hint="default"/>
                <w:color w:val="auto"/>
              </w:rPr>
              <w:t>工作</w:t>
            </w:r>
            <w:r>
              <w:rPr>
                <w:color w:val="auto"/>
              </w:rPr>
              <w:t>72</w:t>
            </w:r>
            <w:r>
              <w:rPr>
                <w:rFonts w:hint="default"/>
                <w:color w:val="auto"/>
              </w:rPr>
              <w:t>00h，则碱雾产生量约0.</w:t>
            </w:r>
            <w:r>
              <w:rPr>
                <w:color w:val="auto"/>
              </w:rPr>
              <w:t>13</w:t>
            </w:r>
            <w:r>
              <w:rPr>
                <w:rFonts w:hint="default"/>
                <w:color w:val="auto"/>
              </w:rPr>
              <w:t>kg/h（0.</w:t>
            </w:r>
            <w:r>
              <w:rPr>
                <w:color w:val="auto"/>
              </w:rPr>
              <w:t>936</w:t>
            </w:r>
            <w:r>
              <w:rPr>
                <w:rFonts w:hint="default"/>
                <w:color w:val="auto"/>
              </w:rPr>
              <w:t>t/a）。</w:t>
            </w:r>
          </w:p>
          <w:p w14:paraId="73493F24">
            <w:pPr>
              <w:pStyle w:val="111"/>
              <w:ind w:firstLine="482"/>
              <w:rPr>
                <w:rFonts w:hint="default"/>
                <w:color w:val="auto"/>
              </w:rPr>
            </w:pPr>
            <w:r>
              <w:rPr>
                <w:b/>
                <w:bCs/>
                <w:color w:val="auto"/>
              </w:rPr>
              <w:t>治理措施：</w:t>
            </w:r>
            <w:r>
              <w:rPr>
                <w:color w:val="auto"/>
              </w:rPr>
              <w:t>电解碱洗工序生产过程中均加盖密闭，仅装线、检修时将槽体盖打开，</w:t>
            </w:r>
            <w:r>
              <w:rPr>
                <w:rFonts w:hint="default"/>
                <w:color w:val="auto"/>
              </w:rPr>
              <w:t>本项目拟在</w:t>
            </w:r>
            <w:r>
              <w:rPr>
                <w:color w:val="auto"/>
              </w:rPr>
              <w:t>37台电解清洗槽</w:t>
            </w:r>
            <w:r>
              <w:rPr>
                <w:rFonts w:hint="default"/>
                <w:color w:val="auto"/>
              </w:rPr>
              <w:t>上方分别设置顶吸式矩形集气罩</w:t>
            </w:r>
            <w:r>
              <w:rPr>
                <w:color w:val="auto"/>
              </w:rPr>
              <w:t>37套</w:t>
            </w:r>
            <w:r>
              <w:rPr>
                <w:rFonts w:hint="default"/>
                <w:color w:val="auto"/>
              </w:rPr>
              <w:t>收集</w:t>
            </w:r>
            <w:r>
              <w:rPr>
                <w:color w:val="auto"/>
              </w:rPr>
              <w:t>碱雾，</w:t>
            </w:r>
            <w:r>
              <w:rPr>
                <w:rFonts w:hint="default"/>
                <w:color w:val="auto"/>
              </w:rPr>
              <w:t>收集效率按90%计，收集后引至</w:t>
            </w:r>
            <w:r>
              <w:rPr>
                <w:color w:val="auto"/>
              </w:rPr>
              <w:t>屋顶</w:t>
            </w:r>
            <w:r>
              <w:rPr>
                <w:rFonts w:hint="default"/>
                <w:color w:val="auto"/>
              </w:rPr>
              <w:t>经</w:t>
            </w:r>
            <w:r>
              <w:rPr>
                <w:color w:val="auto"/>
              </w:rPr>
              <w:t>中和喷淋塔</w:t>
            </w:r>
            <w:r>
              <w:rPr>
                <w:rStyle w:val="115"/>
                <w:rFonts w:hint="default"/>
                <w:color w:val="auto"/>
              </w:rPr>
              <w:t>处理后</w:t>
            </w:r>
            <w:r>
              <w:rPr>
                <w:rStyle w:val="115"/>
                <w:color w:val="auto"/>
              </w:rPr>
              <w:t>由27m高排气筒（</w:t>
            </w:r>
            <w:r>
              <w:rPr>
                <w:rStyle w:val="115"/>
                <w:color w:val="auto"/>
                <w:lang w:eastAsia="zh-CN"/>
              </w:rPr>
              <w:t>1#</w:t>
            </w:r>
            <w:r>
              <w:rPr>
                <w:rStyle w:val="115"/>
                <w:color w:val="auto"/>
              </w:rPr>
              <w:t>）</w:t>
            </w:r>
            <w:r>
              <w:rPr>
                <w:rStyle w:val="115"/>
                <w:rFonts w:hint="default"/>
                <w:color w:val="auto"/>
              </w:rPr>
              <w:t>有组织排放</w:t>
            </w:r>
            <w:r>
              <w:rPr>
                <w:color w:val="auto"/>
              </w:rPr>
              <w:t>。</w:t>
            </w:r>
          </w:p>
          <w:p w14:paraId="5C084163">
            <w:pPr>
              <w:pStyle w:val="111"/>
              <w:numPr>
                <w:ilvl w:val="0"/>
                <w:numId w:val="8"/>
              </w:numPr>
              <w:ind w:firstLine="482"/>
              <w:rPr>
                <w:rFonts w:hint="default"/>
                <w:b/>
                <w:bCs/>
                <w:color w:val="auto"/>
              </w:rPr>
            </w:pPr>
            <w:r>
              <w:rPr>
                <w:b/>
                <w:bCs/>
                <w:color w:val="auto"/>
              </w:rPr>
              <w:t>“钨回收系统”废气</w:t>
            </w:r>
          </w:p>
          <w:p w14:paraId="43C14FCD">
            <w:pPr>
              <w:pStyle w:val="111"/>
              <w:ind w:left="420" w:leftChars="200" w:firstLine="0" w:firstLineChars="0"/>
              <w:rPr>
                <w:rFonts w:hint="default"/>
                <w:color w:val="auto"/>
              </w:rPr>
            </w:pPr>
            <w:r>
              <w:rPr>
                <w:color w:val="auto"/>
              </w:rPr>
              <w:t>①“钨回收系统”蒸发干化过程中碱雾</w:t>
            </w:r>
          </w:p>
          <w:p w14:paraId="6A1F4755">
            <w:pPr>
              <w:pStyle w:val="111"/>
              <w:rPr>
                <w:rFonts w:hint="default"/>
                <w:color w:val="auto"/>
              </w:rPr>
            </w:pPr>
            <w:r>
              <w:rPr>
                <w:color w:val="auto"/>
              </w:rPr>
              <w:t>根据项目电解清洗原理，电解过程中碱液与钨丝生成钨酸钠溶液，其电解清洗废水主要成分为钨酸钠溶液，根据电解清洗工艺设计，电解清洗过程中排放碱液基本反应完全，钨酸</w:t>
            </w:r>
            <w:r>
              <w:rPr>
                <w:rFonts w:hint="eastAsia"/>
                <w:color w:val="auto"/>
                <w:lang w:val="en-US" w:eastAsia="zh-CN"/>
              </w:rPr>
              <w:t>钠</w:t>
            </w:r>
            <w:r>
              <w:rPr>
                <w:color w:val="auto"/>
              </w:rPr>
              <w:t>溶液呈碱性，在蒸发加热过程中，加热温度140℃左右，形成碱雾。</w:t>
            </w:r>
          </w:p>
          <w:p w14:paraId="4D007C3E">
            <w:pPr>
              <w:pStyle w:val="111"/>
              <w:rPr>
                <w:rFonts w:hint="default"/>
                <w:color w:val="auto"/>
              </w:rPr>
            </w:pPr>
            <w:r>
              <w:rPr>
                <w:rFonts w:hint="default"/>
                <w:color w:val="auto"/>
              </w:rPr>
              <w:t>根据《机械工业采暖通风与空调设计手册》有色金属电解去油，NaOH散发率2～4g/（m</w:t>
            </w:r>
            <w:r>
              <w:rPr>
                <w:rFonts w:hint="default"/>
                <w:color w:val="auto"/>
                <w:vertAlign w:val="superscript"/>
              </w:rPr>
              <w:t>2</w:t>
            </w:r>
            <w:r>
              <w:rPr>
                <w:rFonts w:hint="default"/>
                <w:color w:val="auto"/>
              </w:rPr>
              <w:t>·h），项目</w:t>
            </w:r>
            <w:r>
              <w:rPr>
                <w:color w:val="auto"/>
              </w:rPr>
              <w:t>每台蒸发干化设备</w:t>
            </w:r>
            <w:r>
              <w:rPr>
                <w:rFonts w:hint="default"/>
                <w:color w:val="auto"/>
              </w:rPr>
              <w:t>面积</w:t>
            </w:r>
            <w:r>
              <w:rPr>
                <w:color w:val="auto"/>
              </w:rPr>
              <w:t>1</w:t>
            </w:r>
            <w:r>
              <w:rPr>
                <w:rFonts w:hint="default"/>
                <w:color w:val="auto"/>
              </w:rPr>
              <w:t>m</w:t>
            </w:r>
            <w:r>
              <w:rPr>
                <w:color w:val="auto"/>
                <w:vertAlign w:val="superscript"/>
              </w:rPr>
              <w:t>2</w:t>
            </w:r>
            <w:r>
              <w:rPr>
                <w:rFonts w:hint="default"/>
                <w:color w:val="auto"/>
              </w:rPr>
              <w:t>，</w:t>
            </w:r>
            <w:r>
              <w:rPr>
                <w:color w:val="auto"/>
              </w:rPr>
              <w:t>共6台蒸发干化设备，</w:t>
            </w:r>
            <w:r>
              <w:rPr>
                <w:rFonts w:hint="default"/>
                <w:color w:val="auto"/>
              </w:rPr>
              <w:t>本次评价按最不利因素考虑，取4g/（m</w:t>
            </w:r>
            <w:r>
              <w:rPr>
                <w:rFonts w:hint="default"/>
                <w:color w:val="auto"/>
                <w:vertAlign w:val="superscript"/>
              </w:rPr>
              <w:t>2</w:t>
            </w:r>
            <w:r>
              <w:rPr>
                <w:rFonts w:hint="default"/>
                <w:color w:val="auto"/>
              </w:rPr>
              <w:t>·h），年</w:t>
            </w:r>
            <w:r>
              <w:rPr>
                <w:color w:val="auto"/>
              </w:rPr>
              <w:t>蒸发干化</w:t>
            </w:r>
            <w:r>
              <w:rPr>
                <w:rFonts w:hint="default"/>
                <w:color w:val="auto"/>
              </w:rPr>
              <w:t>工作</w:t>
            </w:r>
            <w:r>
              <w:rPr>
                <w:color w:val="auto"/>
              </w:rPr>
              <w:t>24</w:t>
            </w:r>
            <w:r>
              <w:rPr>
                <w:rFonts w:hint="default"/>
                <w:color w:val="auto"/>
              </w:rPr>
              <w:t>00h，则碱雾产生量约0.</w:t>
            </w:r>
            <w:r>
              <w:rPr>
                <w:color w:val="auto"/>
              </w:rPr>
              <w:t>024</w:t>
            </w:r>
            <w:r>
              <w:rPr>
                <w:rFonts w:hint="default"/>
                <w:color w:val="auto"/>
              </w:rPr>
              <w:t>kg/h（0.</w:t>
            </w:r>
            <w:r>
              <w:rPr>
                <w:color w:val="auto"/>
              </w:rPr>
              <w:t>058</w:t>
            </w:r>
            <w:r>
              <w:rPr>
                <w:rFonts w:hint="default"/>
                <w:color w:val="auto"/>
              </w:rPr>
              <w:t>t/a）。</w:t>
            </w:r>
          </w:p>
          <w:p w14:paraId="26AB33BC">
            <w:pPr>
              <w:pStyle w:val="111"/>
              <w:ind w:left="420" w:leftChars="200" w:firstLine="0" w:firstLineChars="0"/>
              <w:rPr>
                <w:rFonts w:hint="default"/>
                <w:color w:val="auto"/>
              </w:rPr>
            </w:pPr>
            <w:r>
              <w:rPr>
                <w:color w:val="auto"/>
              </w:rPr>
              <w:t>②“钨回收系统”蒸发干化过程中天然气燃烧废气</w:t>
            </w:r>
          </w:p>
          <w:p w14:paraId="10EC8BA4">
            <w:pPr>
              <w:spacing w:line="360" w:lineRule="auto"/>
              <w:ind w:firstLine="480" w:firstLineChars="200"/>
              <w:rPr>
                <w:sz w:val="24"/>
              </w:rPr>
            </w:pPr>
            <w:r>
              <w:rPr>
                <w:rFonts w:hint="eastAsia"/>
                <w:sz w:val="24"/>
              </w:rPr>
              <w:t>根据企业提供资料，本项目年用天然气量为36000Nm</w:t>
            </w:r>
            <w:r>
              <w:rPr>
                <w:rFonts w:hint="eastAsia"/>
                <w:sz w:val="24"/>
                <w:vertAlign w:val="superscript"/>
              </w:rPr>
              <w:t>3</w:t>
            </w:r>
            <w:r>
              <w:rPr>
                <w:rFonts w:hint="eastAsia"/>
                <w:sz w:val="24"/>
              </w:rPr>
              <w:t>，全年生产2400h。</w:t>
            </w:r>
          </w:p>
          <w:p w14:paraId="5DB5CBF9">
            <w:pPr>
              <w:pStyle w:val="11"/>
              <w:widowControl w:val="0"/>
              <w:snapToGrid/>
              <w:spacing w:before="0" w:after="0" w:line="360" w:lineRule="auto"/>
              <w:ind w:right="0" w:firstLine="480" w:firstLineChars="200"/>
              <w:rPr>
                <w:rFonts w:cs="宋体"/>
                <w:sz w:val="24"/>
                <w:lang w:bidi="ar"/>
              </w:rPr>
            </w:pPr>
            <w:r>
              <w:rPr>
                <w:rFonts w:hint="eastAsia"/>
                <w:sz w:val="24"/>
              </w:rPr>
              <w:t>参考《排放源统计调查产排污核算方法和系数手册</w:t>
            </w:r>
            <w:r>
              <w:rPr>
                <w:rFonts w:hint="eastAsia" w:cs="宋体"/>
                <w:sz w:val="24"/>
                <w:szCs w:val="24"/>
              </w:rPr>
              <w:t>4430</w:t>
            </w:r>
            <w:r>
              <w:rPr>
                <w:rFonts w:hint="eastAsia"/>
                <w:sz w:val="24"/>
              </w:rPr>
              <w:t>工业锅炉（热力生产和供应行业）行业</w:t>
            </w:r>
            <w:r>
              <w:rPr>
                <w:rFonts w:cs="宋体"/>
                <w:sz w:val="24"/>
                <w:szCs w:val="24"/>
              </w:rPr>
              <w:t>系数手册</w:t>
            </w:r>
            <w:r>
              <w:rPr>
                <w:rFonts w:hint="eastAsia"/>
                <w:sz w:val="24"/>
              </w:rPr>
              <w:t>》（</w:t>
            </w:r>
            <w:r>
              <w:rPr>
                <w:rFonts w:hint="eastAsia" w:cs="宋体"/>
                <w:sz w:val="24"/>
                <w:szCs w:val="24"/>
                <w:lang w:bidi="ar"/>
              </w:rPr>
              <w:t>环境部公告</w:t>
            </w:r>
            <w:r>
              <w:rPr>
                <w:sz w:val="24"/>
                <w:szCs w:val="24"/>
                <w:lang w:bidi="ar"/>
              </w:rPr>
              <w:t>2021</w:t>
            </w:r>
            <w:r>
              <w:rPr>
                <w:rFonts w:hint="eastAsia" w:cs="宋体"/>
                <w:sz w:val="24"/>
                <w:szCs w:val="24"/>
                <w:lang w:bidi="ar"/>
              </w:rPr>
              <w:t>年第</w:t>
            </w:r>
            <w:r>
              <w:rPr>
                <w:sz w:val="24"/>
                <w:szCs w:val="24"/>
                <w:lang w:bidi="ar"/>
              </w:rPr>
              <w:t>24</w:t>
            </w:r>
            <w:r>
              <w:rPr>
                <w:rFonts w:hint="eastAsia" w:cs="宋体"/>
                <w:sz w:val="24"/>
                <w:szCs w:val="24"/>
                <w:lang w:bidi="ar"/>
              </w:rPr>
              <w:t>号，生态环境部办公厅</w:t>
            </w:r>
            <w:r>
              <w:rPr>
                <w:rFonts w:hint="eastAsia"/>
                <w:sz w:val="24"/>
              </w:rPr>
              <w:t>2021年6月11日印发）中“4430工业锅炉（热力生产和供应行业）产污系数表－燃气工业锅炉</w:t>
            </w:r>
            <w:r>
              <w:rPr>
                <w:rFonts w:hint="eastAsia" w:cs="宋体"/>
                <w:sz w:val="24"/>
                <w:lang w:bidi="ar"/>
              </w:rPr>
              <w:t>”，</w:t>
            </w:r>
            <w:r>
              <w:rPr>
                <w:rFonts w:hint="eastAsia"/>
                <w:sz w:val="24"/>
              </w:rPr>
              <w:t>采用天然气作为燃料的所有规模室燃炉，其废气量、二氧化硫、氮氧化物产污系数</w:t>
            </w:r>
            <w:r>
              <w:rPr>
                <w:rFonts w:hint="eastAsia" w:cs="宋体"/>
                <w:sz w:val="24"/>
                <w:lang w:bidi="ar"/>
              </w:rPr>
              <w:t>具体见下表；颗粒物产污系数</w:t>
            </w:r>
            <w:r>
              <w:rPr>
                <w:rFonts w:hint="eastAsia"/>
                <w:sz w:val="24"/>
              </w:rPr>
              <w:t>参考《排污许可证申请与核发技术规范锅炉》（HJ953-2018）中“燃气工业锅炉的废气产排污系数-2.86</w:t>
            </w:r>
            <w:r>
              <w:rPr>
                <w:sz w:val="24"/>
                <w:lang w:val="zh-CN"/>
              </w:rPr>
              <w:t>kg</w:t>
            </w:r>
            <w:r>
              <w:rPr>
                <w:rFonts w:hint="eastAsia"/>
                <w:sz w:val="24"/>
              </w:rPr>
              <w:t>/万</w:t>
            </w:r>
            <w:r>
              <w:rPr>
                <w:sz w:val="24"/>
                <w:szCs w:val="24"/>
              </w:rPr>
              <w:t>m</w:t>
            </w:r>
            <w:r>
              <w:rPr>
                <w:sz w:val="24"/>
                <w:szCs w:val="24"/>
                <w:vertAlign w:val="superscript"/>
              </w:rPr>
              <w:t>3</w:t>
            </w:r>
            <w:r>
              <w:rPr>
                <w:rFonts w:hint="eastAsia"/>
                <w:sz w:val="24"/>
                <w:szCs w:val="24"/>
              </w:rPr>
              <w:t>天然气</w:t>
            </w:r>
            <w:r>
              <w:rPr>
                <w:rFonts w:hint="eastAsia"/>
                <w:sz w:val="24"/>
              </w:rPr>
              <w:t>”进行分析，具体见下表。</w:t>
            </w:r>
          </w:p>
          <w:p w14:paraId="225EEE8B">
            <w:pPr>
              <w:jc w:val="center"/>
              <w:rPr>
                <w:b/>
              </w:rPr>
            </w:pPr>
            <w:r>
              <w:rPr>
                <w:rFonts w:hint="eastAsia"/>
                <w:b/>
              </w:rPr>
              <w:t>表4-</w:t>
            </w:r>
            <w:r>
              <w:rPr>
                <w:rFonts w:hint="eastAsia"/>
                <w:b/>
                <w:lang w:val="en-US" w:eastAsia="zh-CN"/>
              </w:rPr>
              <w:t>2</w:t>
            </w:r>
            <w:r>
              <w:rPr>
                <w:rFonts w:hint="eastAsia"/>
                <w:b/>
              </w:rPr>
              <w:t>燃气烟气产生情况分析一览表</w:t>
            </w:r>
          </w:p>
          <w:tbl>
            <w:tblPr>
              <w:tblStyle w:val="130"/>
              <w:tblW w:w="4999"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687"/>
              <w:gridCol w:w="705"/>
              <w:gridCol w:w="702"/>
              <w:gridCol w:w="1344"/>
              <w:gridCol w:w="1819"/>
              <w:gridCol w:w="978"/>
              <w:gridCol w:w="1155"/>
              <w:gridCol w:w="755"/>
              <w:gridCol w:w="1371"/>
            </w:tblGrid>
            <w:tr w14:paraId="1E2E757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0" w:type="pct"/>
                  <w:vMerge w:val="restart"/>
                  <w:tcBorders>
                    <w:tl2br w:val="nil"/>
                    <w:tr2bl w:val="nil"/>
                  </w:tcBorders>
                  <w:vAlign w:val="center"/>
                </w:tcPr>
                <w:p w14:paraId="2EF2113B">
                  <w:pPr>
                    <w:spacing w:line="240" w:lineRule="auto"/>
                    <w:jc w:val="center"/>
                    <w:rPr>
                      <w:rFonts w:cs="宋体"/>
                      <w:b/>
                      <w:bCs/>
                      <w:kern w:val="0"/>
                      <w:szCs w:val="21"/>
                    </w:rPr>
                  </w:pPr>
                  <w:r>
                    <w:rPr>
                      <w:rFonts w:hint="eastAsia" w:cs="宋体"/>
                      <w:b/>
                      <w:bCs/>
                      <w:kern w:val="0"/>
                      <w:szCs w:val="21"/>
                    </w:rPr>
                    <w:t>燃料名称</w:t>
                  </w:r>
                </w:p>
              </w:tc>
              <w:tc>
                <w:tcPr>
                  <w:tcW w:w="370" w:type="pct"/>
                  <w:vMerge w:val="restart"/>
                  <w:tcBorders>
                    <w:tl2br w:val="nil"/>
                    <w:tr2bl w:val="nil"/>
                  </w:tcBorders>
                  <w:vAlign w:val="center"/>
                </w:tcPr>
                <w:p w14:paraId="178BC9E5">
                  <w:pPr>
                    <w:spacing w:line="240" w:lineRule="auto"/>
                    <w:jc w:val="center"/>
                    <w:rPr>
                      <w:rFonts w:cs="宋体"/>
                      <w:b/>
                      <w:bCs/>
                      <w:kern w:val="0"/>
                      <w:szCs w:val="21"/>
                    </w:rPr>
                  </w:pPr>
                  <w:r>
                    <w:rPr>
                      <w:rFonts w:cs="宋体"/>
                      <w:b/>
                      <w:bCs/>
                      <w:kern w:val="0"/>
                      <w:szCs w:val="21"/>
                    </w:rPr>
                    <w:t>工艺名称</w:t>
                  </w:r>
                </w:p>
              </w:tc>
              <w:tc>
                <w:tcPr>
                  <w:tcW w:w="369" w:type="pct"/>
                  <w:vMerge w:val="restart"/>
                  <w:tcBorders>
                    <w:tl2br w:val="nil"/>
                    <w:tr2bl w:val="nil"/>
                  </w:tcBorders>
                  <w:vAlign w:val="center"/>
                </w:tcPr>
                <w:p w14:paraId="68CD1847">
                  <w:pPr>
                    <w:spacing w:line="240" w:lineRule="auto"/>
                    <w:jc w:val="center"/>
                    <w:rPr>
                      <w:rFonts w:cs="宋体"/>
                      <w:b/>
                      <w:bCs/>
                      <w:kern w:val="0"/>
                      <w:szCs w:val="21"/>
                    </w:rPr>
                  </w:pPr>
                  <w:r>
                    <w:rPr>
                      <w:rFonts w:cs="宋体"/>
                      <w:b/>
                      <w:bCs/>
                      <w:kern w:val="0"/>
                      <w:szCs w:val="21"/>
                    </w:rPr>
                    <w:t>规模等级</w:t>
                  </w:r>
                </w:p>
              </w:tc>
              <w:tc>
                <w:tcPr>
                  <w:tcW w:w="706" w:type="pct"/>
                  <w:vMerge w:val="restart"/>
                  <w:tcBorders>
                    <w:tl2br w:val="nil"/>
                    <w:tr2bl w:val="nil"/>
                  </w:tcBorders>
                  <w:vAlign w:val="center"/>
                </w:tcPr>
                <w:p w14:paraId="1F293D94">
                  <w:pPr>
                    <w:spacing w:line="240" w:lineRule="auto"/>
                    <w:jc w:val="center"/>
                    <w:rPr>
                      <w:rFonts w:cs="宋体"/>
                      <w:b/>
                      <w:bCs/>
                      <w:kern w:val="0"/>
                      <w:szCs w:val="21"/>
                    </w:rPr>
                  </w:pPr>
                  <w:r>
                    <w:rPr>
                      <w:rFonts w:hint="eastAsia" w:cs="宋体"/>
                      <w:b/>
                      <w:bCs/>
                      <w:kern w:val="0"/>
                      <w:szCs w:val="21"/>
                    </w:rPr>
                    <w:t>污染物指标</w:t>
                  </w:r>
                </w:p>
              </w:tc>
              <w:tc>
                <w:tcPr>
                  <w:tcW w:w="956" w:type="pct"/>
                  <w:vMerge w:val="restart"/>
                  <w:tcBorders>
                    <w:tl2br w:val="nil"/>
                    <w:tr2bl w:val="nil"/>
                  </w:tcBorders>
                  <w:vAlign w:val="center"/>
                </w:tcPr>
                <w:p w14:paraId="0C2C0BD1">
                  <w:pPr>
                    <w:spacing w:line="240" w:lineRule="auto"/>
                    <w:jc w:val="center"/>
                    <w:rPr>
                      <w:rFonts w:cs="宋体"/>
                      <w:b/>
                      <w:bCs/>
                      <w:kern w:val="0"/>
                      <w:szCs w:val="21"/>
                    </w:rPr>
                  </w:pPr>
                  <w:r>
                    <w:rPr>
                      <w:rFonts w:hint="eastAsia" w:cs="宋体"/>
                      <w:b/>
                      <w:bCs/>
                      <w:kern w:val="0"/>
                      <w:szCs w:val="21"/>
                    </w:rPr>
                    <w:t>单位</w:t>
                  </w:r>
                </w:p>
              </w:tc>
              <w:tc>
                <w:tcPr>
                  <w:tcW w:w="514" w:type="pct"/>
                  <w:vMerge w:val="restart"/>
                  <w:tcBorders>
                    <w:tl2br w:val="nil"/>
                    <w:tr2bl w:val="nil"/>
                  </w:tcBorders>
                  <w:vAlign w:val="center"/>
                </w:tcPr>
                <w:p w14:paraId="10CE1B7C">
                  <w:pPr>
                    <w:spacing w:line="240" w:lineRule="auto"/>
                    <w:jc w:val="center"/>
                    <w:rPr>
                      <w:rFonts w:cs="宋体"/>
                      <w:b/>
                      <w:bCs/>
                      <w:kern w:val="0"/>
                      <w:szCs w:val="21"/>
                    </w:rPr>
                  </w:pPr>
                  <w:r>
                    <w:rPr>
                      <w:rFonts w:hint="eastAsia" w:cs="宋体"/>
                      <w:b/>
                      <w:bCs/>
                      <w:kern w:val="0"/>
                      <w:szCs w:val="21"/>
                    </w:rPr>
                    <w:t>产污系数</w:t>
                  </w:r>
                </w:p>
              </w:tc>
              <w:tc>
                <w:tcPr>
                  <w:tcW w:w="607" w:type="pct"/>
                  <w:vMerge w:val="restart"/>
                  <w:tcBorders>
                    <w:tl2br w:val="nil"/>
                    <w:tr2bl w:val="nil"/>
                  </w:tcBorders>
                  <w:vAlign w:val="center"/>
                </w:tcPr>
                <w:p w14:paraId="4E010D42">
                  <w:pPr>
                    <w:spacing w:line="240" w:lineRule="auto"/>
                    <w:jc w:val="center"/>
                    <w:rPr>
                      <w:rFonts w:cs="宋体"/>
                      <w:b/>
                      <w:bCs/>
                      <w:kern w:val="0"/>
                      <w:szCs w:val="21"/>
                    </w:rPr>
                  </w:pPr>
                  <w:r>
                    <w:rPr>
                      <w:rFonts w:hint="eastAsia" w:cs="宋体"/>
                      <w:b/>
                      <w:bCs/>
                      <w:kern w:val="0"/>
                      <w:szCs w:val="21"/>
                    </w:rPr>
                    <w:t>项目天然气消耗量</w:t>
                  </w:r>
                </w:p>
                <w:p w14:paraId="19667312">
                  <w:pPr>
                    <w:spacing w:line="240" w:lineRule="auto"/>
                    <w:jc w:val="center"/>
                    <w:rPr>
                      <w:rFonts w:cs="宋体"/>
                      <w:b/>
                      <w:bCs/>
                      <w:kern w:val="0"/>
                      <w:szCs w:val="21"/>
                    </w:rPr>
                  </w:pPr>
                  <w:r>
                    <w:rPr>
                      <w:b/>
                      <w:bCs/>
                      <w:szCs w:val="21"/>
                    </w:rPr>
                    <w:t>万m</w:t>
                  </w:r>
                  <w:r>
                    <w:rPr>
                      <w:b/>
                      <w:bCs/>
                      <w:szCs w:val="21"/>
                      <w:vertAlign w:val="superscript"/>
                    </w:rPr>
                    <w:t>3</w:t>
                  </w:r>
                  <w:r>
                    <w:rPr>
                      <w:b/>
                      <w:bCs/>
                      <w:szCs w:val="21"/>
                    </w:rPr>
                    <w:t>/a</w:t>
                  </w:r>
                </w:p>
              </w:tc>
              <w:tc>
                <w:tcPr>
                  <w:tcW w:w="1114" w:type="pct"/>
                  <w:gridSpan w:val="2"/>
                  <w:tcBorders>
                    <w:tl2br w:val="nil"/>
                    <w:tr2bl w:val="nil"/>
                  </w:tcBorders>
                  <w:vAlign w:val="center"/>
                </w:tcPr>
                <w:p w14:paraId="0A594811">
                  <w:pPr>
                    <w:spacing w:line="240" w:lineRule="auto"/>
                    <w:jc w:val="center"/>
                    <w:rPr>
                      <w:rFonts w:cs="宋体"/>
                      <w:b/>
                      <w:bCs/>
                      <w:kern w:val="0"/>
                      <w:szCs w:val="21"/>
                    </w:rPr>
                  </w:pPr>
                  <w:r>
                    <w:rPr>
                      <w:rFonts w:hint="eastAsia" w:cs="宋体"/>
                      <w:b/>
                      <w:bCs/>
                      <w:kern w:val="0"/>
                      <w:szCs w:val="21"/>
                    </w:rPr>
                    <w:t>污染物产生量</w:t>
                  </w:r>
                </w:p>
              </w:tc>
            </w:tr>
            <w:tr w14:paraId="2E2EF96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0" w:type="pct"/>
                  <w:vMerge w:val="continue"/>
                  <w:tcBorders>
                    <w:tl2br w:val="nil"/>
                    <w:tr2bl w:val="nil"/>
                  </w:tcBorders>
                  <w:vAlign w:val="center"/>
                </w:tcPr>
                <w:p w14:paraId="775C2B8A">
                  <w:pPr>
                    <w:spacing w:line="240" w:lineRule="auto"/>
                    <w:jc w:val="center"/>
                    <w:rPr>
                      <w:rFonts w:cs="宋体"/>
                      <w:b/>
                      <w:bCs/>
                      <w:kern w:val="0"/>
                      <w:szCs w:val="21"/>
                    </w:rPr>
                  </w:pPr>
                </w:p>
              </w:tc>
              <w:tc>
                <w:tcPr>
                  <w:tcW w:w="370" w:type="pct"/>
                  <w:vMerge w:val="continue"/>
                  <w:tcBorders>
                    <w:tl2br w:val="nil"/>
                    <w:tr2bl w:val="nil"/>
                  </w:tcBorders>
                  <w:vAlign w:val="center"/>
                </w:tcPr>
                <w:p w14:paraId="25FF55E1">
                  <w:pPr>
                    <w:spacing w:line="240" w:lineRule="auto"/>
                    <w:jc w:val="center"/>
                    <w:rPr>
                      <w:rFonts w:cs="宋体"/>
                      <w:b/>
                      <w:bCs/>
                      <w:kern w:val="0"/>
                      <w:szCs w:val="21"/>
                    </w:rPr>
                  </w:pPr>
                </w:p>
              </w:tc>
              <w:tc>
                <w:tcPr>
                  <w:tcW w:w="369" w:type="pct"/>
                  <w:vMerge w:val="continue"/>
                  <w:tcBorders>
                    <w:tl2br w:val="nil"/>
                    <w:tr2bl w:val="nil"/>
                  </w:tcBorders>
                  <w:vAlign w:val="center"/>
                </w:tcPr>
                <w:p w14:paraId="4F8E5F3F">
                  <w:pPr>
                    <w:spacing w:line="240" w:lineRule="auto"/>
                    <w:jc w:val="center"/>
                    <w:rPr>
                      <w:rFonts w:cs="宋体"/>
                      <w:b/>
                      <w:bCs/>
                      <w:kern w:val="0"/>
                      <w:szCs w:val="21"/>
                    </w:rPr>
                  </w:pPr>
                </w:p>
              </w:tc>
              <w:tc>
                <w:tcPr>
                  <w:tcW w:w="706" w:type="pct"/>
                  <w:vMerge w:val="continue"/>
                  <w:tcBorders>
                    <w:tl2br w:val="nil"/>
                    <w:tr2bl w:val="nil"/>
                  </w:tcBorders>
                  <w:vAlign w:val="center"/>
                </w:tcPr>
                <w:p w14:paraId="23E8CACE">
                  <w:pPr>
                    <w:spacing w:line="240" w:lineRule="auto"/>
                    <w:jc w:val="center"/>
                    <w:rPr>
                      <w:rFonts w:cs="宋体"/>
                      <w:b/>
                      <w:bCs/>
                      <w:kern w:val="0"/>
                      <w:szCs w:val="21"/>
                    </w:rPr>
                  </w:pPr>
                </w:p>
              </w:tc>
              <w:tc>
                <w:tcPr>
                  <w:tcW w:w="956" w:type="pct"/>
                  <w:vMerge w:val="continue"/>
                  <w:tcBorders>
                    <w:tl2br w:val="nil"/>
                    <w:tr2bl w:val="nil"/>
                  </w:tcBorders>
                  <w:vAlign w:val="center"/>
                </w:tcPr>
                <w:p w14:paraId="34B90F49">
                  <w:pPr>
                    <w:spacing w:line="240" w:lineRule="auto"/>
                    <w:jc w:val="center"/>
                    <w:rPr>
                      <w:rFonts w:cs="宋体"/>
                      <w:b/>
                      <w:bCs/>
                      <w:kern w:val="0"/>
                      <w:szCs w:val="21"/>
                    </w:rPr>
                  </w:pPr>
                </w:p>
              </w:tc>
              <w:tc>
                <w:tcPr>
                  <w:tcW w:w="514" w:type="pct"/>
                  <w:vMerge w:val="continue"/>
                  <w:tcBorders>
                    <w:tl2br w:val="nil"/>
                    <w:tr2bl w:val="nil"/>
                  </w:tcBorders>
                  <w:vAlign w:val="center"/>
                </w:tcPr>
                <w:p w14:paraId="3A8C442D">
                  <w:pPr>
                    <w:spacing w:line="240" w:lineRule="auto"/>
                    <w:jc w:val="center"/>
                    <w:rPr>
                      <w:rFonts w:cs="宋体"/>
                      <w:b/>
                      <w:bCs/>
                      <w:kern w:val="0"/>
                      <w:szCs w:val="21"/>
                    </w:rPr>
                  </w:pPr>
                </w:p>
              </w:tc>
              <w:tc>
                <w:tcPr>
                  <w:tcW w:w="607" w:type="pct"/>
                  <w:vMerge w:val="continue"/>
                  <w:tcBorders>
                    <w:tl2br w:val="nil"/>
                    <w:tr2bl w:val="nil"/>
                  </w:tcBorders>
                  <w:vAlign w:val="center"/>
                </w:tcPr>
                <w:p w14:paraId="32205854">
                  <w:pPr>
                    <w:spacing w:line="240" w:lineRule="auto"/>
                    <w:jc w:val="center"/>
                    <w:rPr>
                      <w:rFonts w:cs="宋体"/>
                      <w:b/>
                      <w:bCs/>
                      <w:kern w:val="0"/>
                      <w:szCs w:val="21"/>
                    </w:rPr>
                  </w:pPr>
                </w:p>
              </w:tc>
              <w:tc>
                <w:tcPr>
                  <w:tcW w:w="397" w:type="pct"/>
                  <w:tcBorders>
                    <w:tl2br w:val="nil"/>
                    <w:tr2bl w:val="nil"/>
                  </w:tcBorders>
                  <w:vAlign w:val="center"/>
                </w:tcPr>
                <w:p w14:paraId="1DE94A29">
                  <w:pPr>
                    <w:spacing w:line="240" w:lineRule="auto"/>
                    <w:jc w:val="center"/>
                    <w:rPr>
                      <w:rFonts w:cs="宋体"/>
                      <w:b/>
                      <w:bCs/>
                      <w:kern w:val="0"/>
                      <w:szCs w:val="21"/>
                    </w:rPr>
                  </w:pPr>
                  <w:r>
                    <w:rPr>
                      <w:rFonts w:hint="eastAsia" w:cs="宋体"/>
                      <w:b/>
                      <w:bCs/>
                      <w:kern w:val="0"/>
                      <w:szCs w:val="21"/>
                    </w:rPr>
                    <w:t>单位</w:t>
                  </w:r>
                </w:p>
              </w:tc>
              <w:tc>
                <w:tcPr>
                  <w:tcW w:w="717" w:type="pct"/>
                  <w:tcBorders>
                    <w:tl2br w:val="nil"/>
                    <w:tr2bl w:val="nil"/>
                  </w:tcBorders>
                  <w:vAlign w:val="center"/>
                </w:tcPr>
                <w:p w14:paraId="19CED0DA">
                  <w:pPr>
                    <w:spacing w:line="240" w:lineRule="auto"/>
                    <w:jc w:val="center"/>
                    <w:rPr>
                      <w:rFonts w:cs="宋体"/>
                      <w:b/>
                      <w:bCs/>
                      <w:kern w:val="0"/>
                      <w:szCs w:val="21"/>
                    </w:rPr>
                  </w:pPr>
                  <w:r>
                    <w:rPr>
                      <w:rFonts w:hint="eastAsia" w:cs="宋体"/>
                      <w:b/>
                      <w:bCs/>
                      <w:kern w:val="0"/>
                      <w:szCs w:val="21"/>
                    </w:rPr>
                    <w:t>产生量</w:t>
                  </w:r>
                </w:p>
              </w:tc>
            </w:tr>
            <w:tr w14:paraId="6A44EB1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0" w:type="pct"/>
                  <w:vMerge w:val="restart"/>
                  <w:tcBorders>
                    <w:tl2br w:val="nil"/>
                    <w:tr2bl w:val="nil"/>
                  </w:tcBorders>
                  <w:vAlign w:val="center"/>
                </w:tcPr>
                <w:p w14:paraId="5B221BA9">
                  <w:pPr>
                    <w:spacing w:line="240" w:lineRule="auto"/>
                    <w:jc w:val="center"/>
                    <w:rPr>
                      <w:rFonts w:cs="宋体"/>
                      <w:kern w:val="0"/>
                      <w:szCs w:val="21"/>
                    </w:rPr>
                  </w:pPr>
                  <w:r>
                    <w:rPr>
                      <w:rFonts w:hint="eastAsia" w:cs="宋体"/>
                      <w:kern w:val="0"/>
                      <w:szCs w:val="21"/>
                    </w:rPr>
                    <w:t>天然气</w:t>
                  </w:r>
                </w:p>
              </w:tc>
              <w:tc>
                <w:tcPr>
                  <w:tcW w:w="370" w:type="pct"/>
                  <w:vMerge w:val="restart"/>
                  <w:tcBorders>
                    <w:tl2br w:val="nil"/>
                    <w:tr2bl w:val="nil"/>
                  </w:tcBorders>
                  <w:vAlign w:val="center"/>
                </w:tcPr>
                <w:p w14:paraId="468C1449">
                  <w:pPr>
                    <w:spacing w:line="240" w:lineRule="auto"/>
                    <w:jc w:val="center"/>
                    <w:rPr>
                      <w:rFonts w:cs="宋体"/>
                      <w:kern w:val="0"/>
                      <w:szCs w:val="21"/>
                    </w:rPr>
                  </w:pPr>
                  <w:r>
                    <w:rPr>
                      <w:rFonts w:hint="eastAsia" w:cs="宋体"/>
                      <w:kern w:val="0"/>
                      <w:szCs w:val="21"/>
                    </w:rPr>
                    <w:t>室燃炉</w:t>
                  </w:r>
                </w:p>
              </w:tc>
              <w:tc>
                <w:tcPr>
                  <w:tcW w:w="369" w:type="pct"/>
                  <w:vMerge w:val="restart"/>
                  <w:tcBorders>
                    <w:tl2br w:val="nil"/>
                    <w:tr2bl w:val="nil"/>
                  </w:tcBorders>
                  <w:vAlign w:val="center"/>
                </w:tcPr>
                <w:p w14:paraId="06F311F5">
                  <w:pPr>
                    <w:spacing w:line="240" w:lineRule="auto"/>
                    <w:jc w:val="center"/>
                    <w:rPr>
                      <w:rFonts w:cs="宋体"/>
                      <w:kern w:val="0"/>
                      <w:szCs w:val="21"/>
                    </w:rPr>
                  </w:pPr>
                  <w:r>
                    <w:rPr>
                      <w:rFonts w:hint="eastAsia" w:cs="宋体"/>
                      <w:kern w:val="0"/>
                      <w:szCs w:val="21"/>
                    </w:rPr>
                    <w:t>所有规模</w:t>
                  </w:r>
                </w:p>
              </w:tc>
              <w:tc>
                <w:tcPr>
                  <w:tcW w:w="706" w:type="pct"/>
                  <w:tcBorders>
                    <w:tl2br w:val="nil"/>
                    <w:tr2bl w:val="nil"/>
                  </w:tcBorders>
                  <w:vAlign w:val="center"/>
                </w:tcPr>
                <w:p w14:paraId="3604AAE3">
                  <w:pPr>
                    <w:spacing w:line="240" w:lineRule="auto"/>
                    <w:jc w:val="center"/>
                    <w:rPr>
                      <w:rFonts w:cs="宋体"/>
                      <w:kern w:val="0"/>
                      <w:szCs w:val="21"/>
                    </w:rPr>
                  </w:pPr>
                  <w:r>
                    <w:rPr>
                      <w:rFonts w:hint="eastAsia" w:cs="宋体"/>
                      <w:kern w:val="0"/>
                      <w:szCs w:val="21"/>
                    </w:rPr>
                    <w:t>工业废气量</w:t>
                  </w:r>
                </w:p>
              </w:tc>
              <w:tc>
                <w:tcPr>
                  <w:tcW w:w="956" w:type="pct"/>
                  <w:tcBorders>
                    <w:tl2br w:val="nil"/>
                    <w:tr2bl w:val="nil"/>
                  </w:tcBorders>
                  <w:vAlign w:val="center"/>
                </w:tcPr>
                <w:p w14:paraId="6C1C99DC">
                  <w:pPr>
                    <w:spacing w:line="240" w:lineRule="auto"/>
                    <w:jc w:val="center"/>
                    <w:rPr>
                      <w:rFonts w:cs="宋体"/>
                      <w:kern w:val="0"/>
                      <w:szCs w:val="21"/>
                    </w:rPr>
                  </w:pPr>
                  <w:r>
                    <w:rPr>
                      <w:rFonts w:hint="eastAsia"/>
                      <w:szCs w:val="21"/>
                    </w:rPr>
                    <w:t>N</w:t>
                  </w:r>
                  <w:r>
                    <w:rPr>
                      <w:szCs w:val="21"/>
                    </w:rPr>
                    <w:t>m</w:t>
                  </w:r>
                  <w:r>
                    <w:rPr>
                      <w:szCs w:val="21"/>
                      <w:vertAlign w:val="superscript"/>
                    </w:rPr>
                    <w:t>3</w:t>
                  </w:r>
                  <w:r>
                    <w:rPr>
                      <w:rFonts w:hint="eastAsia"/>
                      <w:szCs w:val="21"/>
                    </w:rPr>
                    <w:t>/万</w:t>
                  </w:r>
                  <w:r>
                    <w:rPr>
                      <w:szCs w:val="21"/>
                    </w:rPr>
                    <w:t>m</w:t>
                  </w:r>
                  <w:r>
                    <w:rPr>
                      <w:szCs w:val="21"/>
                      <w:vertAlign w:val="superscript"/>
                    </w:rPr>
                    <w:t>3</w:t>
                  </w:r>
                  <w:r>
                    <w:rPr>
                      <w:rFonts w:hint="eastAsia"/>
                      <w:szCs w:val="21"/>
                    </w:rPr>
                    <w:t>天然气</w:t>
                  </w:r>
                </w:p>
              </w:tc>
              <w:tc>
                <w:tcPr>
                  <w:tcW w:w="514" w:type="pct"/>
                  <w:tcBorders>
                    <w:tl2br w:val="nil"/>
                    <w:tr2bl w:val="nil"/>
                  </w:tcBorders>
                  <w:vAlign w:val="center"/>
                </w:tcPr>
                <w:p w14:paraId="20476D22">
                  <w:pPr>
                    <w:spacing w:line="240" w:lineRule="auto"/>
                    <w:jc w:val="center"/>
                    <w:rPr>
                      <w:rFonts w:cs="宋体"/>
                      <w:kern w:val="0"/>
                      <w:szCs w:val="21"/>
                    </w:rPr>
                  </w:pPr>
                  <w:r>
                    <w:rPr>
                      <w:rFonts w:cs="宋体"/>
                      <w:kern w:val="0"/>
                      <w:szCs w:val="21"/>
                    </w:rPr>
                    <w:t>107753</w:t>
                  </w:r>
                </w:p>
              </w:tc>
              <w:tc>
                <w:tcPr>
                  <w:tcW w:w="607" w:type="pct"/>
                  <w:vMerge w:val="restart"/>
                  <w:tcBorders>
                    <w:tl2br w:val="nil"/>
                    <w:tr2bl w:val="nil"/>
                  </w:tcBorders>
                  <w:vAlign w:val="center"/>
                </w:tcPr>
                <w:p w14:paraId="6F326D84">
                  <w:pPr>
                    <w:spacing w:line="240" w:lineRule="auto"/>
                    <w:jc w:val="center"/>
                    <w:rPr>
                      <w:rFonts w:cs="宋体"/>
                      <w:kern w:val="0"/>
                      <w:szCs w:val="21"/>
                    </w:rPr>
                  </w:pPr>
                  <w:r>
                    <w:rPr>
                      <w:rFonts w:hint="eastAsia"/>
                      <w:szCs w:val="21"/>
                    </w:rPr>
                    <w:t>360</w:t>
                  </w:r>
                </w:p>
              </w:tc>
              <w:tc>
                <w:tcPr>
                  <w:tcW w:w="397" w:type="pct"/>
                  <w:tcBorders>
                    <w:tl2br w:val="nil"/>
                    <w:tr2bl w:val="nil"/>
                  </w:tcBorders>
                  <w:vAlign w:val="center"/>
                </w:tcPr>
                <w:p w14:paraId="7CA05BAF">
                  <w:pPr>
                    <w:spacing w:line="240" w:lineRule="auto"/>
                    <w:jc w:val="center"/>
                    <w:rPr>
                      <w:szCs w:val="21"/>
                    </w:rPr>
                  </w:pPr>
                  <w:r>
                    <w:rPr>
                      <w:szCs w:val="21"/>
                    </w:rPr>
                    <w:t>m</w:t>
                  </w:r>
                  <w:r>
                    <w:rPr>
                      <w:szCs w:val="21"/>
                      <w:vertAlign w:val="superscript"/>
                    </w:rPr>
                    <w:t>3</w:t>
                  </w:r>
                  <w:r>
                    <w:rPr>
                      <w:rFonts w:hint="eastAsia"/>
                      <w:szCs w:val="21"/>
                    </w:rPr>
                    <w:t>/a</w:t>
                  </w:r>
                </w:p>
              </w:tc>
              <w:tc>
                <w:tcPr>
                  <w:tcW w:w="1333" w:type="dxa"/>
                  <w:tcBorders>
                    <w:tl2br w:val="nil"/>
                    <w:tr2bl w:val="nil"/>
                  </w:tcBorders>
                  <w:vAlign w:val="center"/>
                </w:tcPr>
                <w:p w14:paraId="2EEA36CC">
                  <w:pPr>
                    <w:pStyle w:val="57"/>
                    <w:rPr>
                      <w:b w:val="0"/>
                      <w:bCs/>
                      <w:kern w:val="2"/>
                      <w:szCs w:val="21"/>
                    </w:rPr>
                  </w:pPr>
                  <w:r>
                    <w:rPr>
                      <w:rFonts w:hint="eastAsia"/>
                      <w:b w:val="0"/>
                      <w:bCs/>
                      <w:kern w:val="2"/>
                      <w:szCs w:val="21"/>
                      <w:lang w:val="en-US"/>
                    </w:rPr>
                    <w:t xml:space="preserve">387910.8 </w:t>
                  </w:r>
                </w:p>
              </w:tc>
            </w:tr>
            <w:tr w14:paraId="482F429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0" w:type="pct"/>
                  <w:vMerge w:val="continue"/>
                  <w:tcBorders>
                    <w:tl2br w:val="nil"/>
                    <w:tr2bl w:val="nil"/>
                  </w:tcBorders>
                  <w:vAlign w:val="center"/>
                </w:tcPr>
                <w:p w14:paraId="70FB363B">
                  <w:pPr>
                    <w:spacing w:line="240" w:lineRule="auto"/>
                    <w:jc w:val="center"/>
                    <w:rPr>
                      <w:rFonts w:cs="宋体"/>
                      <w:kern w:val="0"/>
                      <w:szCs w:val="21"/>
                    </w:rPr>
                  </w:pPr>
                </w:p>
              </w:tc>
              <w:tc>
                <w:tcPr>
                  <w:tcW w:w="370" w:type="pct"/>
                  <w:vMerge w:val="continue"/>
                  <w:tcBorders>
                    <w:tl2br w:val="nil"/>
                    <w:tr2bl w:val="nil"/>
                  </w:tcBorders>
                  <w:vAlign w:val="center"/>
                </w:tcPr>
                <w:p w14:paraId="705C58B6">
                  <w:pPr>
                    <w:spacing w:line="240" w:lineRule="auto"/>
                    <w:jc w:val="center"/>
                    <w:rPr>
                      <w:rFonts w:cs="宋体"/>
                      <w:kern w:val="0"/>
                      <w:szCs w:val="21"/>
                    </w:rPr>
                  </w:pPr>
                </w:p>
              </w:tc>
              <w:tc>
                <w:tcPr>
                  <w:tcW w:w="369" w:type="pct"/>
                  <w:vMerge w:val="continue"/>
                  <w:tcBorders>
                    <w:tl2br w:val="nil"/>
                    <w:tr2bl w:val="nil"/>
                  </w:tcBorders>
                  <w:vAlign w:val="center"/>
                </w:tcPr>
                <w:p w14:paraId="21C431E2">
                  <w:pPr>
                    <w:spacing w:line="240" w:lineRule="auto"/>
                    <w:jc w:val="center"/>
                    <w:rPr>
                      <w:rFonts w:cs="宋体"/>
                      <w:kern w:val="0"/>
                      <w:szCs w:val="21"/>
                    </w:rPr>
                  </w:pPr>
                </w:p>
              </w:tc>
              <w:tc>
                <w:tcPr>
                  <w:tcW w:w="706" w:type="pct"/>
                  <w:tcBorders>
                    <w:tl2br w:val="nil"/>
                    <w:tr2bl w:val="nil"/>
                  </w:tcBorders>
                  <w:vAlign w:val="center"/>
                </w:tcPr>
                <w:p w14:paraId="7EBA7700">
                  <w:pPr>
                    <w:spacing w:line="240" w:lineRule="auto"/>
                    <w:jc w:val="center"/>
                    <w:rPr>
                      <w:rFonts w:cs="宋体"/>
                      <w:kern w:val="0"/>
                      <w:szCs w:val="21"/>
                    </w:rPr>
                  </w:pPr>
                  <w:r>
                    <w:rPr>
                      <w:rFonts w:hint="eastAsia" w:cs="宋体"/>
                      <w:kern w:val="0"/>
                      <w:szCs w:val="21"/>
                    </w:rPr>
                    <w:t>二氧化硫</w:t>
                  </w:r>
                </w:p>
              </w:tc>
              <w:tc>
                <w:tcPr>
                  <w:tcW w:w="956" w:type="pct"/>
                  <w:tcBorders>
                    <w:tl2br w:val="nil"/>
                    <w:tr2bl w:val="nil"/>
                  </w:tcBorders>
                  <w:vAlign w:val="center"/>
                </w:tcPr>
                <w:p w14:paraId="52743B47">
                  <w:pPr>
                    <w:spacing w:line="240" w:lineRule="auto"/>
                    <w:jc w:val="center"/>
                    <w:rPr>
                      <w:rFonts w:cs="宋体"/>
                      <w:kern w:val="0"/>
                      <w:szCs w:val="21"/>
                    </w:rPr>
                  </w:pPr>
                  <w:r>
                    <w:rPr>
                      <w:szCs w:val="21"/>
                      <w:lang w:val="zh-CN"/>
                    </w:rPr>
                    <w:t>kg</w:t>
                  </w:r>
                  <w:r>
                    <w:rPr>
                      <w:rFonts w:hint="eastAsia"/>
                      <w:szCs w:val="21"/>
                    </w:rPr>
                    <w:t>/万</w:t>
                  </w:r>
                  <w:r>
                    <w:rPr>
                      <w:szCs w:val="21"/>
                    </w:rPr>
                    <w:t>m</w:t>
                  </w:r>
                  <w:r>
                    <w:rPr>
                      <w:szCs w:val="21"/>
                      <w:vertAlign w:val="superscript"/>
                    </w:rPr>
                    <w:t>3</w:t>
                  </w:r>
                  <w:r>
                    <w:rPr>
                      <w:rFonts w:hint="eastAsia"/>
                      <w:szCs w:val="21"/>
                    </w:rPr>
                    <w:t>天然气</w:t>
                  </w:r>
                </w:p>
              </w:tc>
              <w:tc>
                <w:tcPr>
                  <w:tcW w:w="514" w:type="pct"/>
                  <w:tcBorders>
                    <w:tl2br w:val="nil"/>
                    <w:tr2bl w:val="nil"/>
                  </w:tcBorders>
                  <w:vAlign w:val="center"/>
                </w:tcPr>
                <w:p w14:paraId="5012EB6F">
                  <w:pPr>
                    <w:spacing w:line="240" w:lineRule="auto"/>
                    <w:jc w:val="center"/>
                    <w:rPr>
                      <w:rFonts w:cs="宋体"/>
                      <w:kern w:val="0"/>
                      <w:szCs w:val="21"/>
                    </w:rPr>
                  </w:pPr>
                  <w:r>
                    <w:rPr>
                      <w:rFonts w:hint="eastAsia" w:cs="宋体"/>
                      <w:kern w:val="0"/>
                      <w:szCs w:val="21"/>
                    </w:rPr>
                    <w:t>0</w:t>
                  </w:r>
                  <w:r>
                    <w:rPr>
                      <w:rFonts w:cs="宋体"/>
                      <w:kern w:val="0"/>
                      <w:szCs w:val="21"/>
                    </w:rPr>
                    <w:t>.02S</w:t>
                  </w:r>
                </w:p>
              </w:tc>
              <w:tc>
                <w:tcPr>
                  <w:tcW w:w="607" w:type="pct"/>
                  <w:vMerge w:val="continue"/>
                  <w:tcBorders>
                    <w:tl2br w:val="nil"/>
                    <w:tr2bl w:val="nil"/>
                  </w:tcBorders>
                  <w:vAlign w:val="center"/>
                </w:tcPr>
                <w:p w14:paraId="00DED699">
                  <w:pPr>
                    <w:spacing w:line="240" w:lineRule="auto"/>
                    <w:jc w:val="center"/>
                    <w:rPr>
                      <w:szCs w:val="21"/>
                    </w:rPr>
                  </w:pPr>
                </w:p>
              </w:tc>
              <w:tc>
                <w:tcPr>
                  <w:tcW w:w="397" w:type="pct"/>
                  <w:tcBorders>
                    <w:tl2br w:val="nil"/>
                    <w:tr2bl w:val="nil"/>
                  </w:tcBorders>
                  <w:vAlign w:val="center"/>
                </w:tcPr>
                <w:p w14:paraId="7FDB53D1">
                  <w:pPr>
                    <w:spacing w:line="240" w:lineRule="auto"/>
                    <w:jc w:val="center"/>
                    <w:rPr>
                      <w:rFonts w:cs="宋体"/>
                      <w:kern w:val="0"/>
                      <w:szCs w:val="21"/>
                    </w:rPr>
                  </w:pPr>
                  <w:r>
                    <w:rPr>
                      <w:rFonts w:hint="eastAsia" w:cs="宋体"/>
                      <w:kern w:val="0"/>
                      <w:szCs w:val="21"/>
                    </w:rPr>
                    <w:t>t/a</w:t>
                  </w:r>
                </w:p>
              </w:tc>
              <w:tc>
                <w:tcPr>
                  <w:tcW w:w="1333" w:type="dxa"/>
                  <w:tcBorders>
                    <w:tl2br w:val="nil"/>
                    <w:tr2bl w:val="nil"/>
                  </w:tcBorders>
                  <w:vAlign w:val="center"/>
                </w:tcPr>
                <w:p w14:paraId="1C2B6786">
                  <w:pPr>
                    <w:pStyle w:val="57"/>
                    <w:rPr>
                      <w:b w:val="0"/>
                      <w:bCs/>
                      <w:kern w:val="2"/>
                      <w:szCs w:val="21"/>
                    </w:rPr>
                  </w:pPr>
                  <w:r>
                    <w:rPr>
                      <w:rFonts w:hint="eastAsia"/>
                      <w:b w:val="0"/>
                      <w:bCs/>
                      <w:kern w:val="2"/>
                      <w:szCs w:val="21"/>
                      <w:lang w:val="en-US"/>
                    </w:rPr>
                    <w:t xml:space="preserve">0.0072 </w:t>
                  </w:r>
                </w:p>
              </w:tc>
            </w:tr>
            <w:tr w14:paraId="489FDD8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0" w:type="pct"/>
                  <w:vMerge w:val="continue"/>
                  <w:tcBorders>
                    <w:tl2br w:val="nil"/>
                    <w:tr2bl w:val="nil"/>
                  </w:tcBorders>
                  <w:vAlign w:val="center"/>
                </w:tcPr>
                <w:p w14:paraId="581A7C90">
                  <w:pPr>
                    <w:spacing w:line="240" w:lineRule="auto"/>
                    <w:jc w:val="center"/>
                    <w:rPr>
                      <w:rFonts w:cs="宋体"/>
                      <w:kern w:val="0"/>
                      <w:szCs w:val="21"/>
                    </w:rPr>
                  </w:pPr>
                </w:p>
              </w:tc>
              <w:tc>
                <w:tcPr>
                  <w:tcW w:w="370" w:type="pct"/>
                  <w:vMerge w:val="continue"/>
                  <w:tcBorders>
                    <w:tl2br w:val="nil"/>
                    <w:tr2bl w:val="nil"/>
                  </w:tcBorders>
                  <w:vAlign w:val="center"/>
                </w:tcPr>
                <w:p w14:paraId="0B2974C3">
                  <w:pPr>
                    <w:spacing w:line="240" w:lineRule="auto"/>
                    <w:jc w:val="center"/>
                    <w:rPr>
                      <w:rFonts w:cs="宋体"/>
                      <w:kern w:val="0"/>
                      <w:szCs w:val="21"/>
                    </w:rPr>
                  </w:pPr>
                </w:p>
              </w:tc>
              <w:tc>
                <w:tcPr>
                  <w:tcW w:w="369" w:type="pct"/>
                  <w:vMerge w:val="continue"/>
                  <w:tcBorders>
                    <w:tl2br w:val="nil"/>
                    <w:tr2bl w:val="nil"/>
                  </w:tcBorders>
                  <w:vAlign w:val="center"/>
                </w:tcPr>
                <w:p w14:paraId="50710527">
                  <w:pPr>
                    <w:spacing w:line="240" w:lineRule="auto"/>
                    <w:jc w:val="center"/>
                    <w:rPr>
                      <w:rFonts w:cs="宋体"/>
                      <w:kern w:val="0"/>
                      <w:szCs w:val="21"/>
                    </w:rPr>
                  </w:pPr>
                </w:p>
              </w:tc>
              <w:tc>
                <w:tcPr>
                  <w:tcW w:w="706" w:type="pct"/>
                  <w:tcBorders>
                    <w:tl2br w:val="nil"/>
                    <w:tr2bl w:val="nil"/>
                  </w:tcBorders>
                  <w:vAlign w:val="center"/>
                </w:tcPr>
                <w:p w14:paraId="1ADF785F">
                  <w:pPr>
                    <w:spacing w:line="240" w:lineRule="auto"/>
                    <w:jc w:val="center"/>
                    <w:rPr>
                      <w:rFonts w:cs="宋体"/>
                      <w:kern w:val="0"/>
                      <w:szCs w:val="21"/>
                    </w:rPr>
                  </w:pPr>
                  <w:r>
                    <w:rPr>
                      <w:rFonts w:hint="eastAsia" w:cs="宋体"/>
                      <w:kern w:val="0"/>
                      <w:szCs w:val="21"/>
                    </w:rPr>
                    <w:t>氮氧化物</w:t>
                  </w:r>
                </w:p>
              </w:tc>
              <w:tc>
                <w:tcPr>
                  <w:tcW w:w="956" w:type="pct"/>
                  <w:tcBorders>
                    <w:tl2br w:val="nil"/>
                    <w:tr2bl w:val="nil"/>
                  </w:tcBorders>
                  <w:vAlign w:val="center"/>
                </w:tcPr>
                <w:p w14:paraId="0A1987C4">
                  <w:pPr>
                    <w:spacing w:line="240" w:lineRule="auto"/>
                    <w:jc w:val="center"/>
                    <w:rPr>
                      <w:rFonts w:cs="宋体"/>
                      <w:kern w:val="0"/>
                      <w:szCs w:val="21"/>
                    </w:rPr>
                  </w:pPr>
                  <w:r>
                    <w:rPr>
                      <w:szCs w:val="21"/>
                      <w:lang w:val="zh-CN"/>
                    </w:rPr>
                    <w:t>kg</w:t>
                  </w:r>
                  <w:r>
                    <w:rPr>
                      <w:rFonts w:hint="eastAsia"/>
                      <w:szCs w:val="21"/>
                    </w:rPr>
                    <w:t>/万</w:t>
                  </w:r>
                  <w:r>
                    <w:rPr>
                      <w:szCs w:val="21"/>
                    </w:rPr>
                    <w:t>m</w:t>
                  </w:r>
                  <w:r>
                    <w:rPr>
                      <w:szCs w:val="21"/>
                      <w:vertAlign w:val="superscript"/>
                    </w:rPr>
                    <w:t>3</w:t>
                  </w:r>
                  <w:r>
                    <w:rPr>
                      <w:rFonts w:hint="eastAsia"/>
                      <w:szCs w:val="21"/>
                    </w:rPr>
                    <w:t>天然气</w:t>
                  </w:r>
                </w:p>
              </w:tc>
              <w:tc>
                <w:tcPr>
                  <w:tcW w:w="514" w:type="pct"/>
                  <w:tcBorders>
                    <w:tl2br w:val="nil"/>
                    <w:tr2bl w:val="nil"/>
                  </w:tcBorders>
                  <w:vAlign w:val="center"/>
                </w:tcPr>
                <w:p w14:paraId="107A26F9">
                  <w:pPr>
                    <w:spacing w:line="240" w:lineRule="auto"/>
                    <w:jc w:val="center"/>
                    <w:rPr>
                      <w:rFonts w:cs="宋体"/>
                      <w:kern w:val="0"/>
                      <w:szCs w:val="21"/>
                    </w:rPr>
                  </w:pPr>
                  <w:r>
                    <w:rPr>
                      <w:rFonts w:hint="eastAsia" w:cs="宋体"/>
                      <w:kern w:val="0"/>
                      <w:szCs w:val="21"/>
                    </w:rPr>
                    <w:t>6.97（低氮燃烧－国内领先）</w:t>
                  </w:r>
                </w:p>
              </w:tc>
              <w:tc>
                <w:tcPr>
                  <w:tcW w:w="607" w:type="pct"/>
                  <w:vMerge w:val="continue"/>
                  <w:tcBorders>
                    <w:tl2br w:val="nil"/>
                    <w:tr2bl w:val="nil"/>
                  </w:tcBorders>
                  <w:vAlign w:val="center"/>
                </w:tcPr>
                <w:p w14:paraId="3935DDD9">
                  <w:pPr>
                    <w:spacing w:line="240" w:lineRule="auto"/>
                    <w:jc w:val="center"/>
                    <w:rPr>
                      <w:szCs w:val="21"/>
                    </w:rPr>
                  </w:pPr>
                </w:p>
              </w:tc>
              <w:tc>
                <w:tcPr>
                  <w:tcW w:w="397" w:type="pct"/>
                  <w:tcBorders>
                    <w:tl2br w:val="nil"/>
                    <w:tr2bl w:val="nil"/>
                  </w:tcBorders>
                  <w:vAlign w:val="center"/>
                </w:tcPr>
                <w:p w14:paraId="628C9AEE">
                  <w:pPr>
                    <w:spacing w:line="240" w:lineRule="auto"/>
                    <w:jc w:val="center"/>
                    <w:rPr>
                      <w:rFonts w:cs="宋体"/>
                      <w:kern w:val="0"/>
                      <w:szCs w:val="21"/>
                    </w:rPr>
                  </w:pPr>
                  <w:r>
                    <w:rPr>
                      <w:rFonts w:hint="eastAsia" w:cs="宋体"/>
                      <w:kern w:val="0"/>
                      <w:szCs w:val="21"/>
                    </w:rPr>
                    <w:t>t/a</w:t>
                  </w:r>
                </w:p>
              </w:tc>
              <w:tc>
                <w:tcPr>
                  <w:tcW w:w="1333" w:type="dxa"/>
                  <w:tcBorders>
                    <w:tl2br w:val="nil"/>
                    <w:tr2bl w:val="nil"/>
                  </w:tcBorders>
                  <w:vAlign w:val="center"/>
                </w:tcPr>
                <w:p w14:paraId="47209924">
                  <w:pPr>
                    <w:pStyle w:val="57"/>
                    <w:rPr>
                      <w:b w:val="0"/>
                      <w:bCs/>
                      <w:kern w:val="2"/>
                      <w:szCs w:val="21"/>
                    </w:rPr>
                  </w:pPr>
                  <w:r>
                    <w:rPr>
                      <w:rFonts w:hint="eastAsia"/>
                      <w:b w:val="0"/>
                      <w:bCs/>
                      <w:kern w:val="2"/>
                      <w:szCs w:val="21"/>
                      <w:lang w:val="en-US"/>
                    </w:rPr>
                    <w:t xml:space="preserve">0.0251 </w:t>
                  </w:r>
                </w:p>
              </w:tc>
            </w:tr>
            <w:tr w14:paraId="0EF40AE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0" w:type="pct"/>
                  <w:vMerge w:val="continue"/>
                  <w:tcBorders>
                    <w:tl2br w:val="nil"/>
                    <w:tr2bl w:val="nil"/>
                  </w:tcBorders>
                  <w:vAlign w:val="center"/>
                </w:tcPr>
                <w:p w14:paraId="38019F7D">
                  <w:pPr>
                    <w:spacing w:line="240" w:lineRule="auto"/>
                    <w:jc w:val="center"/>
                    <w:rPr>
                      <w:rFonts w:cs="宋体"/>
                      <w:kern w:val="0"/>
                      <w:szCs w:val="21"/>
                    </w:rPr>
                  </w:pPr>
                </w:p>
              </w:tc>
              <w:tc>
                <w:tcPr>
                  <w:tcW w:w="370" w:type="pct"/>
                  <w:vMerge w:val="continue"/>
                  <w:tcBorders>
                    <w:tl2br w:val="nil"/>
                    <w:tr2bl w:val="nil"/>
                  </w:tcBorders>
                  <w:vAlign w:val="center"/>
                </w:tcPr>
                <w:p w14:paraId="31506164">
                  <w:pPr>
                    <w:spacing w:line="240" w:lineRule="auto"/>
                    <w:jc w:val="center"/>
                    <w:rPr>
                      <w:rFonts w:cs="宋体"/>
                      <w:kern w:val="0"/>
                      <w:szCs w:val="21"/>
                    </w:rPr>
                  </w:pPr>
                </w:p>
              </w:tc>
              <w:tc>
                <w:tcPr>
                  <w:tcW w:w="369" w:type="pct"/>
                  <w:vMerge w:val="continue"/>
                  <w:tcBorders>
                    <w:tl2br w:val="nil"/>
                    <w:tr2bl w:val="nil"/>
                  </w:tcBorders>
                  <w:vAlign w:val="center"/>
                </w:tcPr>
                <w:p w14:paraId="73B51124">
                  <w:pPr>
                    <w:spacing w:line="240" w:lineRule="auto"/>
                    <w:jc w:val="center"/>
                    <w:rPr>
                      <w:rFonts w:cs="宋体"/>
                      <w:kern w:val="0"/>
                      <w:szCs w:val="21"/>
                    </w:rPr>
                  </w:pPr>
                </w:p>
              </w:tc>
              <w:tc>
                <w:tcPr>
                  <w:tcW w:w="706" w:type="pct"/>
                  <w:tcBorders>
                    <w:tl2br w:val="nil"/>
                    <w:tr2bl w:val="nil"/>
                  </w:tcBorders>
                  <w:vAlign w:val="center"/>
                </w:tcPr>
                <w:p w14:paraId="045F8DCA">
                  <w:pPr>
                    <w:spacing w:line="240" w:lineRule="auto"/>
                    <w:jc w:val="center"/>
                    <w:rPr>
                      <w:rFonts w:cs="宋体"/>
                      <w:kern w:val="0"/>
                      <w:szCs w:val="21"/>
                    </w:rPr>
                  </w:pPr>
                  <w:r>
                    <w:rPr>
                      <w:rFonts w:hint="eastAsia"/>
                      <w:szCs w:val="21"/>
                    </w:rPr>
                    <w:t>颗粒物</w:t>
                  </w:r>
                </w:p>
              </w:tc>
              <w:tc>
                <w:tcPr>
                  <w:tcW w:w="956" w:type="pct"/>
                  <w:tcBorders>
                    <w:tl2br w:val="nil"/>
                    <w:tr2bl w:val="nil"/>
                  </w:tcBorders>
                  <w:vAlign w:val="center"/>
                </w:tcPr>
                <w:p w14:paraId="60CF2DA9">
                  <w:pPr>
                    <w:spacing w:line="240" w:lineRule="auto"/>
                    <w:jc w:val="center"/>
                    <w:rPr>
                      <w:rFonts w:cs="宋体"/>
                      <w:kern w:val="0"/>
                      <w:szCs w:val="21"/>
                    </w:rPr>
                  </w:pPr>
                  <w:r>
                    <w:rPr>
                      <w:szCs w:val="21"/>
                      <w:lang w:val="zh-CN"/>
                    </w:rPr>
                    <w:t>kg</w:t>
                  </w:r>
                  <w:r>
                    <w:rPr>
                      <w:rFonts w:hint="eastAsia"/>
                      <w:szCs w:val="21"/>
                    </w:rPr>
                    <w:t>/万</w:t>
                  </w:r>
                  <w:r>
                    <w:rPr>
                      <w:szCs w:val="21"/>
                    </w:rPr>
                    <w:t>m</w:t>
                  </w:r>
                  <w:r>
                    <w:rPr>
                      <w:szCs w:val="21"/>
                      <w:vertAlign w:val="superscript"/>
                    </w:rPr>
                    <w:t>3</w:t>
                  </w:r>
                  <w:r>
                    <w:rPr>
                      <w:rFonts w:hint="eastAsia"/>
                      <w:szCs w:val="21"/>
                    </w:rPr>
                    <w:t>天然气</w:t>
                  </w:r>
                </w:p>
              </w:tc>
              <w:tc>
                <w:tcPr>
                  <w:tcW w:w="514" w:type="pct"/>
                  <w:tcBorders>
                    <w:tl2br w:val="nil"/>
                    <w:tr2bl w:val="nil"/>
                  </w:tcBorders>
                  <w:vAlign w:val="center"/>
                </w:tcPr>
                <w:p w14:paraId="07179DD7">
                  <w:pPr>
                    <w:spacing w:line="240" w:lineRule="auto"/>
                    <w:jc w:val="center"/>
                    <w:rPr>
                      <w:rFonts w:cs="宋体"/>
                      <w:kern w:val="0"/>
                      <w:szCs w:val="21"/>
                    </w:rPr>
                  </w:pPr>
                  <w:r>
                    <w:rPr>
                      <w:rFonts w:hint="eastAsia" w:cs="宋体"/>
                      <w:kern w:val="0"/>
                      <w:szCs w:val="21"/>
                    </w:rPr>
                    <w:t>2.86</w:t>
                  </w:r>
                </w:p>
              </w:tc>
              <w:tc>
                <w:tcPr>
                  <w:tcW w:w="607" w:type="pct"/>
                  <w:vMerge w:val="continue"/>
                  <w:tcBorders>
                    <w:tl2br w:val="nil"/>
                    <w:tr2bl w:val="nil"/>
                  </w:tcBorders>
                  <w:vAlign w:val="center"/>
                </w:tcPr>
                <w:p w14:paraId="300EF4BB">
                  <w:pPr>
                    <w:spacing w:line="240" w:lineRule="auto"/>
                    <w:jc w:val="center"/>
                    <w:rPr>
                      <w:rFonts w:cs="宋体"/>
                      <w:kern w:val="0"/>
                      <w:szCs w:val="21"/>
                    </w:rPr>
                  </w:pPr>
                </w:p>
              </w:tc>
              <w:tc>
                <w:tcPr>
                  <w:tcW w:w="397" w:type="pct"/>
                  <w:tcBorders>
                    <w:tl2br w:val="nil"/>
                    <w:tr2bl w:val="nil"/>
                  </w:tcBorders>
                  <w:vAlign w:val="center"/>
                </w:tcPr>
                <w:p w14:paraId="48CF898B">
                  <w:pPr>
                    <w:spacing w:line="240" w:lineRule="auto"/>
                    <w:jc w:val="center"/>
                    <w:rPr>
                      <w:rFonts w:cs="宋体"/>
                      <w:kern w:val="0"/>
                      <w:szCs w:val="21"/>
                    </w:rPr>
                  </w:pPr>
                  <w:r>
                    <w:rPr>
                      <w:rFonts w:hint="eastAsia" w:cs="宋体"/>
                      <w:kern w:val="0"/>
                      <w:szCs w:val="21"/>
                    </w:rPr>
                    <w:t>t/a</w:t>
                  </w:r>
                </w:p>
              </w:tc>
              <w:tc>
                <w:tcPr>
                  <w:tcW w:w="1333" w:type="dxa"/>
                  <w:tcBorders>
                    <w:tl2br w:val="nil"/>
                    <w:tr2bl w:val="nil"/>
                  </w:tcBorders>
                  <w:vAlign w:val="center"/>
                </w:tcPr>
                <w:p w14:paraId="5CDC6AA4">
                  <w:pPr>
                    <w:pStyle w:val="57"/>
                    <w:rPr>
                      <w:b w:val="0"/>
                      <w:bCs/>
                      <w:kern w:val="2"/>
                      <w:szCs w:val="21"/>
                    </w:rPr>
                  </w:pPr>
                  <w:r>
                    <w:rPr>
                      <w:rFonts w:hint="eastAsia"/>
                      <w:b w:val="0"/>
                      <w:bCs/>
                      <w:kern w:val="2"/>
                      <w:szCs w:val="21"/>
                      <w:lang w:val="en-US"/>
                    </w:rPr>
                    <w:t xml:space="preserve">0.0103 </w:t>
                  </w:r>
                </w:p>
              </w:tc>
            </w:tr>
            <w:tr w14:paraId="79E454C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000" w:type="pct"/>
                  <w:gridSpan w:val="9"/>
                  <w:tcBorders>
                    <w:tl2br w:val="nil"/>
                    <w:tr2bl w:val="nil"/>
                  </w:tcBorders>
                  <w:vAlign w:val="center"/>
                </w:tcPr>
                <w:p w14:paraId="43539E15">
                  <w:pPr>
                    <w:spacing w:line="240" w:lineRule="auto"/>
                    <w:rPr>
                      <w:rFonts w:cs="宋体"/>
                      <w:kern w:val="0"/>
                      <w:szCs w:val="21"/>
                    </w:rPr>
                  </w:pPr>
                  <w:r>
                    <w:rPr>
                      <w:rFonts w:hint="eastAsia"/>
                      <w:bCs/>
                      <w:szCs w:val="21"/>
                    </w:rPr>
                    <w:t>注：产排污系数表中二氧化硫的产排污系数是以含硫量（S）的形式表示的，其中含硫量（S）是指燃气硫分含量，单位为毫克/立方米。根据2019年6月1日起实施的《天然气》（GB17820-2018），二类气含硫量≤100毫克/立方米，本次环评取100。</w:t>
                  </w:r>
                </w:p>
              </w:tc>
            </w:tr>
          </w:tbl>
          <w:p w14:paraId="47947B1B">
            <w:pPr>
              <w:spacing w:line="360" w:lineRule="auto"/>
              <w:ind w:firstLine="482" w:firstLineChars="200"/>
              <w:rPr>
                <w:rFonts w:cs="宋体"/>
                <w:kern w:val="0"/>
                <w:sz w:val="24"/>
                <w:szCs w:val="20"/>
                <w:lang w:bidi="ar"/>
              </w:rPr>
            </w:pPr>
            <w:r>
              <w:rPr>
                <w:rFonts w:hint="eastAsia"/>
                <w:b/>
                <w:bCs/>
                <w:sz w:val="24"/>
              </w:rPr>
              <w:t>治理措施：</w:t>
            </w:r>
            <w:r>
              <w:rPr>
                <w:rFonts w:hint="eastAsia"/>
                <w:sz w:val="24"/>
              </w:rPr>
              <w:t>本项</w:t>
            </w:r>
            <w:r>
              <w:rPr>
                <w:rStyle w:val="115"/>
                <w:rFonts w:hint="default"/>
                <w:color w:val="auto"/>
              </w:rPr>
              <w:t>目6台蒸发干化设备上方设置顶吸式矩形集气罩6套，收集燃气烟气、蒸发过程少量碱雾及水蒸气，收集效率按90%计，收集后引至屋顶经水封冷凝装置冷凝后，再经喷淋塔处理后由27m高排气筒（</w:t>
            </w:r>
            <w:r>
              <w:rPr>
                <w:rStyle w:val="115"/>
                <w:rFonts w:hint="eastAsia"/>
                <w:color w:val="auto"/>
                <w:lang w:eastAsia="zh-CN"/>
              </w:rPr>
              <w:t>1#</w:t>
            </w:r>
            <w:r>
              <w:rPr>
                <w:rStyle w:val="115"/>
                <w:rFonts w:hint="default"/>
                <w:color w:val="auto"/>
              </w:rPr>
              <w:t>）有组织排放。</w:t>
            </w:r>
          </w:p>
          <w:p w14:paraId="2643928D">
            <w:pPr>
              <w:pStyle w:val="111"/>
              <w:wordWrap w:val="0"/>
              <w:ind w:firstLine="482"/>
              <w:rPr>
                <w:rFonts w:hint="default"/>
                <w:b/>
                <w:bCs/>
                <w:color w:val="auto"/>
              </w:rPr>
            </w:pPr>
            <w:r>
              <w:rPr>
                <w:rFonts w:hint="eastAsia"/>
                <w:b/>
                <w:bCs/>
                <w:color w:val="auto"/>
                <w:lang w:eastAsia="zh-CN"/>
              </w:rPr>
              <w:t>3.</w:t>
            </w:r>
            <w:r>
              <w:rPr>
                <w:rFonts w:hint="default"/>
                <w:b/>
                <w:bCs/>
                <w:color w:val="auto"/>
              </w:rPr>
              <w:t>非正常排放</w:t>
            </w:r>
          </w:p>
          <w:p w14:paraId="0959F99A">
            <w:pPr>
              <w:pStyle w:val="111"/>
              <w:wordWrap w:val="0"/>
              <w:rPr>
                <w:rFonts w:hint="default"/>
                <w:color w:val="auto"/>
              </w:rPr>
            </w:pPr>
            <w:r>
              <w:rPr>
                <w:rFonts w:hint="default"/>
                <w:color w:val="auto"/>
              </w:rPr>
              <w:t>项目非正常情况主要是停电或设备开停车、检修时，环保装置未提前开启，造成废气超标排放，以最不利情况下废气处理系统净化效率为零考虑，源强最大的时段废气排放</w:t>
            </w:r>
            <w:r>
              <w:rPr>
                <w:color w:val="auto"/>
              </w:rPr>
              <w:t>1</w:t>
            </w:r>
            <w:r>
              <w:rPr>
                <w:rFonts w:hint="default"/>
                <w:color w:val="auto"/>
              </w:rPr>
              <w:t>h对周围环境的影响，具体见下表。</w:t>
            </w:r>
          </w:p>
          <w:p w14:paraId="5BC93C45">
            <w:pPr>
              <w:pStyle w:val="57"/>
              <w:wordWrap w:val="0"/>
              <w:rPr>
                <w:lang w:val="en-US"/>
              </w:rPr>
            </w:pPr>
            <w:r>
              <w:rPr>
                <w:lang w:val="en-US"/>
              </w:rPr>
              <w:t>表4-</w:t>
            </w:r>
            <w:r>
              <w:rPr>
                <w:rFonts w:hint="eastAsia"/>
                <w:lang w:val="en-US" w:eastAsia="zh-CN"/>
              </w:rPr>
              <w:t>3</w:t>
            </w:r>
            <w:r>
              <w:rPr>
                <w:lang w:val="en-US"/>
              </w:rPr>
              <w:t>非正常情况污染物排放情况</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93"/>
              <w:gridCol w:w="1238"/>
              <w:gridCol w:w="1023"/>
              <w:gridCol w:w="1185"/>
              <w:gridCol w:w="1326"/>
              <w:gridCol w:w="1648"/>
            </w:tblGrid>
            <w:tr w14:paraId="66F81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73" w:type="dxa"/>
                  <w:shd w:val="clear" w:color="auto" w:fill="auto"/>
                  <w:vAlign w:val="center"/>
                </w:tcPr>
                <w:p w14:paraId="521A0D2A">
                  <w:pPr>
                    <w:pStyle w:val="57"/>
                    <w:wordWrap w:val="0"/>
                    <w:rPr>
                      <w:b w:val="0"/>
                      <w:bCs/>
                    </w:rPr>
                  </w:pPr>
                  <w:r>
                    <w:rPr>
                      <w:rFonts w:hint="eastAsia"/>
                      <w:lang w:val="en-US"/>
                    </w:rPr>
                    <w:t>产排污环节</w:t>
                  </w:r>
                </w:p>
              </w:tc>
              <w:tc>
                <w:tcPr>
                  <w:tcW w:w="1227" w:type="dxa"/>
                  <w:shd w:val="clear" w:color="auto" w:fill="auto"/>
                  <w:vAlign w:val="center"/>
                </w:tcPr>
                <w:p w14:paraId="4C77E5E4">
                  <w:pPr>
                    <w:pStyle w:val="57"/>
                    <w:wordWrap w:val="0"/>
                    <w:rPr>
                      <w:b w:val="0"/>
                      <w:bCs/>
                    </w:rPr>
                  </w:pPr>
                  <w:r>
                    <w:rPr>
                      <w:rFonts w:hint="eastAsia"/>
                      <w:lang w:val="en-US"/>
                    </w:rPr>
                    <w:t>污染物种类</w:t>
                  </w:r>
                </w:p>
              </w:tc>
              <w:tc>
                <w:tcPr>
                  <w:tcW w:w="1014" w:type="dxa"/>
                  <w:shd w:val="clear" w:color="auto" w:fill="auto"/>
                  <w:vAlign w:val="center"/>
                </w:tcPr>
                <w:p w14:paraId="2EBB294E">
                  <w:pPr>
                    <w:pStyle w:val="57"/>
                    <w:wordWrap w:val="0"/>
                    <w:rPr>
                      <w:b w:val="0"/>
                      <w:bCs/>
                    </w:rPr>
                  </w:pPr>
                  <w:r>
                    <w:rPr>
                      <w:rFonts w:hint="eastAsia"/>
                      <w:lang w:val="en-US"/>
                    </w:rPr>
                    <w:t>非正常频次</w:t>
                  </w:r>
                </w:p>
              </w:tc>
              <w:tc>
                <w:tcPr>
                  <w:tcW w:w="1174" w:type="dxa"/>
                  <w:shd w:val="clear" w:color="auto" w:fill="auto"/>
                  <w:vAlign w:val="center"/>
                </w:tcPr>
                <w:p w14:paraId="5D2C6821">
                  <w:pPr>
                    <w:pStyle w:val="57"/>
                    <w:wordWrap w:val="0"/>
                    <w:rPr>
                      <w:b w:val="0"/>
                      <w:bCs/>
                    </w:rPr>
                  </w:pPr>
                  <w:r>
                    <w:rPr>
                      <w:rFonts w:hint="eastAsia"/>
                      <w:lang w:val="en-US"/>
                    </w:rPr>
                    <w:t>持续时间（h/a）</w:t>
                  </w:r>
                </w:p>
              </w:tc>
              <w:tc>
                <w:tcPr>
                  <w:tcW w:w="1314" w:type="dxa"/>
                  <w:shd w:val="clear" w:color="auto" w:fill="auto"/>
                  <w:vAlign w:val="center"/>
                </w:tcPr>
                <w:p w14:paraId="0BA3AF2E">
                  <w:pPr>
                    <w:pStyle w:val="57"/>
                    <w:wordWrap w:val="0"/>
                    <w:rPr>
                      <w:b w:val="0"/>
                      <w:bCs/>
                    </w:rPr>
                  </w:pPr>
                  <w:r>
                    <w:rPr>
                      <w:rFonts w:hint="eastAsia"/>
                      <w:lang w:val="en-US"/>
                    </w:rPr>
                    <w:t>排放浓度</w:t>
                  </w:r>
                  <w:r>
                    <w:rPr>
                      <w:lang w:val="en-US"/>
                    </w:rPr>
                    <w:t>mg/m</w:t>
                  </w:r>
                  <w:r>
                    <w:rPr>
                      <w:vertAlign w:val="superscript"/>
                      <w:lang w:val="en-US"/>
                    </w:rPr>
                    <w:t>3</w:t>
                  </w:r>
                </w:p>
              </w:tc>
              <w:tc>
                <w:tcPr>
                  <w:tcW w:w="1634" w:type="dxa"/>
                  <w:shd w:val="clear" w:color="auto" w:fill="auto"/>
                  <w:vAlign w:val="center"/>
                </w:tcPr>
                <w:p w14:paraId="21842E7C">
                  <w:pPr>
                    <w:pStyle w:val="57"/>
                    <w:wordWrap w:val="0"/>
                    <w:rPr>
                      <w:lang w:val="en-US"/>
                    </w:rPr>
                  </w:pPr>
                  <w:r>
                    <w:rPr>
                      <w:rFonts w:hint="eastAsia"/>
                      <w:lang w:val="en-US"/>
                    </w:rPr>
                    <w:t>排放量</w:t>
                  </w:r>
                  <w:r>
                    <w:rPr>
                      <w:lang w:val="en-US"/>
                    </w:rPr>
                    <w:t>kg/h</w:t>
                  </w:r>
                </w:p>
              </w:tc>
            </w:tr>
            <w:tr w14:paraId="0C697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3073" w:type="dxa"/>
                  <w:vMerge w:val="restart"/>
                  <w:shd w:val="clear" w:color="auto" w:fill="auto"/>
                  <w:vAlign w:val="center"/>
                </w:tcPr>
                <w:p w14:paraId="576718C0">
                  <w:pPr>
                    <w:pStyle w:val="57"/>
                    <w:rPr>
                      <w:rFonts w:hint="eastAsia" w:eastAsia="宋体"/>
                      <w:b w:val="0"/>
                      <w:bCs/>
                      <w:lang w:val="en-US" w:eastAsia="zh-CN"/>
                    </w:rPr>
                  </w:pPr>
                  <w:r>
                    <w:rPr>
                      <w:rFonts w:hint="eastAsia"/>
                      <w:b w:val="0"/>
                      <w:bCs/>
                      <w:lang w:val="en-US" w:eastAsia="zh-CN"/>
                    </w:rPr>
                    <w:t>1#</w:t>
                  </w:r>
                </w:p>
                <w:p w14:paraId="292D5C76">
                  <w:pPr>
                    <w:pStyle w:val="57"/>
                    <w:rPr>
                      <w:b w:val="0"/>
                      <w:bCs/>
                      <w:lang w:val="en-US"/>
                    </w:rPr>
                  </w:pPr>
                </w:p>
              </w:tc>
              <w:tc>
                <w:tcPr>
                  <w:tcW w:w="1227" w:type="dxa"/>
                  <w:shd w:val="clear" w:color="auto" w:fill="auto"/>
                  <w:vAlign w:val="center"/>
                </w:tcPr>
                <w:p w14:paraId="4C40E51F">
                  <w:pPr>
                    <w:pStyle w:val="57"/>
                    <w:rPr>
                      <w:b w:val="0"/>
                      <w:bCs/>
                      <w:lang w:val="en-US"/>
                    </w:rPr>
                  </w:pPr>
                  <w:r>
                    <w:rPr>
                      <w:rFonts w:hint="eastAsia"/>
                      <w:b w:val="0"/>
                      <w:bCs/>
                      <w:lang w:val="en-US"/>
                    </w:rPr>
                    <w:t>碱雾</w:t>
                  </w:r>
                </w:p>
              </w:tc>
              <w:tc>
                <w:tcPr>
                  <w:tcW w:w="1014" w:type="dxa"/>
                  <w:vMerge w:val="restart"/>
                  <w:shd w:val="clear" w:color="auto" w:fill="auto"/>
                  <w:vAlign w:val="center"/>
                </w:tcPr>
                <w:p w14:paraId="70A2B053">
                  <w:pPr>
                    <w:pStyle w:val="57"/>
                    <w:wordWrap w:val="0"/>
                    <w:rPr>
                      <w:b w:val="0"/>
                      <w:bCs/>
                      <w:lang w:val="en-US"/>
                    </w:rPr>
                  </w:pPr>
                  <w:r>
                    <w:rPr>
                      <w:rFonts w:hint="eastAsia"/>
                      <w:b w:val="0"/>
                      <w:bCs/>
                      <w:lang w:val="en-US"/>
                    </w:rPr>
                    <w:t>1次/年</w:t>
                  </w:r>
                </w:p>
              </w:tc>
              <w:tc>
                <w:tcPr>
                  <w:tcW w:w="1174" w:type="dxa"/>
                  <w:vMerge w:val="restart"/>
                  <w:shd w:val="clear" w:color="auto" w:fill="auto"/>
                  <w:vAlign w:val="center"/>
                </w:tcPr>
                <w:p w14:paraId="2C5346BB">
                  <w:pPr>
                    <w:pStyle w:val="57"/>
                    <w:wordWrap w:val="0"/>
                    <w:rPr>
                      <w:b w:val="0"/>
                      <w:bCs/>
                      <w:lang w:val="en-US"/>
                    </w:rPr>
                  </w:pPr>
                  <w:r>
                    <w:rPr>
                      <w:rFonts w:hint="eastAsia"/>
                      <w:b w:val="0"/>
                      <w:bCs/>
                      <w:lang w:val="en-US"/>
                    </w:rPr>
                    <w:t>0.5</w:t>
                  </w:r>
                </w:p>
              </w:tc>
              <w:tc>
                <w:tcPr>
                  <w:tcW w:w="1314" w:type="dxa"/>
                  <w:shd w:val="clear" w:color="auto" w:fill="auto"/>
                  <w:vAlign w:val="center"/>
                </w:tcPr>
                <w:p w14:paraId="11CD410A">
                  <w:pPr>
                    <w:pStyle w:val="57"/>
                    <w:rPr>
                      <w:b w:val="0"/>
                      <w:bCs/>
                    </w:rPr>
                  </w:pPr>
                  <w:r>
                    <w:rPr>
                      <w:b w:val="0"/>
                      <w:bCs/>
                      <w:lang w:val="en-US"/>
                    </w:rPr>
                    <w:t xml:space="preserve">4.142 </w:t>
                  </w:r>
                </w:p>
              </w:tc>
              <w:tc>
                <w:tcPr>
                  <w:tcW w:w="1634" w:type="dxa"/>
                  <w:shd w:val="clear" w:color="auto" w:fill="auto"/>
                  <w:noWrap/>
                  <w:vAlign w:val="center"/>
                </w:tcPr>
                <w:p w14:paraId="0A44CC97">
                  <w:pPr>
                    <w:pStyle w:val="57"/>
                    <w:rPr>
                      <w:b w:val="0"/>
                      <w:bCs/>
                    </w:rPr>
                  </w:pPr>
                  <w:r>
                    <w:rPr>
                      <w:rFonts w:hint="eastAsia"/>
                      <w:b w:val="0"/>
                      <w:bCs/>
                      <w:lang w:val="en-US"/>
                    </w:rPr>
                    <w:t xml:space="preserve">0.062 </w:t>
                  </w:r>
                </w:p>
              </w:tc>
            </w:tr>
            <w:tr w14:paraId="37971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73" w:type="dxa"/>
                  <w:vMerge w:val="continue"/>
                  <w:shd w:val="clear" w:color="auto" w:fill="auto"/>
                  <w:vAlign w:val="center"/>
                </w:tcPr>
                <w:p w14:paraId="45772DFF">
                  <w:pPr>
                    <w:pStyle w:val="57"/>
                    <w:rPr>
                      <w:rFonts w:cs="宋体"/>
                      <w:kern w:val="2"/>
                      <w:szCs w:val="21"/>
                      <w:lang w:val="en-US"/>
                    </w:rPr>
                  </w:pPr>
                </w:p>
              </w:tc>
              <w:tc>
                <w:tcPr>
                  <w:tcW w:w="1227" w:type="dxa"/>
                  <w:shd w:val="clear" w:color="auto" w:fill="auto"/>
                  <w:vAlign w:val="center"/>
                </w:tcPr>
                <w:p w14:paraId="082C729F">
                  <w:pPr>
                    <w:pStyle w:val="57"/>
                    <w:rPr>
                      <w:b w:val="0"/>
                      <w:bCs/>
                      <w:lang w:val="en-US"/>
                    </w:rPr>
                  </w:pPr>
                  <w:r>
                    <w:rPr>
                      <w:rFonts w:hint="eastAsia"/>
                      <w:b w:val="0"/>
                      <w:bCs/>
                      <w:lang w:val="en-US"/>
                    </w:rPr>
                    <w:t>颗粒物</w:t>
                  </w:r>
                </w:p>
              </w:tc>
              <w:tc>
                <w:tcPr>
                  <w:tcW w:w="1014" w:type="dxa"/>
                  <w:vMerge w:val="continue"/>
                  <w:shd w:val="clear" w:color="auto" w:fill="auto"/>
                  <w:vAlign w:val="center"/>
                </w:tcPr>
                <w:p w14:paraId="2C35EF37">
                  <w:pPr>
                    <w:pStyle w:val="57"/>
                    <w:wordWrap w:val="0"/>
                    <w:rPr>
                      <w:b w:val="0"/>
                      <w:bCs/>
                      <w:lang w:val="en-US"/>
                    </w:rPr>
                  </w:pPr>
                </w:p>
              </w:tc>
              <w:tc>
                <w:tcPr>
                  <w:tcW w:w="1174" w:type="dxa"/>
                  <w:vMerge w:val="continue"/>
                  <w:shd w:val="clear" w:color="auto" w:fill="auto"/>
                  <w:vAlign w:val="center"/>
                </w:tcPr>
                <w:p w14:paraId="2C26E653">
                  <w:pPr>
                    <w:pStyle w:val="57"/>
                    <w:wordWrap w:val="0"/>
                    <w:rPr>
                      <w:b w:val="0"/>
                      <w:bCs/>
                      <w:lang w:val="en-US"/>
                    </w:rPr>
                  </w:pPr>
                </w:p>
              </w:tc>
              <w:tc>
                <w:tcPr>
                  <w:tcW w:w="1314" w:type="dxa"/>
                  <w:shd w:val="clear" w:color="auto" w:fill="auto"/>
                  <w:vAlign w:val="center"/>
                </w:tcPr>
                <w:p w14:paraId="6B5ED3B8">
                  <w:pPr>
                    <w:widowControl/>
                    <w:jc w:val="center"/>
                    <w:textAlignment w:val="center"/>
                    <w:rPr>
                      <w:bCs/>
                    </w:rPr>
                  </w:pPr>
                  <w:r>
                    <w:rPr>
                      <w:color w:val="000000"/>
                      <w:kern w:val="0"/>
                      <w:szCs w:val="21"/>
                      <w:lang w:bidi="ar"/>
                    </w:rPr>
                    <w:t xml:space="preserve">0.129 </w:t>
                  </w:r>
                </w:p>
              </w:tc>
              <w:tc>
                <w:tcPr>
                  <w:tcW w:w="1634" w:type="dxa"/>
                  <w:shd w:val="clear" w:color="auto" w:fill="auto"/>
                  <w:noWrap/>
                  <w:vAlign w:val="center"/>
                </w:tcPr>
                <w:p w14:paraId="2FED2451">
                  <w:pPr>
                    <w:pStyle w:val="57"/>
                    <w:rPr>
                      <w:b w:val="0"/>
                      <w:bCs/>
                      <w:lang w:val="en-US"/>
                    </w:rPr>
                  </w:pPr>
                  <w:r>
                    <w:rPr>
                      <w:rFonts w:hint="eastAsia"/>
                      <w:b w:val="0"/>
                      <w:bCs/>
                      <w:lang w:val="en-US"/>
                    </w:rPr>
                    <w:t xml:space="preserve">0.002 </w:t>
                  </w:r>
                </w:p>
              </w:tc>
            </w:tr>
            <w:tr w14:paraId="0F35C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73" w:type="dxa"/>
                  <w:vMerge w:val="continue"/>
                  <w:shd w:val="clear" w:color="auto" w:fill="auto"/>
                  <w:vAlign w:val="center"/>
                </w:tcPr>
                <w:p w14:paraId="3A24E7E0">
                  <w:pPr>
                    <w:pStyle w:val="57"/>
                    <w:wordWrap w:val="0"/>
                    <w:rPr>
                      <w:b w:val="0"/>
                      <w:bCs/>
                      <w:lang w:val="en-US"/>
                    </w:rPr>
                  </w:pPr>
                </w:p>
              </w:tc>
              <w:tc>
                <w:tcPr>
                  <w:tcW w:w="1227" w:type="dxa"/>
                  <w:shd w:val="clear" w:color="auto" w:fill="auto"/>
                  <w:vAlign w:val="center"/>
                </w:tcPr>
                <w:p w14:paraId="34E04CED">
                  <w:pPr>
                    <w:pStyle w:val="57"/>
                    <w:rPr>
                      <w:b w:val="0"/>
                      <w:bCs/>
                      <w:lang w:val="en-US"/>
                    </w:rPr>
                  </w:pPr>
                  <w:r>
                    <w:rPr>
                      <w:b w:val="0"/>
                      <w:bCs/>
                      <w:lang w:val="en-US"/>
                    </w:rPr>
                    <w:t>NOx</w:t>
                  </w:r>
                </w:p>
              </w:tc>
              <w:tc>
                <w:tcPr>
                  <w:tcW w:w="1014" w:type="dxa"/>
                  <w:vMerge w:val="continue"/>
                  <w:shd w:val="clear" w:color="auto" w:fill="auto"/>
                  <w:vAlign w:val="center"/>
                </w:tcPr>
                <w:p w14:paraId="1BF3DDB1">
                  <w:pPr>
                    <w:pStyle w:val="57"/>
                    <w:wordWrap w:val="0"/>
                    <w:rPr>
                      <w:b w:val="0"/>
                      <w:bCs/>
                      <w:lang w:val="en-US"/>
                    </w:rPr>
                  </w:pPr>
                </w:p>
              </w:tc>
              <w:tc>
                <w:tcPr>
                  <w:tcW w:w="1174" w:type="dxa"/>
                  <w:vMerge w:val="continue"/>
                  <w:shd w:val="clear" w:color="auto" w:fill="auto"/>
                  <w:vAlign w:val="center"/>
                </w:tcPr>
                <w:p w14:paraId="758C8E9D">
                  <w:pPr>
                    <w:pStyle w:val="57"/>
                    <w:wordWrap w:val="0"/>
                    <w:rPr>
                      <w:b w:val="0"/>
                      <w:bCs/>
                      <w:lang w:val="en-US"/>
                    </w:rPr>
                  </w:pPr>
                </w:p>
              </w:tc>
              <w:tc>
                <w:tcPr>
                  <w:tcW w:w="1314" w:type="dxa"/>
                  <w:shd w:val="clear" w:color="auto" w:fill="auto"/>
                  <w:vAlign w:val="center"/>
                </w:tcPr>
                <w:p w14:paraId="2C480988">
                  <w:pPr>
                    <w:widowControl/>
                    <w:jc w:val="center"/>
                    <w:textAlignment w:val="center"/>
                    <w:rPr>
                      <w:bCs/>
                    </w:rPr>
                  </w:pPr>
                  <w:r>
                    <w:rPr>
                      <w:color w:val="000000"/>
                      <w:kern w:val="0"/>
                      <w:szCs w:val="21"/>
                      <w:lang w:bidi="ar"/>
                    </w:rPr>
                    <w:t xml:space="preserve">0.314 </w:t>
                  </w:r>
                </w:p>
              </w:tc>
              <w:tc>
                <w:tcPr>
                  <w:tcW w:w="1634" w:type="dxa"/>
                  <w:shd w:val="clear" w:color="auto" w:fill="auto"/>
                  <w:noWrap/>
                  <w:vAlign w:val="center"/>
                </w:tcPr>
                <w:p w14:paraId="62A280D8">
                  <w:pPr>
                    <w:pStyle w:val="57"/>
                    <w:rPr>
                      <w:b w:val="0"/>
                      <w:bCs/>
                      <w:lang w:val="en-US"/>
                    </w:rPr>
                  </w:pPr>
                  <w:r>
                    <w:rPr>
                      <w:rFonts w:hint="eastAsia"/>
                      <w:b w:val="0"/>
                      <w:bCs/>
                      <w:lang w:val="en-US"/>
                    </w:rPr>
                    <w:t xml:space="preserve">0.005 </w:t>
                  </w:r>
                </w:p>
              </w:tc>
            </w:tr>
            <w:tr w14:paraId="0F92D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73" w:type="dxa"/>
                  <w:vMerge w:val="continue"/>
                  <w:shd w:val="clear" w:color="auto" w:fill="auto"/>
                  <w:vAlign w:val="center"/>
                </w:tcPr>
                <w:p w14:paraId="1C4E1077">
                  <w:pPr>
                    <w:pStyle w:val="57"/>
                    <w:wordWrap w:val="0"/>
                    <w:rPr>
                      <w:b w:val="0"/>
                      <w:bCs/>
                      <w:lang w:val="en-US"/>
                    </w:rPr>
                  </w:pPr>
                </w:p>
              </w:tc>
              <w:tc>
                <w:tcPr>
                  <w:tcW w:w="1227" w:type="dxa"/>
                  <w:shd w:val="clear" w:color="auto" w:fill="auto"/>
                  <w:vAlign w:val="center"/>
                </w:tcPr>
                <w:p w14:paraId="79DA7673">
                  <w:pPr>
                    <w:pStyle w:val="57"/>
                    <w:rPr>
                      <w:b w:val="0"/>
                      <w:bCs/>
                      <w:lang w:val="en-US"/>
                    </w:rPr>
                  </w:pPr>
                  <w:r>
                    <w:rPr>
                      <w:b w:val="0"/>
                      <w:bCs/>
                      <w:lang w:val="en-US"/>
                    </w:rPr>
                    <w:t>SO</w:t>
                  </w:r>
                  <w:r>
                    <w:rPr>
                      <w:b w:val="0"/>
                      <w:bCs/>
                      <w:vertAlign w:val="subscript"/>
                      <w:lang w:val="en-US"/>
                    </w:rPr>
                    <w:t>2</w:t>
                  </w:r>
                </w:p>
              </w:tc>
              <w:tc>
                <w:tcPr>
                  <w:tcW w:w="1014" w:type="dxa"/>
                  <w:vMerge w:val="continue"/>
                  <w:shd w:val="clear" w:color="auto" w:fill="auto"/>
                  <w:vAlign w:val="center"/>
                </w:tcPr>
                <w:p w14:paraId="4CFF1615">
                  <w:pPr>
                    <w:pStyle w:val="57"/>
                    <w:wordWrap w:val="0"/>
                    <w:rPr>
                      <w:b w:val="0"/>
                      <w:bCs/>
                      <w:lang w:val="en-US"/>
                    </w:rPr>
                  </w:pPr>
                </w:p>
              </w:tc>
              <w:tc>
                <w:tcPr>
                  <w:tcW w:w="1174" w:type="dxa"/>
                  <w:vMerge w:val="continue"/>
                  <w:shd w:val="clear" w:color="auto" w:fill="auto"/>
                  <w:vAlign w:val="center"/>
                </w:tcPr>
                <w:p w14:paraId="70FF0AA7">
                  <w:pPr>
                    <w:pStyle w:val="57"/>
                    <w:wordWrap w:val="0"/>
                    <w:rPr>
                      <w:b w:val="0"/>
                      <w:bCs/>
                      <w:lang w:val="en-US"/>
                    </w:rPr>
                  </w:pPr>
                </w:p>
              </w:tc>
              <w:tc>
                <w:tcPr>
                  <w:tcW w:w="1314" w:type="dxa"/>
                  <w:shd w:val="clear" w:color="auto" w:fill="auto"/>
                  <w:vAlign w:val="center"/>
                </w:tcPr>
                <w:p w14:paraId="03489F82">
                  <w:pPr>
                    <w:widowControl/>
                    <w:jc w:val="center"/>
                    <w:textAlignment w:val="center"/>
                    <w:rPr>
                      <w:bCs/>
                    </w:rPr>
                  </w:pPr>
                  <w:r>
                    <w:rPr>
                      <w:color w:val="000000"/>
                      <w:kern w:val="0"/>
                      <w:szCs w:val="21"/>
                      <w:lang w:bidi="ar"/>
                    </w:rPr>
                    <w:t xml:space="preserve">0.090 </w:t>
                  </w:r>
                </w:p>
              </w:tc>
              <w:tc>
                <w:tcPr>
                  <w:tcW w:w="1634" w:type="dxa"/>
                  <w:shd w:val="clear" w:color="auto" w:fill="auto"/>
                  <w:noWrap/>
                  <w:vAlign w:val="center"/>
                </w:tcPr>
                <w:p w14:paraId="141BF501">
                  <w:pPr>
                    <w:pStyle w:val="57"/>
                    <w:rPr>
                      <w:b w:val="0"/>
                      <w:bCs/>
                      <w:lang w:val="en-US"/>
                    </w:rPr>
                  </w:pPr>
                  <w:r>
                    <w:rPr>
                      <w:rFonts w:hint="eastAsia"/>
                      <w:b w:val="0"/>
                      <w:bCs/>
                      <w:lang w:val="en-US"/>
                    </w:rPr>
                    <w:t xml:space="preserve">0.001 </w:t>
                  </w:r>
                </w:p>
              </w:tc>
            </w:tr>
          </w:tbl>
          <w:p w14:paraId="0E9D8166">
            <w:pPr>
              <w:pStyle w:val="111"/>
              <w:wordWrap w:val="0"/>
              <w:rPr>
                <w:rFonts w:hint="default"/>
                <w:color w:val="auto"/>
              </w:rPr>
            </w:pPr>
            <w:r>
              <w:rPr>
                <w:rFonts w:hint="default"/>
                <w:color w:val="auto"/>
              </w:rPr>
              <w:t>非正常情况下，项目各污染物排放量、排放浓度较正常工况下明显增加，对环境空气影响程度增加。因此，为防止生产废气非正常工况排放，企业必须加强废气处理设施的管理，定期检修，确保废气处理设施正常运行。为杜绝废气非正常排放，应采取以下措施确保废气达标排放：</w:t>
            </w:r>
          </w:p>
          <w:p w14:paraId="4B79D556">
            <w:pPr>
              <w:pStyle w:val="111"/>
              <w:wordWrap w:val="0"/>
              <w:rPr>
                <w:rFonts w:hint="default"/>
                <w:color w:val="auto"/>
              </w:rPr>
            </w:pPr>
            <w:r>
              <w:rPr>
                <w:rFonts w:hint="default"/>
                <w:color w:val="auto"/>
              </w:rPr>
              <w:t>①安排专人负责环保设备的日常维护和管理，每隔固定时间检查、汇报情况，及时发现废气处理设备的隐患，确保废气处理系统正常运行；</w:t>
            </w:r>
          </w:p>
          <w:p w14:paraId="1BFA0F53">
            <w:pPr>
              <w:pStyle w:val="111"/>
              <w:wordWrap w:val="0"/>
              <w:rPr>
                <w:rFonts w:hint="default"/>
                <w:color w:val="auto"/>
              </w:rPr>
            </w:pPr>
            <w:r>
              <w:rPr>
                <w:rFonts w:hint="default"/>
                <w:color w:val="auto"/>
              </w:rPr>
              <w:t>②建立健全的环保管理机构，对环保管理人员和技术人员进行岗位培训，委托具有专业资质的环境检测单位对项目排放的各类污染物进行定期检测；</w:t>
            </w:r>
          </w:p>
          <w:p w14:paraId="632A96C7">
            <w:pPr>
              <w:pStyle w:val="111"/>
              <w:wordWrap w:val="0"/>
              <w:rPr>
                <w:rFonts w:hint="default"/>
                <w:color w:val="auto"/>
              </w:rPr>
            </w:pPr>
            <w:r>
              <w:rPr>
                <w:rFonts w:hint="default"/>
                <w:color w:val="auto"/>
              </w:rPr>
              <w:t>③应定期维护、检修废气净化装置，以保持废气处理装置的净化能力和净化容量。</w:t>
            </w:r>
          </w:p>
          <w:p w14:paraId="73E72FE6">
            <w:pPr>
              <w:pStyle w:val="111"/>
              <w:wordWrap w:val="0"/>
              <w:ind w:left="420" w:leftChars="200" w:firstLine="0" w:firstLineChars="0"/>
              <w:rPr>
                <w:rFonts w:hint="default"/>
                <w:b/>
                <w:bCs/>
                <w:color w:val="auto"/>
              </w:rPr>
            </w:pPr>
            <w:r>
              <w:rPr>
                <w:rFonts w:hint="eastAsia"/>
                <w:b/>
                <w:bCs/>
                <w:color w:val="auto"/>
                <w:lang w:eastAsia="zh-CN"/>
              </w:rPr>
              <w:t>4.</w:t>
            </w:r>
            <w:r>
              <w:rPr>
                <w:rFonts w:hint="default"/>
                <w:b/>
                <w:bCs/>
                <w:color w:val="auto"/>
              </w:rPr>
              <w:t>项目废气治理措施可行性分析</w:t>
            </w:r>
          </w:p>
          <w:p w14:paraId="07258212">
            <w:pPr>
              <w:pStyle w:val="111"/>
              <w:rPr>
                <w:rFonts w:hint="default"/>
                <w:color w:val="auto"/>
              </w:rPr>
            </w:pPr>
            <w:r>
              <w:rPr>
                <w:color w:val="auto"/>
              </w:rPr>
              <w:t>（1）电解清洗过程中碱雾处理设施可行性分析</w:t>
            </w:r>
          </w:p>
          <w:p w14:paraId="44FB953A">
            <w:pPr>
              <w:pStyle w:val="111"/>
              <w:rPr>
                <w:rFonts w:hint="default"/>
                <w:color w:val="auto"/>
              </w:rPr>
            </w:pPr>
            <w:r>
              <w:rPr>
                <w:color w:val="auto"/>
              </w:rPr>
              <w:t>项目在电解清洗及“钨回收系统”蒸发干化工序会产生少量碱雾，均通过设置集气罩收集后</w:t>
            </w:r>
            <w:r>
              <w:rPr>
                <w:rFonts w:hint="default"/>
                <w:color w:val="auto"/>
              </w:rPr>
              <w:t>引至</w:t>
            </w:r>
            <w:r>
              <w:rPr>
                <w:color w:val="auto"/>
              </w:rPr>
              <w:t>屋顶</w:t>
            </w:r>
            <w:r>
              <w:rPr>
                <w:rFonts w:hint="default"/>
                <w:color w:val="auto"/>
              </w:rPr>
              <w:t>经</w:t>
            </w:r>
            <w:r>
              <w:rPr>
                <w:color w:val="auto"/>
              </w:rPr>
              <w:t>中和喷淋塔</w:t>
            </w:r>
            <w:r>
              <w:rPr>
                <w:rStyle w:val="115"/>
                <w:rFonts w:hint="default"/>
                <w:color w:val="auto"/>
              </w:rPr>
              <w:t>处理后</w:t>
            </w:r>
            <w:r>
              <w:rPr>
                <w:rStyle w:val="115"/>
                <w:color w:val="auto"/>
              </w:rPr>
              <w:t>由27m高排气筒（</w:t>
            </w:r>
            <w:r>
              <w:rPr>
                <w:rStyle w:val="115"/>
                <w:color w:val="auto"/>
                <w:lang w:eastAsia="zh-CN"/>
              </w:rPr>
              <w:t>1#</w:t>
            </w:r>
            <w:r>
              <w:rPr>
                <w:rStyle w:val="115"/>
                <w:color w:val="auto"/>
              </w:rPr>
              <w:t>）</w:t>
            </w:r>
            <w:r>
              <w:rPr>
                <w:rStyle w:val="115"/>
                <w:rFonts w:hint="default"/>
                <w:color w:val="auto"/>
              </w:rPr>
              <w:t>有组织排放</w:t>
            </w:r>
            <w:r>
              <w:rPr>
                <w:color w:val="auto"/>
              </w:rPr>
              <w:t>。</w:t>
            </w:r>
          </w:p>
          <w:p w14:paraId="02989DC1">
            <w:pPr>
              <w:pStyle w:val="111"/>
              <w:rPr>
                <w:rFonts w:hint="default"/>
                <w:color w:val="auto"/>
              </w:rPr>
            </w:pPr>
            <w:r>
              <w:rPr>
                <w:color w:val="auto"/>
              </w:rPr>
              <w:t>根据《排污许可证申请与核发技术规范铁路、船舶、航空航天和其他运输设备制造业》（HJ 1124-2020）中酸碱洗废气可行技术推荐为“喷淋塔”，项目废气处理措施属于推荐可行技术。</w:t>
            </w:r>
          </w:p>
          <w:p w14:paraId="33E893C3">
            <w:pPr>
              <w:pStyle w:val="111"/>
              <w:rPr>
                <w:rFonts w:hint="default"/>
                <w:color w:val="auto"/>
              </w:rPr>
            </w:pPr>
            <w:r>
              <w:rPr>
                <w:color w:val="auto"/>
              </w:rPr>
              <w:t>（2）“钨回收系统”蒸发干化过程中天然气燃烧废气处理设施可行性分析</w:t>
            </w:r>
          </w:p>
          <w:p w14:paraId="7C795E7B">
            <w:pPr>
              <w:pStyle w:val="111"/>
              <w:rPr>
                <w:rFonts w:hint="default"/>
                <w:color w:val="auto"/>
              </w:rPr>
            </w:pPr>
            <w:r>
              <w:rPr>
                <w:color w:val="auto"/>
              </w:rPr>
              <w:t>本项目“钨回收系统”蒸发干化设备采用天然气加热，天然气属于清洁能源，燃烧废气同碱雾集气罩收集后</w:t>
            </w:r>
            <w:r>
              <w:rPr>
                <w:rFonts w:hint="default"/>
                <w:color w:val="auto"/>
              </w:rPr>
              <w:t>引至</w:t>
            </w:r>
            <w:r>
              <w:rPr>
                <w:color w:val="auto"/>
              </w:rPr>
              <w:t>屋顶</w:t>
            </w:r>
            <w:r>
              <w:rPr>
                <w:rFonts w:hint="default"/>
                <w:color w:val="auto"/>
              </w:rPr>
              <w:t>经</w:t>
            </w:r>
            <w:r>
              <w:rPr>
                <w:color w:val="auto"/>
              </w:rPr>
              <w:t>中和喷淋塔</w:t>
            </w:r>
            <w:r>
              <w:rPr>
                <w:rStyle w:val="115"/>
                <w:rFonts w:hint="default"/>
                <w:color w:val="auto"/>
              </w:rPr>
              <w:t>处理后</w:t>
            </w:r>
            <w:r>
              <w:rPr>
                <w:rStyle w:val="115"/>
                <w:color w:val="auto"/>
              </w:rPr>
              <w:t>由27m高排气筒（</w:t>
            </w:r>
            <w:r>
              <w:rPr>
                <w:rStyle w:val="115"/>
                <w:color w:val="auto"/>
                <w:lang w:eastAsia="zh-CN"/>
              </w:rPr>
              <w:t>1#</w:t>
            </w:r>
            <w:r>
              <w:rPr>
                <w:rStyle w:val="115"/>
                <w:color w:val="auto"/>
              </w:rPr>
              <w:t>）</w:t>
            </w:r>
            <w:r>
              <w:rPr>
                <w:rStyle w:val="115"/>
                <w:rFonts w:hint="default"/>
                <w:color w:val="auto"/>
              </w:rPr>
              <w:t>有组织排放</w:t>
            </w:r>
            <w:r>
              <w:rPr>
                <w:color w:val="auto"/>
              </w:rPr>
              <w:t>。废气排放浓度可满足《陕西省工业炉窑大气污染综合综合治理实施方案》排放限值要求。</w:t>
            </w:r>
          </w:p>
          <w:p w14:paraId="572A7FD4">
            <w:pPr>
              <w:pStyle w:val="57"/>
            </w:pPr>
            <w:r>
              <w:rPr>
                <w:rFonts w:hint="eastAsia"/>
              </w:rPr>
              <w:drawing>
                <wp:inline distT="0" distB="0" distL="114300" distR="114300">
                  <wp:extent cx="4229100" cy="2104390"/>
                  <wp:effectExtent l="0" t="0" r="0" b="10160"/>
                  <wp:docPr id="9" name="F360BE8B-6686-4F3D-AEAF-501FE73E4058-3" descr="C:/Users/Administrator/AppData/Local/Temp/绘图1(19).png绘图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60BE8B-6686-4F3D-AEAF-501FE73E4058-3" descr="C:/Users/Administrator/AppData/Local/Temp/绘图1(19).png绘图1(19)"/>
                          <pic:cNvPicPr>
                            <a:picLocks noChangeAspect="1"/>
                          </pic:cNvPicPr>
                        </pic:nvPicPr>
                        <pic:blipFill>
                          <a:blip r:embed="rId21"/>
                          <a:stretch>
                            <a:fillRect/>
                          </a:stretch>
                        </pic:blipFill>
                        <pic:spPr>
                          <a:xfrm>
                            <a:off x="0" y="0"/>
                            <a:ext cx="4229100" cy="2104644"/>
                          </a:xfrm>
                          <a:prstGeom prst="rect">
                            <a:avLst/>
                          </a:prstGeom>
                        </pic:spPr>
                      </pic:pic>
                    </a:graphicData>
                  </a:graphic>
                </wp:inline>
              </w:drawing>
            </w:r>
          </w:p>
          <w:p w14:paraId="1476DEA1">
            <w:pPr>
              <w:pStyle w:val="57"/>
              <w:rPr>
                <w:lang w:val="en-US"/>
              </w:rPr>
            </w:pPr>
            <w:r>
              <w:rPr>
                <w:rFonts w:hint="eastAsia"/>
                <w:lang w:val="en-US"/>
              </w:rPr>
              <w:t>图</w:t>
            </w:r>
            <w:r>
              <w:rPr>
                <w:rFonts w:hint="eastAsia"/>
                <w:lang w:val="en-US" w:eastAsia="zh-CN"/>
              </w:rPr>
              <w:t>4</w:t>
            </w:r>
            <w:r>
              <w:rPr>
                <w:rFonts w:hint="eastAsia"/>
                <w:lang w:val="en-US"/>
              </w:rPr>
              <w:t>-1项目废气治理工艺图</w:t>
            </w:r>
          </w:p>
          <w:p w14:paraId="2F478E92">
            <w:pPr>
              <w:wordWrap w:val="0"/>
              <w:adjustRightInd w:val="0"/>
              <w:spacing w:line="360" w:lineRule="auto"/>
              <w:ind w:firstLine="482" w:firstLineChars="200"/>
              <w:rPr>
                <w:b/>
                <w:bCs/>
                <w:sz w:val="24"/>
                <w:szCs w:val="22"/>
              </w:rPr>
            </w:pPr>
            <w:r>
              <w:rPr>
                <w:rFonts w:hint="eastAsia"/>
                <w:b/>
                <w:bCs/>
                <w:sz w:val="24"/>
                <w:lang w:eastAsia="zh-CN"/>
              </w:rPr>
              <w:t>5.</w:t>
            </w:r>
            <w:r>
              <w:rPr>
                <w:b/>
                <w:bCs/>
                <w:sz w:val="24"/>
              </w:rPr>
              <w:t>自行</w:t>
            </w:r>
            <w:r>
              <w:rPr>
                <w:b/>
                <w:bCs/>
                <w:sz w:val="24"/>
                <w:szCs w:val="22"/>
              </w:rPr>
              <w:t>监测要求</w:t>
            </w:r>
          </w:p>
          <w:p w14:paraId="673546D6">
            <w:pPr>
              <w:wordWrap w:val="0"/>
              <w:adjustRightInd w:val="0"/>
              <w:spacing w:line="360" w:lineRule="auto"/>
              <w:ind w:firstLine="480" w:firstLineChars="200"/>
              <w:rPr>
                <w:sz w:val="24"/>
                <w:szCs w:val="22"/>
              </w:rPr>
            </w:pPr>
            <w:r>
              <w:rPr>
                <w:rFonts w:hint="eastAsia"/>
                <w:sz w:val="24"/>
                <w:szCs w:val="22"/>
              </w:rPr>
              <w:t>本项目作为金属制品业和稀有稀土金属压延加工类新建项目，大气环境监测计划按照《排污单位自行监测技术指南 总则》（HJ819-2017）并参照《排污许可证申请与核发技术规范 工业炉窑》（HJ1121-2020）相关要求执行</w:t>
            </w:r>
            <w:r>
              <w:rPr>
                <w:sz w:val="24"/>
                <w:szCs w:val="22"/>
              </w:rPr>
              <w:t>：</w:t>
            </w:r>
          </w:p>
          <w:p w14:paraId="01EB6ABE">
            <w:pPr>
              <w:pStyle w:val="57"/>
              <w:wordWrap w:val="0"/>
            </w:pPr>
            <w:r>
              <w:t>表</w:t>
            </w:r>
            <w:r>
              <w:rPr>
                <w:rFonts w:hint="eastAsia"/>
                <w:lang w:val="en-US"/>
              </w:rPr>
              <w:t>4-</w:t>
            </w:r>
            <w:r>
              <w:rPr>
                <w:rFonts w:hint="eastAsia"/>
                <w:lang w:val="en-US" w:eastAsia="zh-CN"/>
              </w:rPr>
              <w:t>4</w:t>
            </w:r>
            <w:r>
              <w:t>项目废气污染源监测计划表</w:t>
            </w:r>
          </w:p>
          <w:tbl>
            <w:tblPr>
              <w:tblStyle w:val="3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794"/>
              <w:gridCol w:w="1896"/>
              <w:gridCol w:w="1433"/>
              <w:gridCol w:w="1213"/>
              <w:gridCol w:w="2420"/>
            </w:tblGrid>
            <w:tr w14:paraId="65BDE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4" w:type="pct"/>
                  <w:vAlign w:val="center"/>
                </w:tcPr>
                <w:p w14:paraId="3F6ABD2F">
                  <w:pPr>
                    <w:pStyle w:val="57"/>
                    <w:wordWrap w:val="0"/>
                    <w:rPr>
                      <w:lang w:val="zh-CN"/>
                    </w:rPr>
                  </w:pPr>
                  <w:r>
                    <w:rPr>
                      <w:lang w:val="zh-CN"/>
                    </w:rPr>
                    <w:t>类型</w:t>
                  </w:r>
                </w:p>
              </w:tc>
              <w:tc>
                <w:tcPr>
                  <w:tcW w:w="943" w:type="pct"/>
                  <w:vAlign w:val="center"/>
                </w:tcPr>
                <w:p w14:paraId="7CE89CD3">
                  <w:pPr>
                    <w:pStyle w:val="57"/>
                    <w:wordWrap w:val="0"/>
                    <w:rPr>
                      <w:lang w:val="zh-CN"/>
                    </w:rPr>
                  </w:pPr>
                  <w:r>
                    <w:rPr>
                      <w:lang w:val="zh-CN"/>
                    </w:rPr>
                    <w:t>污染源</w:t>
                  </w:r>
                </w:p>
              </w:tc>
              <w:tc>
                <w:tcPr>
                  <w:tcW w:w="997" w:type="pct"/>
                  <w:vAlign w:val="center"/>
                </w:tcPr>
                <w:p w14:paraId="02D538F3">
                  <w:pPr>
                    <w:pStyle w:val="57"/>
                    <w:wordWrap w:val="0"/>
                    <w:rPr>
                      <w:lang w:val="zh-CN"/>
                    </w:rPr>
                  </w:pPr>
                  <w:r>
                    <w:rPr>
                      <w:lang w:val="zh-CN"/>
                    </w:rPr>
                    <w:t>监测因子</w:t>
                  </w:r>
                </w:p>
              </w:tc>
              <w:tc>
                <w:tcPr>
                  <w:tcW w:w="754" w:type="pct"/>
                  <w:vAlign w:val="center"/>
                </w:tcPr>
                <w:p w14:paraId="48F68424">
                  <w:pPr>
                    <w:pStyle w:val="57"/>
                    <w:wordWrap w:val="0"/>
                    <w:rPr>
                      <w:lang w:val="zh-CN"/>
                    </w:rPr>
                  </w:pPr>
                  <w:r>
                    <w:rPr>
                      <w:lang w:val="zh-CN"/>
                    </w:rPr>
                    <w:t>监测点位</w:t>
                  </w:r>
                </w:p>
              </w:tc>
              <w:tc>
                <w:tcPr>
                  <w:tcW w:w="638" w:type="pct"/>
                  <w:vAlign w:val="center"/>
                </w:tcPr>
                <w:p w14:paraId="343825F5">
                  <w:pPr>
                    <w:pStyle w:val="57"/>
                    <w:wordWrap w:val="0"/>
                    <w:rPr>
                      <w:lang w:val="zh-CN"/>
                    </w:rPr>
                  </w:pPr>
                  <w:r>
                    <w:rPr>
                      <w:lang w:val="zh-CN"/>
                    </w:rPr>
                    <w:t>监测频次</w:t>
                  </w:r>
                </w:p>
              </w:tc>
              <w:tc>
                <w:tcPr>
                  <w:tcW w:w="1272" w:type="pct"/>
                  <w:vAlign w:val="center"/>
                </w:tcPr>
                <w:p w14:paraId="6915006B">
                  <w:pPr>
                    <w:pStyle w:val="57"/>
                    <w:wordWrap w:val="0"/>
                    <w:rPr>
                      <w:lang w:val="zh-CN"/>
                    </w:rPr>
                  </w:pPr>
                  <w:r>
                    <w:rPr>
                      <w:lang w:val="zh-CN"/>
                    </w:rPr>
                    <w:t>执行标准</w:t>
                  </w:r>
                </w:p>
              </w:tc>
            </w:tr>
            <w:tr w14:paraId="3B021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4" w:type="pct"/>
                  <w:vMerge w:val="restart"/>
                  <w:vAlign w:val="center"/>
                </w:tcPr>
                <w:p w14:paraId="429D9B8C">
                  <w:pPr>
                    <w:pStyle w:val="57"/>
                    <w:wordWrap w:val="0"/>
                    <w:rPr>
                      <w:b w:val="0"/>
                      <w:bCs/>
                      <w:lang w:val="en-US"/>
                    </w:rPr>
                  </w:pPr>
                  <w:r>
                    <w:rPr>
                      <w:rFonts w:hint="eastAsia"/>
                      <w:b w:val="0"/>
                      <w:bCs/>
                      <w:lang w:val="en-US"/>
                    </w:rPr>
                    <w:t>有组织废气</w:t>
                  </w:r>
                </w:p>
              </w:tc>
              <w:tc>
                <w:tcPr>
                  <w:tcW w:w="943" w:type="pct"/>
                  <w:vMerge w:val="restart"/>
                  <w:vAlign w:val="center"/>
                </w:tcPr>
                <w:p w14:paraId="336510F8">
                  <w:pPr>
                    <w:pStyle w:val="57"/>
                    <w:wordWrap w:val="0"/>
                    <w:rPr>
                      <w:rFonts w:hint="default" w:eastAsia="宋体"/>
                      <w:b w:val="0"/>
                      <w:bCs/>
                      <w:lang w:val="en-US" w:eastAsia="zh-CN"/>
                    </w:rPr>
                  </w:pPr>
                  <w:r>
                    <w:rPr>
                      <w:rFonts w:hint="eastAsia"/>
                      <w:b w:val="0"/>
                      <w:bCs/>
                      <w:lang w:val="en-US" w:eastAsia="zh-CN"/>
                    </w:rPr>
                    <w:t>1#排气筒</w:t>
                  </w:r>
                </w:p>
              </w:tc>
              <w:tc>
                <w:tcPr>
                  <w:tcW w:w="997" w:type="pct"/>
                  <w:vAlign w:val="center"/>
                </w:tcPr>
                <w:p w14:paraId="4748BC08">
                  <w:pPr>
                    <w:pStyle w:val="57"/>
                    <w:wordWrap w:val="0"/>
                    <w:rPr>
                      <w:b w:val="0"/>
                      <w:bCs/>
                      <w:lang w:val="en-US"/>
                    </w:rPr>
                  </w:pPr>
                  <w:r>
                    <w:rPr>
                      <w:rFonts w:hint="eastAsia"/>
                      <w:b w:val="0"/>
                      <w:bCs/>
                      <w:lang w:val="en-US"/>
                    </w:rPr>
                    <w:t>颗粒物、氮氧化物、二氧化硫</w:t>
                  </w:r>
                </w:p>
              </w:tc>
              <w:tc>
                <w:tcPr>
                  <w:tcW w:w="754" w:type="pct"/>
                  <w:vAlign w:val="center"/>
                </w:tcPr>
                <w:p w14:paraId="4C6252C0">
                  <w:pPr>
                    <w:pStyle w:val="57"/>
                    <w:wordWrap w:val="0"/>
                    <w:rPr>
                      <w:b w:val="0"/>
                      <w:bCs/>
                      <w:lang w:val="en-US"/>
                    </w:rPr>
                  </w:pPr>
                  <w:r>
                    <w:rPr>
                      <w:rFonts w:hint="eastAsia"/>
                      <w:b w:val="0"/>
                      <w:bCs/>
                      <w:lang w:val="en-US"/>
                    </w:rPr>
                    <w:t>排气筒出口</w:t>
                  </w:r>
                </w:p>
              </w:tc>
              <w:tc>
                <w:tcPr>
                  <w:tcW w:w="638" w:type="pct"/>
                  <w:vAlign w:val="center"/>
                </w:tcPr>
                <w:p w14:paraId="730D7367">
                  <w:pPr>
                    <w:pStyle w:val="57"/>
                    <w:wordWrap w:val="0"/>
                    <w:rPr>
                      <w:b w:val="0"/>
                      <w:bCs/>
                    </w:rPr>
                  </w:pPr>
                  <w:r>
                    <w:rPr>
                      <w:b w:val="0"/>
                      <w:bCs/>
                    </w:rPr>
                    <w:t>1次/年</w:t>
                  </w:r>
                </w:p>
              </w:tc>
              <w:tc>
                <w:tcPr>
                  <w:tcW w:w="1272" w:type="pct"/>
                  <w:vAlign w:val="center"/>
                </w:tcPr>
                <w:p w14:paraId="66112695">
                  <w:pPr>
                    <w:pStyle w:val="57"/>
                    <w:wordWrap w:val="0"/>
                    <w:rPr>
                      <w:b w:val="0"/>
                      <w:bCs/>
                    </w:rPr>
                  </w:pPr>
                  <w:r>
                    <w:rPr>
                      <w:rFonts w:hint="eastAsia"/>
                      <w:b w:val="0"/>
                      <w:bCs/>
                    </w:rPr>
                    <w:t>《陕西省工业炉窑大气污染物综合治理方案》重点区排放限值要求</w:t>
                  </w:r>
                </w:p>
              </w:tc>
            </w:tr>
            <w:tr w14:paraId="57413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4" w:type="pct"/>
                  <w:vMerge w:val="continue"/>
                  <w:vAlign w:val="center"/>
                </w:tcPr>
                <w:p w14:paraId="5B732DFB">
                  <w:pPr>
                    <w:pStyle w:val="57"/>
                    <w:wordWrap w:val="0"/>
                    <w:rPr>
                      <w:b w:val="0"/>
                      <w:bCs/>
                      <w:lang w:val="en-US"/>
                    </w:rPr>
                  </w:pPr>
                </w:p>
              </w:tc>
              <w:tc>
                <w:tcPr>
                  <w:tcW w:w="943" w:type="pct"/>
                  <w:vMerge w:val="continue"/>
                  <w:vAlign w:val="center"/>
                </w:tcPr>
                <w:p w14:paraId="6CB7E334">
                  <w:pPr>
                    <w:pStyle w:val="57"/>
                    <w:wordWrap w:val="0"/>
                    <w:rPr>
                      <w:b w:val="0"/>
                      <w:bCs/>
                      <w:lang w:val="en-US"/>
                    </w:rPr>
                  </w:pPr>
                </w:p>
              </w:tc>
              <w:tc>
                <w:tcPr>
                  <w:tcW w:w="997" w:type="pct"/>
                  <w:vAlign w:val="center"/>
                </w:tcPr>
                <w:p w14:paraId="659426BE">
                  <w:pPr>
                    <w:pStyle w:val="57"/>
                    <w:wordWrap w:val="0"/>
                    <w:rPr>
                      <w:b w:val="0"/>
                      <w:bCs/>
                      <w:lang w:val="en-US"/>
                    </w:rPr>
                  </w:pPr>
                  <w:r>
                    <w:rPr>
                      <w:rFonts w:hint="eastAsia"/>
                      <w:b w:val="0"/>
                      <w:bCs/>
                      <w:lang w:val="en-US"/>
                    </w:rPr>
                    <w:t>碱雾</w:t>
                  </w:r>
                </w:p>
              </w:tc>
              <w:tc>
                <w:tcPr>
                  <w:tcW w:w="754" w:type="pct"/>
                  <w:shd w:val="clear" w:color="auto" w:fill="auto"/>
                  <w:vAlign w:val="center"/>
                </w:tcPr>
                <w:p w14:paraId="7F9F33BE">
                  <w:pPr>
                    <w:pStyle w:val="57"/>
                    <w:wordWrap w:val="0"/>
                    <w:rPr>
                      <w:b w:val="0"/>
                      <w:bCs/>
                      <w:lang w:val="en-US"/>
                    </w:rPr>
                  </w:pPr>
                  <w:r>
                    <w:rPr>
                      <w:rFonts w:hint="eastAsia"/>
                      <w:b w:val="0"/>
                      <w:bCs/>
                      <w:lang w:val="en-US"/>
                    </w:rPr>
                    <w:t>排气筒出口</w:t>
                  </w:r>
                </w:p>
              </w:tc>
              <w:tc>
                <w:tcPr>
                  <w:tcW w:w="638" w:type="pct"/>
                  <w:shd w:val="clear" w:color="auto" w:fill="auto"/>
                  <w:vAlign w:val="center"/>
                </w:tcPr>
                <w:p w14:paraId="1990EF5F">
                  <w:pPr>
                    <w:pStyle w:val="57"/>
                    <w:wordWrap w:val="0"/>
                    <w:rPr>
                      <w:b w:val="0"/>
                      <w:bCs/>
                    </w:rPr>
                  </w:pPr>
                  <w:r>
                    <w:rPr>
                      <w:b w:val="0"/>
                      <w:bCs/>
                    </w:rPr>
                    <w:t>1次/年</w:t>
                  </w:r>
                </w:p>
              </w:tc>
              <w:tc>
                <w:tcPr>
                  <w:tcW w:w="1272" w:type="pct"/>
                  <w:shd w:val="clear" w:color="auto" w:fill="auto"/>
                  <w:vAlign w:val="center"/>
                </w:tcPr>
                <w:p w14:paraId="683BBFFD">
                  <w:pPr>
                    <w:pStyle w:val="57"/>
                    <w:wordWrap w:val="0"/>
                    <w:rPr>
                      <w:b w:val="0"/>
                      <w:bCs/>
                    </w:rPr>
                  </w:pPr>
                  <w:r>
                    <w:rPr>
                      <w:rFonts w:hint="eastAsia"/>
                      <w:b w:val="0"/>
                      <w:bCs/>
                    </w:rPr>
                    <w:t>《轧钢工业大气污染物排放标准》（GB28665-2012）表3排放浓度限值</w:t>
                  </w:r>
                </w:p>
              </w:tc>
            </w:tr>
            <w:tr w14:paraId="6859C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4" w:type="pct"/>
                  <w:vAlign w:val="center"/>
                </w:tcPr>
                <w:p w14:paraId="7C77E2E3">
                  <w:pPr>
                    <w:pStyle w:val="57"/>
                    <w:wordWrap w:val="0"/>
                    <w:rPr>
                      <w:b w:val="0"/>
                      <w:bCs/>
                      <w:lang w:val="en-US"/>
                    </w:rPr>
                  </w:pPr>
                  <w:r>
                    <w:rPr>
                      <w:rFonts w:hint="eastAsia"/>
                      <w:b w:val="0"/>
                      <w:bCs/>
                      <w:lang w:val="en-US"/>
                    </w:rPr>
                    <w:t>无组织废气</w:t>
                  </w:r>
                </w:p>
              </w:tc>
              <w:tc>
                <w:tcPr>
                  <w:tcW w:w="943" w:type="pct"/>
                  <w:vAlign w:val="center"/>
                </w:tcPr>
                <w:p w14:paraId="1E482A6F">
                  <w:pPr>
                    <w:pStyle w:val="57"/>
                    <w:wordWrap w:val="0"/>
                    <w:rPr>
                      <w:b w:val="0"/>
                      <w:bCs/>
                    </w:rPr>
                  </w:pPr>
                  <w:r>
                    <w:rPr>
                      <w:rFonts w:hint="eastAsia"/>
                      <w:b w:val="0"/>
                      <w:bCs/>
                      <w:lang w:val="en-US"/>
                    </w:rPr>
                    <w:t>厂界</w:t>
                  </w:r>
                </w:p>
              </w:tc>
              <w:tc>
                <w:tcPr>
                  <w:tcW w:w="997" w:type="pct"/>
                  <w:vAlign w:val="center"/>
                </w:tcPr>
                <w:p w14:paraId="5190A37D">
                  <w:pPr>
                    <w:pStyle w:val="57"/>
                    <w:wordWrap w:val="0"/>
                    <w:rPr>
                      <w:b w:val="0"/>
                      <w:bCs/>
                    </w:rPr>
                  </w:pPr>
                  <w:r>
                    <w:rPr>
                      <w:rFonts w:hint="eastAsia"/>
                      <w:b w:val="0"/>
                      <w:bCs/>
                      <w:lang w:val="en-US"/>
                    </w:rPr>
                    <w:t>颗粒物、氮氧化物、二氧化硫</w:t>
                  </w:r>
                </w:p>
              </w:tc>
              <w:tc>
                <w:tcPr>
                  <w:tcW w:w="754" w:type="pct"/>
                  <w:vAlign w:val="center"/>
                </w:tcPr>
                <w:p w14:paraId="34DCD0F8">
                  <w:pPr>
                    <w:pStyle w:val="57"/>
                    <w:wordWrap w:val="0"/>
                    <w:rPr>
                      <w:b w:val="0"/>
                      <w:bCs/>
                      <w:lang w:val="zh-CN"/>
                    </w:rPr>
                  </w:pPr>
                  <w:r>
                    <w:rPr>
                      <w:rFonts w:hint="eastAsia"/>
                      <w:b w:val="0"/>
                      <w:bCs/>
                      <w:lang w:val="zh-CN"/>
                    </w:rPr>
                    <w:t>上风向1个</w:t>
                  </w:r>
                </w:p>
                <w:p w14:paraId="16499CC7">
                  <w:pPr>
                    <w:pStyle w:val="57"/>
                    <w:wordWrap w:val="0"/>
                    <w:rPr>
                      <w:b w:val="0"/>
                      <w:bCs/>
                      <w:lang w:val="zh-CN"/>
                    </w:rPr>
                  </w:pPr>
                  <w:r>
                    <w:rPr>
                      <w:rFonts w:hint="eastAsia"/>
                      <w:b w:val="0"/>
                      <w:bCs/>
                      <w:lang w:val="zh-CN"/>
                    </w:rPr>
                    <w:t>点、下风向3个点</w:t>
                  </w:r>
                </w:p>
              </w:tc>
              <w:tc>
                <w:tcPr>
                  <w:tcW w:w="638" w:type="pct"/>
                  <w:vAlign w:val="center"/>
                </w:tcPr>
                <w:p w14:paraId="21103A3D">
                  <w:pPr>
                    <w:pStyle w:val="57"/>
                    <w:wordWrap w:val="0"/>
                    <w:rPr>
                      <w:b w:val="0"/>
                      <w:bCs/>
                    </w:rPr>
                  </w:pPr>
                  <w:r>
                    <w:rPr>
                      <w:b w:val="0"/>
                      <w:bCs/>
                    </w:rPr>
                    <w:t>1次/年</w:t>
                  </w:r>
                </w:p>
              </w:tc>
              <w:tc>
                <w:tcPr>
                  <w:tcW w:w="2360" w:type="dxa"/>
                  <w:vAlign w:val="center"/>
                </w:tcPr>
                <w:p w14:paraId="0696F5A1">
                  <w:pPr>
                    <w:pStyle w:val="57"/>
                    <w:wordWrap w:val="0"/>
                    <w:rPr>
                      <w:b w:val="0"/>
                      <w:bCs/>
                    </w:rPr>
                  </w:pPr>
                  <w:r>
                    <w:rPr>
                      <w:rFonts w:hint="eastAsia"/>
                      <w:b w:val="0"/>
                      <w:bCs/>
                    </w:rPr>
                    <w:t>《大气污染物综合排放标准》（GB16297-1996）表2中二级排放标准限值</w:t>
                  </w:r>
                </w:p>
              </w:tc>
            </w:tr>
          </w:tbl>
          <w:p w14:paraId="586E835C">
            <w:pPr>
              <w:wordWrap w:val="0"/>
              <w:adjustRightInd w:val="0"/>
              <w:snapToGrid w:val="0"/>
              <w:spacing w:line="360" w:lineRule="auto"/>
              <w:rPr>
                <w:rFonts w:cs="宋体"/>
                <w:b/>
                <w:bCs/>
                <w:sz w:val="24"/>
              </w:rPr>
            </w:pPr>
            <w:r>
              <w:rPr>
                <w:rFonts w:hint="eastAsia" w:cs="宋体"/>
                <w:b/>
                <w:bCs/>
                <w:sz w:val="24"/>
              </w:rPr>
              <w:t>二、废水</w:t>
            </w:r>
          </w:p>
          <w:p w14:paraId="22B2443A">
            <w:pPr>
              <w:wordWrap w:val="0"/>
              <w:adjustRightInd w:val="0"/>
              <w:snapToGrid w:val="0"/>
              <w:spacing w:line="360" w:lineRule="auto"/>
              <w:ind w:firstLine="482" w:firstLineChars="200"/>
              <w:rPr>
                <w:b/>
                <w:sz w:val="24"/>
                <w:szCs w:val="32"/>
              </w:rPr>
            </w:pPr>
            <w:r>
              <w:rPr>
                <w:rFonts w:hint="eastAsia"/>
                <w:b/>
                <w:sz w:val="24"/>
                <w:szCs w:val="32"/>
                <w:lang w:eastAsia="zh-CN"/>
              </w:rPr>
              <w:t>1.</w:t>
            </w:r>
            <w:r>
              <w:rPr>
                <w:b/>
                <w:sz w:val="24"/>
                <w:szCs w:val="32"/>
              </w:rPr>
              <w:t>废水产生及排放情况</w:t>
            </w:r>
          </w:p>
          <w:p w14:paraId="2BF03CD0">
            <w:pPr>
              <w:pStyle w:val="111"/>
              <w:wordWrap w:val="0"/>
              <w:rPr>
                <w:rFonts w:hint="default"/>
                <w:color w:val="auto"/>
              </w:rPr>
            </w:pPr>
            <w:r>
              <w:rPr>
                <w:color w:val="auto"/>
              </w:rPr>
              <w:t>根据前文水平衡，项目运营期废水主要为：</w:t>
            </w:r>
          </w:p>
          <w:p w14:paraId="3A59C5F0">
            <w:pPr>
              <w:pStyle w:val="111"/>
              <w:wordWrap w:val="0"/>
              <w:ind w:firstLine="482"/>
              <w:rPr>
                <w:rFonts w:hint="default"/>
                <w:b/>
                <w:bCs/>
                <w:color w:val="auto"/>
              </w:rPr>
            </w:pPr>
            <w:r>
              <w:rPr>
                <w:b/>
                <w:bCs/>
                <w:color w:val="auto"/>
              </w:rPr>
              <w:t>（3）排水</w:t>
            </w:r>
          </w:p>
          <w:p w14:paraId="210B61E1">
            <w:pPr>
              <w:pStyle w:val="111"/>
              <w:wordWrap w:val="0"/>
              <w:rPr>
                <w:rFonts w:hint="default"/>
                <w:color w:val="auto"/>
              </w:rPr>
            </w:pPr>
            <w:r>
              <w:rPr>
                <w:color w:val="auto"/>
              </w:rPr>
              <w:t>①电解清洗排水</w:t>
            </w:r>
          </w:p>
          <w:p w14:paraId="4CB6B879">
            <w:pPr>
              <w:pStyle w:val="111"/>
              <w:wordWrap w:val="0"/>
              <w:rPr>
                <w:rFonts w:hint="default"/>
                <w:color w:val="auto"/>
              </w:rPr>
            </w:pPr>
            <w:r>
              <w:rPr>
                <w:color w:val="auto"/>
              </w:rPr>
              <w:t>电解清洗槽设置碱液循环系统，碱液经过滤后循环使用，每天定量排放2m</w:t>
            </w:r>
            <w:r>
              <w:rPr>
                <w:color w:val="auto"/>
                <w:vertAlign w:val="superscript"/>
              </w:rPr>
              <w:t>3</w:t>
            </w:r>
            <w:r>
              <w:rPr>
                <w:rStyle w:val="115"/>
                <w:color w:val="auto"/>
              </w:rPr>
              <w:t>电解清洗废水</w:t>
            </w:r>
            <w:r>
              <w:rPr>
                <w:color w:val="auto"/>
              </w:rPr>
              <w:t>，年排放600m</w:t>
            </w:r>
            <w:r>
              <w:rPr>
                <w:color w:val="auto"/>
                <w:vertAlign w:val="superscript"/>
              </w:rPr>
              <w:t>3</w:t>
            </w:r>
            <w:r>
              <w:rPr>
                <w:color w:val="auto"/>
              </w:rPr>
              <w:t>/a，电解清洗主要为清除黑钨丝表面的石墨乳，同时在电解过程中钨丝会与氢氧化钠反应生成钨酸钠，根据建设单位中试生产线试验检测数据：废水中主要污染物产生浓度为pH12、COD200mg/L、SS400mg/L、石油类10mg/L、钨酸钠含量为 50000mg/L。</w:t>
            </w:r>
          </w:p>
          <w:p w14:paraId="18CFDB97">
            <w:pPr>
              <w:pStyle w:val="111"/>
              <w:wordWrap w:val="0"/>
              <w:rPr>
                <w:rFonts w:hint="default"/>
                <w:color w:val="auto"/>
              </w:rPr>
            </w:pPr>
            <w:r>
              <w:rPr>
                <w:color w:val="auto"/>
              </w:rPr>
              <w:t>②水洗废水</w:t>
            </w:r>
          </w:p>
          <w:p w14:paraId="7927FD54">
            <w:pPr>
              <w:pStyle w:val="111"/>
              <w:wordWrap w:val="0"/>
              <w:rPr>
                <w:rFonts w:hint="default"/>
                <w:color w:val="auto"/>
              </w:rPr>
            </w:pPr>
            <w:r>
              <w:rPr>
                <w:color w:val="auto"/>
              </w:rPr>
              <w:t>每天对常温水洗槽中清洗水更换2次，每个常温清洗槽容积为30L，37条生产线，则水洗排水量为2.22m</w:t>
            </w:r>
            <w:r>
              <w:rPr>
                <w:color w:val="auto"/>
                <w:vertAlign w:val="superscript"/>
              </w:rPr>
              <w:t>3</w:t>
            </w:r>
            <w:r>
              <w:rPr>
                <w:color w:val="auto"/>
              </w:rPr>
              <w:t>/d，666m</w:t>
            </w:r>
            <w:r>
              <w:rPr>
                <w:color w:val="auto"/>
                <w:vertAlign w:val="superscript"/>
              </w:rPr>
              <w:t>3</w:t>
            </w:r>
            <w:r>
              <w:rPr>
                <w:color w:val="auto"/>
              </w:rPr>
              <w:t>/a。其中2.061m</w:t>
            </w:r>
            <w:r>
              <w:rPr>
                <w:color w:val="auto"/>
                <w:vertAlign w:val="superscript"/>
              </w:rPr>
              <w:t>3</w:t>
            </w:r>
            <w:r>
              <w:rPr>
                <w:color w:val="auto"/>
              </w:rPr>
              <w:t>/d用作电解清洗工段碱液配置，0.159m</w:t>
            </w:r>
            <w:r>
              <w:rPr>
                <w:color w:val="auto"/>
                <w:vertAlign w:val="superscript"/>
              </w:rPr>
              <w:t>3</w:t>
            </w:r>
            <w:r>
              <w:rPr>
                <w:color w:val="auto"/>
              </w:rPr>
              <w:t>/d进入“钨回收系统”，</w:t>
            </w:r>
          </w:p>
          <w:p w14:paraId="0E2E78AE">
            <w:pPr>
              <w:pStyle w:val="111"/>
              <w:wordWrap w:val="0"/>
              <w:rPr>
                <w:rFonts w:hint="default"/>
                <w:color w:val="auto"/>
              </w:rPr>
            </w:pPr>
            <w:r>
              <w:rPr>
                <w:color w:val="auto"/>
              </w:rPr>
              <w:t>③软水</w:t>
            </w:r>
            <w:r>
              <w:rPr>
                <w:rFonts w:hint="default"/>
                <w:color w:val="auto"/>
              </w:rPr>
              <w:t>制备</w:t>
            </w:r>
            <w:r>
              <w:rPr>
                <w:color w:val="auto"/>
              </w:rPr>
              <w:t>浓水</w:t>
            </w:r>
          </w:p>
          <w:p w14:paraId="27D853C0">
            <w:pPr>
              <w:pStyle w:val="111"/>
              <w:rPr>
                <w:rFonts w:hint="default"/>
                <w:color w:val="auto"/>
              </w:rPr>
            </w:pPr>
            <w:r>
              <w:rPr>
                <w:color w:val="auto"/>
              </w:rPr>
              <w:t>软水</w:t>
            </w:r>
            <w:r>
              <w:rPr>
                <w:rFonts w:hint="default"/>
                <w:color w:val="auto"/>
              </w:rPr>
              <w:t>制备率约为</w:t>
            </w:r>
            <w:r>
              <w:rPr>
                <w:color w:val="auto"/>
              </w:rPr>
              <w:t>95</w:t>
            </w:r>
            <w:r>
              <w:rPr>
                <w:rFonts w:hint="default"/>
                <w:color w:val="auto"/>
              </w:rPr>
              <w:t>%</w:t>
            </w:r>
            <w:r>
              <w:rPr>
                <w:color w:val="auto"/>
              </w:rPr>
              <w:t>，</w:t>
            </w:r>
            <w:r>
              <w:rPr>
                <w:rFonts w:hint="default"/>
                <w:color w:val="auto"/>
              </w:rPr>
              <w:t>则</w:t>
            </w:r>
            <w:r>
              <w:rPr>
                <w:color w:val="auto"/>
              </w:rPr>
              <w:t>软水</w:t>
            </w:r>
            <w:r>
              <w:rPr>
                <w:rFonts w:hint="default"/>
                <w:color w:val="auto"/>
              </w:rPr>
              <w:t>制备</w:t>
            </w:r>
            <w:r>
              <w:rPr>
                <w:color w:val="auto"/>
              </w:rPr>
              <w:t>过程中浓水</w:t>
            </w:r>
            <w:r>
              <w:rPr>
                <w:rFonts w:hint="default"/>
                <w:color w:val="auto"/>
              </w:rPr>
              <w:t>量</w:t>
            </w:r>
            <w:r>
              <w:rPr>
                <w:color w:val="auto"/>
              </w:rPr>
              <w:t>为0.276m</w:t>
            </w:r>
            <w:r>
              <w:rPr>
                <w:color w:val="auto"/>
                <w:vertAlign w:val="superscript"/>
              </w:rPr>
              <w:t>3</w:t>
            </w:r>
            <w:r>
              <w:rPr>
                <w:color w:val="auto"/>
              </w:rPr>
              <w:t>/d，82.2</w:t>
            </w:r>
            <w:r>
              <w:rPr>
                <w:rFonts w:hint="default"/>
                <w:color w:val="auto"/>
              </w:rPr>
              <w:t>m</w:t>
            </w:r>
            <w:r>
              <w:rPr>
                <w:rFonts w:hint="default"/>
                <w:color w:val="auto"/>
                <w:vertAlign w:val="superscript"/>
              </w:rPr>
              <w:t>3</w:t>
            </w:r>
            <w:r>
              <w:rPr>
                <w:rFonts w:hint="default"/>
                <w:color w:val="auto"/>
              </w:rPr>
              <w:t>/a</w:t>
            </w:r>
            <w:r>
              <w:rPr>
                <w:color w:val="auto"/>
              </w:rPr>
              <w:t>。浓水较自来水成分主要为矿物离子浓度更高，不混入其他污染物，因此属于清净下水。主要污染因子为COD、钙离子、镁离子等，其中COD约为50mg/L，SS约为15mg/L。</w:t>
            </w:r>
          </w:p>
          <w:p w14:paraId="3111AA7E">
            <w:pPr>
              <w:pStyle w:val="57"/>
              <w:rPr>
                <w:lang w:val="en-US"/>
              </w:rPr>
            </w:pPr>
            <w:r>
              <w:rPr>
                <w:rFonts w:hint="eastAsia"/>
                <w:lang w:val="en-US"/>
              </w:rPr>
              <w:t>4-</w:t>
            </w:r>
            <w:r>
              <w:rPr>
                <w:rFonts w:hint="eastAsia"/>
                <w:lang w:val="en-US" w:eastAsia="zh-CN"/>
              </w:rPr>
              <w:t>5</w:t>
            </w:r>
            <w:r>
              <w:rPr>
                <w:rFonts w:hint="eastAsia"/>
                <w:lang w:val="en-US"/>
              </w:rPr>
              <w:t>项目废水排放情况一览表</w:t>
            </w:r>
          </w:p>
          <w:tbl>
            <w:tblPr>
              <w:tblStyle w:val="96"/>
              <w:tblW w:w="5000" w:type="pct"/>
              <w:jc w:val="center"/>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Layout w:type="fixed"/>
              <w:tblCellMar>
                <w:top w:w="0" w:type="dxa"/>
                <w:left w:w="0" w:type="dxa"/>
                <w:bottom w:w="0" w:type="dxa"/>
                <w:right w:w="0" w:type="dxa"/>
              </w:tblCellMar>
            </w:tblPr>
            <w:tblGrid>
              <w:gridCol w:w="735"/>
              <w:gridCol w:w="1295"/>
              <w:gridCol w:w="522"/>
              <w:gridCol w:w="673"/>
              <w:gridCol w:w="592"/>
              <w:gridCol w:w="778"/>
              <w:gridCol w:w="710"/>
              <w:gridCol w:w="747"/>
              <w:gridCol w:w="895"/>
              <w:gridCol w:w="584"/>
              <w:gridCol w:w="660"/>
              <w:gridCol w:w="585"/>
              <w:gridCol w:w="716"/>
            </w:tblGrid>
            <w:tr w14:paraId="1C579884">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0DC67107">
                  <w:pPr>
                    <w:pStyle w:val="57"/>
                  </w:pPr>
                  <w:r>
                    <w:t>产排污环节</w:t>
                  </w:r>
                </w:p>
              </w:tc>
              <w:tc>
                <w:tcPr>
                  <w:tcW w:w="7402" w:type="dxa"/>
                  <w:gridSpan w:val="11"/>
                  <w:vAlign w:val="center"/>
                </w:tcPr>
                <w:p w14:paraId="10EAD770">
                  <w:pPr>
                    <w:pStyle w:val="57"/>
                    <w:rPr>
                      <w:lang w:val="en-US"/>
                    </w:rPr>
                  </w:pPr>
                  <w:r>
                    <w:rPr>
                      <w:rFonts w:hint="eastAsia"/>
                      <w:lang w:val="en-US"/>
                    </w:rPr>
                    <w:t>生产废水</w:t>
                  </w:r>
                </w:p>
              </w:tc>
            </w:tr>
            <w:tr w14:paraId="6D327333">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6782B59A">
                  <w:pPr>
                    <w:pStyle w:val="57"/>
                    <w:rPr>
                      <w:b w:val="0"/>
                      <w:bCs/>
                    </w:rPr>
                  </w:pPr>
                  <w:r>
                    <w:rPr>
                      <w:b w:val="0"/>
                      <w:bCs/>
                    </w:rPr>
                    <w:t>类别</w:t>
                  </w:r>
                </w:p>
              </w:tc>
              <w:tc>
                <w:tcPr>
                  <w:tcW w:w="3248" w:type="dxa"/>
                  <w:gridSpan w:val="5"/>
                  <w:tcBorders>
                    <w:right w:val="single" w:color="000000" w:sz="6" w:space="0"/>
                  </w:tcBorders>
                  <w:vAlign w:val="center"/>
                </w:tcPr>
                <w:p w14:paraId="1C7DB0E3">
                  <w:pPr>
                    <w:pStyle w:val="57"/>
                    <w:rPr>
                      <w:b w:val="0"/>
                      <w:bCs/>
                      <w:lang w:val="en-US"/>
                    </w:rPr>
                  </w:pPr>
                  <w:r>
                    <w:rPr>
                      <w:rFonts w:hint="eastAsia"/>
                      <w:b w:val="0"/>
                      <w:bCs/>
                      <w:lang w:val="en-US"/>
                    </w:rPr>
                    <w:t>电解清洗废水</w:t>
                  </w:r>
                </w:p>
              </w:tc>
              <w:tc>
                <w:tcPr>
                  <w:tcW w:w="2864" w:type="dxa"/>
                  <w:gridSpan w:val="4"/>
                  <w:tcBorders>
                    <w:right w:val="single" w:color="000000" w:sz="6" w:space="0"/>
                  </w:tcBorders>
                  <w:vAlign w:val="center"/>
                </w:tcPr>
                <w:p w14:paraId="1CF7A313">
                  <w:pPr>
                    <w:pStyle w:val="57"/>
                    <w:rPr>
                      <w:b w:val="0"/>
                      <w:bCs/>
                    </w:rPr>
                  </w:pPr>
                  <w:r>
                    <w:rPr>
                      <w:rFonts w:hint="eastAsia"/>
                      <w:b w:val="0"/>
                      <w:bCs/>
                      <w:lang w:val="en-US"/>
                    </w:rPr>
                    <w:t>水洗</w:t>
                  </w:r>
                  <w:r>
                    <w:rPr>
                      <w:rFonts w:hint="eastAsia"/>
                      <w:b w:val="0"/>
                      <w:bCs/>
                    </w:rPr>
                    <w:t>废水</w:t>
                  </w:r>
                </w:p>
              </w:tc>
              <w:tc>
                <w:tcPr>
                  <w:tcW w:w="1290" w:type="dxa"/>
                  <w:gridSpan w:val="2"/>
                  <w:vAlign w:val="center"/>
                </w:tcPr>
                <w:p w14:paraId="6337C2A1">
                  <w:pPr>
                    <w:pStyle w:val="57"/>
                    <w:rPr>
                      <w:b w:val="0"/>
                      <w:bCs/>
                      <w:lang w:val="en-US"/>
                    </w:rPr>
                  </w:pPr>
                  <w:r>
                    <w:rPr>
                      <w:rFonts w:hint="eastAsia"/>
                      <w:b w:val="0"/>
                      <w:bCs/>
                      <w:lang w:val="en-US"/>
                    </w:rPr>
                    <w:t>软水</w:t>
                  </w:r>
                  <w:r>
                    <w:rPr>
                      <w:rFonts w:hint="eastAsia"/>
                      <w:b w:val="0"/>
                      <w:bCs/>
                    </w:rPr>
                    <w:t>制备废水</w:t>
                  </w:r>
                </w:p>
              </w:tc>
            </w:tr>
            <w:tr w14:paraId="04525082">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520" w:hRule="atLeast"/>
                <w:jc w:val="center"/>
              </w:trPr>
              <w:tc>
                <w:tcPr>
                  <w:tcW w:w="2014" w:type="dxa"/>
                  <w:gridSpan w:val="2"/>
                  <w:vAlign w:val="center"/>
                </w:tcPr>
                <w:p w14:paraId="437A6E21">
                  <w:pPr>
                    <w:pStyle w:val="57"/>
                    <w:rPr>
                      <w:b w:val="0"/>
                      <w:bCs/>
                    </w:rPr>
                  </w:pPr>
                  <w:r>
                    <w:rPr>
                      <w:b w:val="0"/>
                      <w:bCs/>
                    </w:rPr>
                    <w:t>废水排放量</w:t>
                  </w:r>
                </w:p>
                <w:p w14:paraId="4ADFB28B">
                  <w:pPr>
                    <w:pStyle w:val="57"/>
                    <w:rPr>
                      <w:b w:val="0"/>
                      <w:bCs/>
                    </w:rPr>
                  </w:pPr>
                  <w:r>
                    <w:rPr>
                      <w:rFonts w:hint="eastAsia"/>
                      <w:b w:val="0"/>
                      <w:bCs/>
                    </w:rPr>
                    <w:t>（</w:t>
                  </w:r>
                  <w:r>
                    <w:rPr>
                      <w:b w:val="0"/>
                      <w:bCs/>
                    </w:rPr>
                    <w:t>m</w:t>
                  </w:r>
                  <w:r>
                    <w:rPr>
                      <w:b w:val="0"/>
                      <w:bCs/>
                      <w:vertAlign w:val="superscript"/>
                    </w:rPr>
                    <w:t>3</w:t>
                  </w:r>
                  <w:r>
                    <w:rPr>
                      <w:b w:val="0"/>
                      <w:bCs/>
                    </w:rPr>
                    <w:t>/a</w:t>
                  </w:r>
                  <w:r>
                    <w:rPr>
                      <w:rFonts w:hint="eastAsia"/>
                      <w:b w:val="0"/>
                      <w:bCs/>
                    </w:rPr>
                    <w:t>）</w:t>
                  </w:r>
                </w:p>
              </w:tc>
              <w:tc>
                <w:tcPr>
                  <w:tcW w:w="3248" w:type="dxa"/>
                  <w:gridSpan w:val="5"/>
                  <w:tcBorders>
                    <w:right w:val="single" w:color="000000" w:sz="6" w:space="0"/>
                  </w:tcBorders>
                  <w:vAlign w:val="center"/>
                </w:tcPr>
                <w:p w14:paraId="02D14E13">
                  <w:pPr>
                    <w:pStyle w:val="57"/>
                    <w:rPr>
                      <w:b w:val="0"/>
                      <w:bCs/>
                      <w:lang w:val="en-US"/>
                    </w:rPr>
                  </w:pPr>
                  <w:r>
                    <w:rPr>
                      <w:rFonts w:hint="eastAsia"/>
                      <w:b w:val="0"/>
                      <w:bCs/>
                      <w:lang w:val="en-US"/>
                    </w:rPr>
                    <w:t>600</w:t>
                  </w:r>
                </w:p>
              </w:tc>
              <w:tc>
                <w:tcPr>
                  <w:tcW w:w="2864" w:type="dxa"/>
                  <w:gridSpan w:val="4"/>
                  <w:tcBorders>
                    <w:right w:val="single" w:color="000000" w:sz="6" w:space="0"/>
                  </w:tcBorders>
                  <w:vAlign w:val="center"/>
                </w:tcPr>
                <w:p w14:paraId="32ACDEA2">
                  <w:pPr>
                    <w:pStyle w:val="57"/>
                    <w:rPr>
                      <w:b w:val="0"/>
                      <w:bCs/>
                      <w:lang w:val="en-US"/>
                    </w:rPr>
                  </w:pPr>
                  <w:r>
                    <w:rPr>
                      <w:rFonts w:hint="eastAsia"/>
                      <w:b w:val="0"/>
                      <w:bCs/>
                      <w:lang w:val="en-US"/>
                    </w:rPr>
                    <w:t>47.4</w:t>
                  </w:r>
                </w:p>
              </w:tc>
              <w:tc>
                <w:tcPr>
                  <w:tcW w:w="1290" w:type="dxa"/>
                  <w:gridSpan w:val="2"/>
                  <w:vAlign w:val="center"/>
                </w:tcPr>
                <w:p w14:paraId="2CE5BB61">
                  <w:pPr>
                    <w:pStyle w:val="57"/>
                    <w:rPr>
                      <w:b w:val="0"/>
                      <w:bCs/>
                      <w:lang w:val="en-US"/>
                    </w:rPr>
                  </w:pPr>
                  <w:r>
                    <w:rPr>
                      <w:rFonts w:hint="eastAsia"/>
                      <w:b w:val="0"/>
                      <w:bCs/>
                      <w:lang w:val="en-US"/>
                    </w:rPr>
                    <w:t>82.2</w:t>
                  </w:r>
                </w:p>
              </w:tc>
            </w:tr>
            <w:tr w14:paraId="5D3BF0B4">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64E73DA7">
                  <w:pPr>
                    <w:pStyle w:val="57"/>
                    <w:rPr>
                      <w:b w:val="0"/>
                      <w:bCs/>
                    </w:rPr>
                  </w:pPr>
                  <w:r>
                    <w:rPr>
                      <w:b w:val="0"/>
                      <w:bCs/>
                    </w:rPr>
                    <w:t>污染物种类</w:t>
                  </w:r>
                </w:p>
              </w:tc>
              <w:tc>
                <w:tcPr>
                  <w:tcW w:w="518" w:type="dxa"/>
                  <w:tcBorders>
                    <w:right w:val="single" w:color="000000" w:sz="6" w:space="0"/>
                  </w:tcBorders>
                  <w:vAlign w:val="center"/>
                </w:tcPr>
                <w:p w14:paraId="163512E0">
                  <w:pPr>
                    <w:pStyle w:val="57"/>
                    <w:rPr>
                      <w:b w:val="0"/>
                      <w:bCs/>
                      <w:lang w:val="en-US"/>
                    </w:rPr>
                  </w:pPr>
                  <w:r>
                    <w:rPr>
                      <w:rFonts w:hint="eastAsia"/>
                      <w:b w:val="0"/>
                      <w:bCs/>
                      <w:lang w:val="en-US"/>
                    </w:rPr>
                    <w:t>pH</w:t>
                  </w:r>
                </w:p>
              </w:tc>
              <w:tc>
                <w:tcPr>
                  <w:tcW w:w="667" w:type="dxa"/>
                  <w:tcBorders>
                    <w:right w:val="single" w:color="000000" w:sz="6" w:space="0"/>
                  </w:tcBorders>
                  <w:vAlign w:val="center"/>
                </w:tcPr>
                <w:p w14:paraId="0D21E1BC">
                  <w:pPr>
                    <w:pStyle w:val="57"/>
                    <w:rPr>
                      <w:b w:val="0"/>
                      <w:bCs/>
                      <w:lang w:val="en-US"/>
                    </w:rPr>
                  </w:pPr>
                  <w:r>
                    <w:rPr>
                      <w:rFonts w:hint="eastAsia"/>
                      <w:b w:val="0"/>
                      <w:bCs/>
                      <w:lang w:val="en-US"/>
                    </w:rPr>
                    <w:t>COD</w:t>
                  </w:r>
                </w:p>
              </w:tc>
              <w:tc>
                <w:tcPr>
                  <w:tcW w:w="587" w:type="dxa"/>
                  <w:tcBorders>
                    <w:right w:val="single" w:color="000000" w:sz="6" w:space="0"/>
                  </w:tcBorders>
                  <w:vAlign w:val="center"/>
                </w:tcPr>
                <w:p w14:paraId="67DDB246">
                  <w:pPr>
                    <w:pStyle w:val="57"/>
                    <w:rPr>
                      <w:b w:val="0"/>
                      <w:bCs/>
                      <w:lang w:val="en-US"/>
                    </w:rPr>
                  </w:pPr>
                  <w:r>
                    <w:rPr>
                      <w:rFonts w:hint="eastAsia"/>
                      <w:b w:val="0"/>
                      <w:bCs/>
                      <w:lang w:val="en-US"/>
                    </w:rPr>
                    <w:t>SS</w:t>
                  </w:r>
                </w:p>
              </w:tc>
              <w:tc>
                <w:tcPr>
                  <w:tcW w:w="772" w:type="dxa"/>
                  <w:tcBorders>
                    <w:right w:val="single" w:color="000000" w:sz="6" w:space="0"/>
                  </w:tcBorders>
                  <w:vAlign w:val="center"/>
                </w:tcPr>
                <w:p w14:paraId="3F0D247C">
                  <w:pPr>
                    <w:pStyle w:val="57"/>
                    <w:rPr>
                      <w:b w:val="0"/>
                      <w:bCs/>
                      <w:lang w:val="en-US"/>
                    </w:rPr>
                  </w:pPr>
                  <w:r>
                    <w:rPr>
                      <w:rFonts w:hint="eastAsia"/>
                      <w:b w:val="0"/>
                      <w:bCs/>
                      <w:lang w:val="en-US"/>
                    </w:rPr>
                    <w:t>石油类</w:t>
                  </w:r>
                </w:p>
              </w:tc>
              <w:tc>
                <w:tcPr>
                  <w:tcW w:w="704" w:type="dxa"/>
                  <w:tcBorders>
                    <w:right w:val="single" w:color="000000" w:sz="6" w:space="0"/>
                  </w:tcBorders>
                  <w:vAlign w:val="center"/>
                </w:tcPr>
                <w:p w14:paraId="763D88F4">
                  <w:pPr>
                    <w:pStyle w:val="57"/>
                    <w:rPr>
                      <w:b w:val="0"/>
                      <w:bCs/>
                      <w:lang w:val="en-US"/>
                    </w:rPr>
                  </w:pPr>
                  <w:r>
                    <w:rPr>
                      <w:rFonts w:hint="eastAsia"/>
                      <w:b w:val="0"/>
                      <w:bCs/>
                      <w:lang w:val="en-US"/>
                    </w:rPr>
                    <w:t>钨</w:t>
                  </w:r>
                </w:p>
              </w:tc>
              <w:tc>
                <w:tcPr>
                  <w:tcW w:w="741" w:type="dxa"/>
                  <w:tcBorders>
                    <w:right w:val="single" w:color="000000" w:sz="6" w:space="0"/>
                  </w:tcBorders>
                  <w:shd w:val="clear" w:color="auto" w:fill="auto"/>
                  <w:vAlign w:val="center"/>
                </w:tcPr>
                <w:p w14:paraId="31BBE5AA">
                  <w:pPr>
                    <w:pStyle w:val="57"/>
                    <w:rPr>
                      <w:b w:val="0"/>
                      <w:bCs/>
                      <w:lang w:val="en-US"/>
                    </w:rPr>
                  </w:pPr>
                  <w:r>
                    <w:rPr>
                      <w:rFonts w:hint="eastAsia"/>
                      <w:b w:val="0"/>
                      <w:bCs/>
                      <w:lang w:val="en-US"/>
                    </w:rPr>
                    <w:t>pH</w:t>
                  </w:r>
                </w:p>
              </w:tc>
              <w:tc>
                <w:tcPr>
                  <w:tcW w:w="889" w:type="dxa"/>
                  <w:tcBorders>
                    <w:right w:val="single" w:color="000000" w:sz="6" w:space="0"/>
                  </w:tcBorders>
                  <w:shd w:val="clear" w:color="auto" w:fill="auto"/>
                  <w:vAlign w:val="center"/>
                </w:tcPr>
                <w:p w14:paraId="10666953">
                  <w:pPr>
                    <w:pStyle w:val="57"/>
                    <w:rPr>
                      <w:b w:val="0"/>
                      <w:bCs/>
                      <w:lang w:val="en-US"/>
                    </w:rPr>
                  </w:pPr>
                  <w:r>
                    <w:rPr>
                      <w:rFonts w:hint="eastAsia"/>
                      <w:b w:val="0"/>
                      <w:bCs/>
                      <w:lang w:val="en-US"/>
                    </w:rPr>
                    <w:t>COD</w:t>
                  </w:r>
                </w:p>
              </w:tc>
              <w:tc>
                <w:tcPr>
                  <w:tcW w:w="579" w:type="dxa"/>
                  <w:tcBorders>
                    <w:right w:val="single" w:color="000000" w:sz="6" w:space="0"/>
                  </w:tcBorders>
                  <w:shd w:val="clear" w:color="auto" w:fill="auto"/>
                  <w:vAlign w:val="center"/>
                </w:tcPr>
                <w:p w14:paraId="43E36254">
                  <w:pPr>
                    <w:pStyle w:val="57"/>
                    <w:rPr>
                      <w:b w:val="0"/>
                      <w:bCs/>
                      <w:lang w:val="en-US"/>
                    </w:rPr>
                  </w:pPr>
                  <w:r>
                    <w:rPr>
                      <w:rFonts w:hint="eastAsia"/>
                      <w:b w:val="0"/>
                      <w:bCs/>
                      <w:lang w:val="en-US"/>
                    </w:rPr>
                    <w:t>SS</w:t>
                  </w:r>
                </w:p>
              </w:tc>
              <w:tc>
                <w:tcPr>
                  <w:tcW w:w="655" w:type="dxa"/>
                  <w:tcBorders>
                    <w:right w:val="single" w:color="000000" w:sz="6" w:space="0"/>
                  </w:tcBorders>
                  <w:shd w:val="clear" w:color="auto" w:fill="auto"/>
                  <w:vAlign w:val="center"/>
                </w:tcPr>
                <w:p w14:paraId="05400DCE">
                  <w:pPr>
                    <w:pStyle w:val="57"/>
                    <w:rPr>
                      <w:b w:val="0"/>
                      <w:bCs/>
                      <w:lang w:val="en-US"/>
                    </w:rPr>
                  </w:pPr>
                  <w:r>
                    <w:rPr>
                      <w:rFonts w:hint="eastAsia"/>
                      <w:b w:val="0"/>
                      <w:bCs/>
                      <w:lang w:val="en-US"/>
                    </w:rPr>
                    <w:t>石油类</w:t>
                  </w:r>
                </w:p>
              </w:tc>
              <w:tc>
                <w:tcPr>
                  <w:tcW w:w="580" w:type="dxa"/>
                  <w:tcBorders>
                    <w:right w:val="single" w:color="000000" w:sz="6" w:space="0"/>
                  </w:tcBorders>
                  <w:shd w:val="clear" w:color="auto" w:fill="auto"/>
                  <w:vAlign w:val="center"/>
                </w:tcPr>
                <w:p w14:paraId="055E50C9">
                  <w:pPr>
                    <w:pStyle w:val="57"/>
                    <w:rPr>
                      <w:b w:val="0"/>
                      <w:bCs/>
                      <w:lang w:val="en-US"/>
                    </w:rPr>
                  </w:pPr>
                  <w:r>
                    <w:rPr>
                      <w:rFonts w:hint="eastAsia"/>
                      <w:b w:val="0"/>
                      <w:bCs/>
                      <w:lang w:val="en-US"/>
                    </w:rPr>
                    <w:t>COD</w:t>
                  </w:r>
                </w:p>
              </w:tc>
              <w:tc>
                <w:tcPr>
                  <w:tcW w:w="710" w:type="dxa"/>
                  <w:shd w:val="clear" w:color="auto" w:fill="auto"/>
                  <w:vAlign w:val="center"/>
                </w:tcPr>
                <w:p w14:paraId="0E4DE44C">
                  <w:pPr>
                    <w:pStyle w:val="57"/>
                    <w:rPr>
                      <w:b w:val="0"/>
                      <w:bCs/>
                      <w:lang w:val="en-US"/>
                    </w:rPr>
                  </w:pPr>
                  <w:r>
                    <w:rPr>
                      <w:rFonts w:hint="eastAsia"/>
                      <w:b w:val="0"/>
                      <w:bCs/>
                      <w:lang w:val="en-US"/>
                    </w:rPr>
                    <w:t>SS</w:t>
                  </w:r>
                </w:p>
              </w:tc>
            </w:tr>
            <w:tr w14:paraId="059BA35A">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5F8E12F7">
                  <w:pPr>
                    <w:pStyle w:val="57"/>
                    <w:rPr>
                      <w:b w:val="0"/>
                      <w:bCs/>
                    </w:rPr>
                  </w:pPr>
                  <w:r>
                    <w:rPr>
                      <w:b w:val="0"/>
                      <w:bCs/>
                    </w:rPr>
                    <w:t>各污染物产生浓度</w:t>
                  </w:r>
                  <w:r>
                    <w:rPr>
                      <w:rFonts w:hint="eastAsia"/>
                      <w:b w:val="0"/>
                      <w:bCs/>
                    </w:rPr>
                    <w:t>（</w:t>
                  </w:r>
                  <w:r>
                    <w:rPr>
                      <w:b w:val="0"/>
                      <w:bCs/>
                    </w:rPr>
                    <w:t>mg/L</w:t>
                  </w:r>
                  <w:r>
                    <w:rPr>
                      <w:rFonts w:hint="eastAsia"/>
                      <w:b w:val="0"/>
                      <w:bCs/>
                    </w:rPr>
                    <w:t>）</w:t>
                  </w:r>
                </w:p>
              </w:tc>
              <w:tc>
                <w:tcPr>
                  <w:tcW w:w="518" w:type="dxa"/>
                  <w:tcBorders>
                    <w:right w:val="single" w:color="000000" w:sz="6" w:space="0"/>
                  </w:tcBorders>
                  <w:vAlign w:val="center"/>
                </w:tcPr>
                <w:p w14:paraId="687A64F2">
                  <w:pPr>
                    <w:jc w:val="center"/>
                    <w:rPr>
                      <w:bCs/>
                    </w:rPr>
                  </w:pPr>
                  <w:r>
                    <w:rPr>
                      <w:rFonts w:hint="eastAsia"/>
                      <w:bCs/>
                    </w:rPr>
                    <w:t>12</w:t>
                  </w:r>
                </w:p>
              </w:tc>
              <w:tc>
                <w:tcPr>
                  <w:tcW w:w="667" w:type="dxa"/>
                  <w:tcBorders>
                    <w:right w:val="single" w:color="000000" w:sz="6" w:space="0"/>
                  </w:tcBorders>
                  <w:vAlign w:val="center"/>
                </w:tcPr>
                <w:p w14:paraId="3A7F823D">
                  <w:pPr>
                    <w:jc w:val="center"/>
                    <w:rPr>
                      <w:bCs/>
                    </w:rPr>
                  </w:pPr>
                  <w:r>
                    <w:rPr>
                      <w:rFonts w:hint="eastAsia"/>
                      <w:bCs/>
                    </w:rPr>
                    <w:t>200</w:t>
                  </w:r>
                </w:p>
              </w:tc>
              <w:tc>
                <w:tcPr>
                  <w:tcW w:w="587" w:type="dxa"/>
                  <w:tcBorders>
                    <w:right w:val="single" w:color="000000" w:sz="6" w:space="0"/>
                  </w:tcBorders>
                  <w:vAlign w:val="center"/>
                </w:tcPr>
                <w:p w14:paraId="48B42E55">
                  <w:pPr>
                    <w:jc w:val="center"/>
                    <w:rPr>
                      <w:bCs/>
                    </w:rPr>
                  </w:pPr>
                  <w:r>
                    <w:rPr>
                      <w:rFonts w:hint="eastAsia"/>
                      <w:bCs/>
                    </w:rPr>
                    <w:t>400</w:t>
                  </w:r>
                </w:p>
              </w:tc>
              <w:tc>
                <w:tcPr>
                  <w:tcW w:w="772" w:type="dxa"/>
                  <w:tcBorders>
                    <w:right w:val="single" w:color="000000" w:sz="6" w:space="0"/>
                  </w:tcBorders>
                  <w:vAlign w:val="center"/>
                </w:tcPr>
                <w:p w14:paraId="43625A5B">
                  <w:pPr>
                    <w:jc w:val="center"/>
                    <w:rPr>
                      <w:bCs/>
                    </w:rPr>
                  </w:pPr>
                  <w:r>
                    <w:rPr>
                      <w:rFonts w:hint="eastAsia"/>
                      <w:bCs/>
                    </w:rPr>
                    <w:t>10</w:t>
                  </w:r>
                </w:p>
              </w:tc>
              <w:tc>
                <w:tcPr>
                  <w:tcW w:w="704" w:type="dxa"/>
                  <w:tcBorders>
                    <w:right w:val="single" w:color="000000" w:sz="6" w:space="0"/>
                  </w:tcBorders>
                  <w:vAlign w:val="center"/>
                </w:tcPr>
                <w:p w14:paraId="2F3128FB">
                  <w:pPr>
                    <w:jc w:val="center"/>
                    <w:rPr>
                      <w:bCs/>
                    </w:rPr>
                  </w:pPr>
                  <w:r>
                    <w:rPr>
                      <w:rFonts w:hint="eastAsia"/>
                      <w:bCs/>
                    </w:rPr>
                    <w:t>50000</w:t>
                  </w:r>
                </w:p>
              </w:tc>
              <w:tc>
                <w:tcPr>
                  <w:tcW w:w="741" w:type="dxa"/>
                  <w:tcBorders>
                    <w:right w:val="single" w:color="000000" w:sz="6" w:space="0"/>
                  </w:tcBorders>
                  <w:shd w:val="clear" w:color="auto" w:fill="auto"/>
                  <w:vAlign w:val="center"/>
                </w:tcPr>
                <w:p w14:paraId="0BFDE972">
                  <w:pPr>
                    <w:pStyle w:val="57"/>
                    <w:rPr>
                      <w:b w:val="0"/>
                      <w:bCs/>
                      <w:lang w:val="en-US"/>
                    </w:rPr>
                  </w:pPr>
                  <w:r>
                    <w:rPr>
                      <w:rFonts w:hint="eastAsia"/>
                      <w:b w:val="0"/>
                      <w:bCs/>
                      <w:lang w:val="en-US"/>
                    </w:rPr>
                    <w:t>7.5</w:t>
                  </w:r>
                </w:p>
              </w:tc>
              <w:tc>
                <w:tcPr>
                  <w:tcW w:w="889" w:type="dxa"/>
                  <w:tcBorders>
                    <w:right w:val="single" w:color="000000" w:sz="6" w:space="0"/>
                  </w:tcBorders>
                  <w:shd w:val="clear" w:color="auto" w:fill="auto"/>
                  <w:vAlign w:val="center"/>
                </w:tcPr>
                <w:p w14:paraId="26F18019">
                  <w:pPr>
                    <w:pStyle w:val="57"/>
                    <w:rPr>
                      <w:b w:val="0"/>
                      <w:bCs/>
                      <w:lang w:val="en-US"/>
                    </w:rPr>
                  </w:pPr>
                  <w:r>
                    <w:rPr>
                      <w:rFonts w:hint="eastAsia"/>
                      <w:b w:val="0"/>
                      <w:bCs/>
                      <w:lang w:val="en-US"/>
                    </w:rPr>
                    <w:t>9</w:t>
                  </w:r>
                </w:p>
              </w:tc>
              <w:tc>
                <w:tcPr>
                  <w:tcW w:w="579" w:type="dxa"/>
                  <w:tcBorders>
                    <w:right w:val="single" w:color="000000" w:sz="6" w:space="0"/>
                  </w:tcBorders>
                  <w:shd w:val="clear" w:color="auto" w:fill="auto"/>
                  <w:vAlign w:val="center"/>
                </w:tcPr>
                <w:p w14:paraId="19CC1614">
                  <w:pPr>
                    <w:pStyle w:val="57"/>
                    <w:rPr>
                      <w:b w:val="0"/>
                      <w:bCs/>
                      <w:lang w:val="en-US"/>
                    </w:rPr>
                  </w:pPr>
                  <w:r>
                    <w:rPr>
                      <w:rFonts w:hint="eastAsia"/>
                      <w:b w:val="0"/>
                      <w:bCs/>
                      <w:lang w:val="en-US"/>
                    </w:rPr>
                    <w:t>8</w:t>
                  </w:r>
                </w:p>
              </w:tc>
              <w:tc>
                <w:tcPr>
                  <w:tcW w:w="655" w:type="dxa"/>
                  <w:tcBorders>
                    <w:right w:val="single" w:color="000000" w:sz="6" w:space="0"/>
                  </w:tcBorders>
                  <w:vAlign w:val="center"/>
                </w:tcPr>
                <w:p w14:paraId="4577AC52">
                  <w:pPr>
                    <w:jc w:val="center"/>
                    <w:rPr>
                      <w:bCs/>
                    </w:rPr>
                  </w:pPr>
                  <w:r>
                    <w:rPr>
                      <w:rFonts w:hint="eastAsia"/>
                      <w:bCs/>
                    </w:rPr>
                    <w:t>0.94</w:t>
                  </w:r>
                </w:p>
              </w:tc>
              <w:tc>
                <w:tcPr>
                  <w:tcW w:w="580" w:type="dxa"/>
                  <w:tcBorders>
                    <w:right w:val="single" w:color="000000" w:sz="6" w:space="0"/>
                  </w:tcBorders>
                  <w:vAlign w:val="center"/>
                </w:tcPr>
                <w:p w14:paraId="1B1AA254">
                  <w:pPr>
                    <w:pStyle w:val="57"/>
                    <w:rPr>
                      <w:b w:val="0"/>
                      <w:bCs/>
                      <w:lang w:val="en-US"/>
                    </w:rPr>
                  </w:pPr>
                  <w:r>
                    <w:rPr>
                      <w:rFonts w:hint="eastAsia"/>
                      <w:b w:val="0"/>
                      <w:bCs/>
                      <w:lang w:val="en-US"/>
                    </w:rPr>
                    <w:t>50</w:t>
                  </w:r>
                </w:p>
              </w:tc>
              <w:tc>
                <w:tcPr>
                  <w:tcW w:w="710" w:type="dxa"/>
                  <w:vAlign w:val="center"/>
                </w:tcPr>
                <w:p w14:paraId="67D23081">
                  <w:pPr>
                    <w:pStyle w:val="57"/>
                    <w:rPr>
                      <w:b w:val="0"/>
                      <w:bCs/>
                      <w:lang w:val="en-US"/>
                    </w:rPr>
                  </w:pPr>
                  <w:r>
                    <w:rPr>
                      <w:rFonts w:hint="eastAsia"/>
                      <w:b w:val="0"/>
                      <w:bCs/>
                      <w:lang w:val="en-US"/>
                    </w:rPr>
                    <w:t>15</w:t>
                  </w:r>
                </w:p>
              </w:tc>
            </w:tr>
            <w:tr w14:paraId="047145BD">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3ED6690B">
                  <w:pPr>
                    <w:pStyle w:val="57"/>
                    <w:rPr>
                      <w:b w:val="0"/>
                      <w:bCs/>
                    </w:rPr>
                  </w:pPr>
                  <w:r>
                    <w:rPr>
                      <w:b w:val="0"/>
                      <w:bCs/>
                    </w:rPr>
                    <w:t>各污染物产生量</w:t>
                  </w:r>
                  <w:r>
                    <w:rPr>
                      <w:rFonts w:hint="eastAsia"/>
                      <w:b w:val="0"/>
                      <w:bCs/>
                    </w:rPr>
                    <w:t>（</w:t>
                  </w:r>
                  <w:r>
                    <w:rPr>
                      <w:b w:val="0"/>
                      <w:bCs/>
                    </w:rPr>
                    <w:t>t/a</w:t>
                  </w:r>
                  <w:r>
                    <w:rPr>
                      <w:rFonts w:hint="eastAsia"/>
                      <w:b w:val="0"/>
                      <w:bCs/>
                    </w:rPr>
                    <w:t>）</w:t>
                  </w:r>
                </w:p>
              </w:tc>
              <w:tc>
                <w:tcPr>
                  <w:tcW w:w="518" w:type="dxa"/>
                  <w:vAlign w:val="center"/>
                </w:tcPr>
                <w:p w14:paraId="4288B16C">
                  <w:pPr>
                    <w:jc w:val="center"/>
                    <w:rPr>
                      <w:bCs/>
                    </w:rPr>
                  </w:pPr>
                  <w:r>
                    <w:rPr>
                      <w:rFonts w:hint="eastAsia"/>
                      <w:bCs/>
                    </w:rPr>
                    <w:t>/</w:t>
                  </w:r>
                </w:p>
              </w:tc>
              <w:tc>
                <w:tcPr>
                  <w:tcW w:w="667" w:type="dxa"/>
                  <w:vAlign w:val="center"/>
                </w:tcPr>
                <w:p w14:paraId="110B61B1">
                  <w:pPr>
                    <w:pStyle w:val="57"/>
                    <w:rPr>
                      <w:b w:val="0"/>
                      <w:bCs/>
                      <w:lang w:val="en-US"/>
                    </w:rPr>
                  </w:pPr>
                  <w:r>
                    <w:rPr>
                      <w:b w:val="0"/>
                      <w:bCs/>
                      <w:lang w:val="en-US"/>
                    </w:rPr>
                    <w:t xml:space="preserve">0.1200 </w:t>
                  </w:r>
                </w:p>
              </w:tc>
              <w:tc>
                <w:tcPr>
                  <w:tcW w:w="587" w:type="dxa"/>
                  <w:vAlign w:val="center"/>
                </w:tcPr>
                <w:p w14:paraId="7CAF7486">
                  <w:pPr>
                    <w:pStyle w:val="57"/>
                    <w:rPr>
                      <w:b w:val="0"/>
                      <w:bCs/>
                      <w:lang w:val="en-US"/>
                    </w:rPr>
                  </w:pPr>
                  <w:r>
                    <w:rPr>
                      <w:b w:val="0"/>
                      <w:bCs/>
                      <w:lang w:val="en-US"/>
                    </w:rPr>
                    <w:t xml:space="preserve">0.2400 </w:t>
                  </w:r>
                </w:p>
              </w:tc>
              <w:tc>
                <w:tcPr>
                  <w:tcW w:w="772" w:type="dxa"/>
                  <w:vAlign w:val="center"/>
                </w:tcPr>
                <w:p w14:paraId="721645D8">
                  <w:pPr>
                    <w:pStyle w:val="57"/>
                    <w:rPr>
                      <w:b w:val="0"/>
                      <w:bCs/>
                      <w:lang w:val="en-US"/>
                    </w:rPr>
                  </w:pPr>
                  <w:r>
                    <w:rPr>
                      <w:b w:val="0"/>
                      <w:bCs/>
                      <w:lang w:val="en-US"/>
                    </w:rPr>
                    <w:t xml:space="preserve">0.0060 </w:t>
                  </w:r>
                </w:p>
              </w:tc>
              <w:tc>
                <w:tcPr>
                  <w:tcW w:w="704" w:type="dxa"/>
                  <w:vAlign w:val="center"/>
                </w:tcPr>
                <w:p w14:paraId="5B825166">
                  <w:pPr>
                    <w:pStyle w:val="57"/>
                    <w:rPr>
                      <w:b w:val="0"/>
                      <w:bCs/>
                      <w:lang w:val="en-US"/>
                    </w:rPr>
                  </w:pPr>
                  <w:r>
                    <w:rPr>
                      <w:b w:val="0"/>
                      <w:bCs/>
                      <w:lang w:val="en-US"/>
                    </w:rPr>
                    <w:t xml:space="preserve">30.0000 </w:t>
                  </w:r>
                </w:p>
              </w:tc>
              <w:tc>
                <w:tcPr>
                  <w:tcW w:w="741" w:type="dxa"/>
                  <w:vAlign w:val="center"/>
                </w:tcPr>
                <w:p w14:paraId="31799F7B">
                  <w:pPr>
                    <w:pStyle w:val="57"/>
                    <w:rPr>
                      <w:b w:val="0"/>
                      <w:bCs/>
                      <w:lang w:val="en-US"/>
                    </w:rPr>
                  </w:pPr>
                  <w:r>
                    <w:rPr>
                      <w:rFonts w:hint="eastAsia"/>
                      <w:b w:val="0"/>
                      <w:bCs/>
                      <w:lang w:val="en-US"/>
                    </w:rPr>
                    <w:t>/</w:t>
                  </w:r>
                </w:p>
              </w:tc>
              <w:tc>
                <w:tcPr>
                  <w:tcW w:w="889" w:type="dxa"/>
                  <w:vAlign w:val="center"/>
                </w:tcPr>
                <w:p w14:paraId="21E7FAF7">
                  <w:pPr>
                    <w:pStyle w:val="57"/>
                    <w:rPr>
                      <w:b w:val="0"/>
                      <w:bCs/>
                      <w:lang w:val="en-US"/>
                    </w:rPr>
                  </w:pPr>
                  <w:r>
                    <w:rPr>
                      <w:b w:val="0"/>
                      <w:bCs/>
                      <w:lang w:val="en-US"/>
                    </w:rPr>
                    <w:t xml:space="preserve">0.0004 </w:t>
                  </w:r>
                </w:p>
              </w:tc>
              <w:tc>
                <w:tcPr>
                  <w:tcW w:w="579" w:type="dxa"/>
                  <w:vAlign w:val="center"/>
                </w:tcPr>
                <w:p w14:paraId="5B93A1EE">
                  <w:pPr>
                    <w:pStyle w:val="57"/>
                    <w:rPr>
                      <w:b w:val="0"/>
                      <w:bCs/>
                      <w:lang w:val="en-US"/>
                    </w:rPr>
                  </w:pPr>
                  <w:r>
                    <w:rPr>
                      <w:b w:val="0"/>
                      <w:bCs/>
                      <w:lang w:val="en-US"/>
                    </w:rPr>
                    <w:t xml:space="preserve">0.0004 </w:t>
                  </w:r>
                </w:p>
              </w:tc>
              <w:tc>
                <w:tcPr>
                  <w:tcW w:w="655" w:type="dxa"/>
                  <w:vAlign w:val="center"/>
                </w:tcPr>
                <w:p w14:paraId="49B81D3F">
                  <w:pPr>
                    <w:pStyle w:val="57"/>
                    <w:rPr>
                      <w:b w:val="0"/>
                      <w:bCs/>
                      <w:lang w:val="en-US"/>
                    </w:rPr>
                  </w:pPr>
                  <w:r>
                    <w:rPr>
                      <w:b w:val="0"/>
                      <w:bCs/>
                      <w:lang w:val="en-US"/>
                    </w:rPr>
                    <w:t xml:space="preserve">0.0000 </w:t>
                  </w:r>
                </w:p>
              </w:tc>
              <w:tc>
                <w:tcPr>
                  <w:tcW w:w="580" w:type="dxa"/>
                  <w:shd w:val="clear" w:color="auto" w:fill="auto"/>
                  <w:vAlign w:val="center"/>
                </w:tcPr>
                <w:p w14:paraId="3746E868">
                  <w:pPr>
                    <w:pStyle w:val="57"/>
                    <w:rPr>
                      <w:b w:val="0"/>
                      <w:bCs/>
                      <w:lang w:val="en-US"/>
                    </w:rPr>
                  </w:pPr>
                  <w:r>
                    <w:rPr>
                      <w:b w:val="0"/>
                      <w:bCs/>
                      <w:lang w:val="en-US"/>
                    </w:rPr>
                    <w:t xml:space="preserve">0.0041 </w:t>
                  </w:r>
                </w:p>
              </w:tc>
              <w:tc>
                <w:tcPr>
                  <w:tcW w:w="710" w:type="dxa"/>
                  <w:shd w:val="clear" w:color="auto" w:fill="auto"/>
                  <w:vAlign w:val="center"/>
                </w:tcPr>
                <w:p w14:paraId="364EB48D">
                  <w:pPr>
                    <w:pStyle w:val="57"/>
                    <w:rPr>
                      <w:b w:val="0"/>
                      <w:bCs/>
                      <w:lang w:val="en-US"/>
                    </w:rPr>
                  </w:pPr>
                  <w:r>
                    <w:rPr>
                      <w:b w:val="0"/>
                      <w:bCs/>
                      <w:lang w:val="en-US"/>
                    </w:rPr>
                    <w:t xml:space="preserve">0.0012 </w:t>
                  </w:r>
                </w:p>
              </w:tc>
            </w:tr>
            <w:tr w14:paraId="51FC6070">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restart"/>
                  <w:tcBorders>
                    <w:bottom w:val="nil"/>
                  </w:tcBorders>
                  <w:vAlign w:val="center"/>
                </w:tcPr>
                <w:p w14:paraId="088D2633">
                  <w:pPr>
                    <w:pStyle w:val="57"/>
                    <w:rPr>
                      <w:b w:val="0"/>
                      <w:bCs/>
                    </w:rPr>
                  </w:pPr>
                  <w:r>
                    <w:rPr>
                      <w:rFonts w:hint="eastAsia"/>
                      <w:b w:val="0"/>
                      <w:bCs/>
                    </w:rPr>
                    <w:t>预处理</w:t>
                  </w:r>
                  <w:r>
                    <w:rPr>
                      <w:b w:val="0"/>
                      <w:bCs/>
                    </w:rPr>
                    <w:t>治理设施</w:t>
                  </w:r>
                </w:p>
              </w:tc>
              <w:tc>
                <w:tcPr>
                  <w:tcW w:w="1285" w:type="dxa"/>
                  <w:vAlign w:val="center"/>
                </w:tcPr>
                <w:p w14:paraId="29FF3165">
                  <w:pPr>
                    <w:pStyle w:val="57"/>
                    <w:rPr>
                      <w:b w:val="0"/>
                      <w:bCs/>
                    </w:rPr>
                  </w:pPr>
                  <w:r>
                    <w:rPr>
                      <w:b w:val="0"/>
                      <w:bCs/>
                    </w:rPr>
                    <w:t>处理能力</w:t>
                  </w:r>
                </w:p>
              </w:tc>
              <w:tc>
                <w:tcPr>
                  <w:tcW w:w="6112" w:type="dxa"/>
                  <w:gridSpan w:val="9"/>
                  <w:vAlign w:val="center"/>
                </w:tcPr>
                <w:p w14:paraId="3E16B261">
                  <w:pPr>
                    <w:pStyle w:val="57"/>
                    <w:rPr>
                      <w:b w:val="0"/>
                      <w:bCs/>
                      <w:vertAlign w:val="superscript"/>
                      <w:lang w:val="en-US"/>
                    </w:rPr>
                  </w:pPr>
                  <w:r>
                    <w:rPr>
                      <w:rFonts w:hint="eastAsia"/>
                      <w:b w:val="0"/>
                      <w:bCs/>
                      <w:lang w:val="en-US"/>
                    </w:rPr>
                    <w:t>8m</w:t>
                  </w:r>
                  <w:r>
                    <w:rPr>
                      <w:rFonts w:hint="eastAsia"/>
                      <w:b w:val="0"/>
                      <w:bCs/>
                      <w:vertAlign w:val="superscript"/>
                      <w:lang w:val="en-US"/>
                    </w:rPr>
                    <w:t>3</w:t>
                  </w:r>
                  <w:r>
                    <w:rPr>
                      <w:rFonts w:hint="eastAsia"/>
                      <w:b w:val="0"/>
                      <w:bCs/>
                      <w:lang w:val="en-US"/>
                    </w:rPr>
                    <w:t>/d</w:t>
                  </w:r>
                </w:p>
              </w:tc>
              <w:tc>
                <w:tcPr>
                  <w:tcW w:w="1290" w:type="dxa"/>
                  <w:gridSpan w:val="2"/>
                  <w:vAlign w:val="center"/>
                </w:tcPr>
                <w:p w14:paraId="07C6000B">
                  <w:pPr>
                    <w:pStyle w:val="57"/>
                    <w:rPr>
                      <w:b w:val="0"/>
                      <w:bCs/>
                      <w:lang w:val="en-US"/>
                    </w:rPr>
                  </w:pPr>
                  <w:r>
                    <w:rPr>
                      <w:rFonts w:hint="eastAsia"/>
                      <w:b w:val="0"/>
                      <w:bCs/>
                      <w:lang w:val="en-US"/>
                    </w:rPr>
                    <w:t>/</w:t>
                  </w:r>
                </w:p>
              </w:tc>
            </w:tr>
            <w:tr w14:paraId="6C13F452">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continue"/>
                  <w:tcBorders>
                    <w:top w:val="nil"/>
                    <w:bottom w:val="nil"/>
                  </w:tcBorders>
                  <w:textDirection w:val="tbRlV"/>
                  <w:vAlign w:val="center"/>
                </w:tcPr>
                <w:p w14:paraId="5A0C9C9A">
                  <w:pPr>
                    <w:pStyle w:val="57"/>
                    <w:rPr>
                      <w:b w:val="0"/>
                      <w:bCs/>
                    </w:rPr>
                  </w:pPr>
                </w:p>
              </w:tc>
              <w:tc>
                <w:tcPr>
                  <w:tcW w:w="1285" w:type="dxa"/>
                  <w:vAlign w:val="center"/>
                </w:tcPr>
                <w:p w14:paraId="30E099B6">
                  <w:pPr>
                    <w:pStyle w:val="57"/>
                    <w:rPr>
                      <w:b w:val="0"/>
                      <w:bCs/>
                    </w:rPr>
                  </w:pPr>
                  <w:r>
                    <w:rPr>
                      <w:b w:val="0"/>
                      <w:bCs/>
                    </w:rPr>
                    <w:t>治理工艺</w:t>
                  </w:r>
                </w:p>
              </w:tc>
              <w:tc>
                <w:tcPr>
                  <w:tcW w:w="6112" w:type="dxa"/>
                  <w:gridSpan w:val="9"/>
                  <w:vAlign w:val="center"/>
                </w:tcPr>
                <w:p w14:paraId="3375A5D2">
                  <w:pPr>
                    <w:pStyle w:val="57"/>
                    <w:rPr>
                      <w:b w:val="0"/>
                      <w:bCs/>
                      <w:lang w:val="en-US"/>
                    </w:rPr>
                  </w:pPr>
                  <w:r>
                    <w:rPr>
                      <w:rFonts w:hint="eastAsia"/>
                      <w:b w:val="0"/>
                      <w:bCs/>
                      <w:lang w:val="en-US"/>
                    </w:rPr>
                    <w:t>“钨回收系统”采用“蒸发+冷凝”工艺</w:t>
                  </w:r>
                </w:p>
              </w:tc>
              <w:tc>
                <w:tcPr>
                  <w:tcW w:w="1290" w:type="dxa"/>
                  <w:gridSpan w:val="2"/>
                  <w:vAlign w:val="center"/>
                </w:tcPr>
                <w:p w14:paraId="436746CD">
                  <w:pPr>
                    <w:pStyle w:val="57"/>
                    <w:rPr>
                      <w:b w:val="0"/>
                      <w:bCs/>
                      <w:lang w:val="en-US"/>
                    </w:rPr>
                  </w:pPr>
                  <w:r>
                    <w:rPr>
                      <w:rFonts w:hint="eastAsia"/>
                      <w:b w:val="0"/>
                      <w:bCs/>
                      <w:lang w:val="en-US"/>
                    </w:rPr>
                    <w:t>/</w:t>
                  </w:r>
                </w:p>
              </w:tc>
            </w:tr>
            <w:tr w14:paraId="2BFC84B1">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continue"/>
                  <w:tcBorders>
                    <w:top w:val="nil"/>
                  </w:tcBorders>
                  <w:textDirection w:val="tbRlV"/>
                  <w:vAlign w:val="center"/>
                </w:tcPr>
                <w:p w14:paraId="5490E36D">
                  <w:pPr>
                    <w:pStyle w:val="57"/>
                    <w:rPr>
                      <w:b w:val="0"/>
                      <w:bCs/>
                    </w:rPr>
                  </w:pPr>
                </w:p>
              </w:tc>
              <w:tc>
                <w:tcPr>
                  <w:tcW w:w="1285" w:type="dxa"/>
                  <w:vAlign w:val="center"/>
                </w:tcPr>
                <w:p w14:paraId="5571AD54">
                  <w:pPr>
                    <w:pStyle w:val="57"/>
                    <w:rPr>
                      <w:b w:val="0"/>
                      <w:bCs/>
                    </w:rPr>
                  </w:pPr>
                  <w:r>
                    <w:rPr>
                      <w:b w:val="0"/>
                      <w:bCs/>
                    </w:rPr>
                    <w:t>治理效率</w:t>
                  </w:r>
                  <w:r>
                    <w:rPr>
                      <w:rFonts w:hint="eastAsia"/>
                      <w:b w:val="0"/>
                      <w:bCs/>
                    </w:rPr>
                    <w:t>（</w:t>
                  </w:r>
                  <w:r>
                    <w:rPr>
                      <w:b w:val="0"/>
                      <w:bCs/>
                    </w:rPr>
                    <w:t>%</w:t>
                  </w:r>
                  <w:r>
                    <w:rPr>
                      <w:rFonts w:hint="eastAsia"/>
                      <w:b w:val="0"/>
                      <w:bCs/>
                    </w:rPr>
                    <w:t>）</w:t>
                  </w:r>
                </w:p>
              </w:tc>
              <w:tc>
                <w:tcPr>
                  <w:tcW w:w="518" w:type="dxa"/>
                  <w:vAlign w:val="center"/>
                </w:tcPr>
                <w:p w14:paraId="05135C77">
                  <w:pPr>
                    <w:jc w:val="center"/>
                    <w:rPr>
                      <w:bCs/>
                    </w:rPr>
                  </w:pPr>
                  <w:r>
                    <w:rPr>
                      <w:rFonts w:hint="eastAsia"/>
                      <w:bCs/>
                    </w:rPr>
                    <w:t>/</w:t>
                  </w:r>
                </w:p>
              </w:tc>
              <w:tc>
                <w:tcPr>
                  <w:tcW w:w="667" w:type="dxa"/>
                  <w:vAlign w:val="center"/>
                </w:tcPr>
                <w:p w14:paraId="52CEF8C0">
                  <w:pPr>
                    <w:jc w:val="center"/>
                    <w:rPr>
                      <w:bCs/>
                    </w:rPr>
                  </w:pPr>
                  <w:r>
                    <w:rPr>
                      <w:rFonts w:hint="eastAsia"/>
                      <w:bCs/>
                    </w:rPr>
                    <w:t>0</w:t>
                  </w:r>
                </w:p>
              </w:tc>
              <w:tc>
                <w:tcPr>
                  <w:tcW w:w="587" w:type="dxa"/>
                  <w:vAlign w:val="center"/>
                </w:tcPr>
                <w:p w14:paraId="6929CE71">
                  <w:pPr>
                    <w:jc w:val="center"/>
                    <w:rPr>
                      <w:bCs/>
                    </w:rPr>
                  </w:pPr>
                  <w:r>
                    <w:rPr>
                      <w:rFonts w:hint="eastAsia"/>
                      <w:bCs/>
                    </w:rPr>
                    <w:t>99</w:t>
                  </w:r>
                </w:p>
              </w:tc>
              <w:tc>
                <w:tcPr>
                  <w:tcW w:w="772" w:type="dxa"/>
                  <w:vAlign w:val="center"/>
                </w:tcPr>
                <w:p w14:paraId="03E1A616">
                  <w:pPr>
                    <w:jc w:val="center"/>
                    <w:rPr>
                      <w:bCs/>
                    </w:rPr>
                  </w:pPr>
                  <w:r>
                    <w:rPr>
                      <w:rFonts w:hint="eastAsia"/>
                      <w:bCs/>
                    </w:rPr>
                    <w:t>0</w:t>
                  </w:r>
                </w:p>
              </w:tc>
              <w:tc>
                <w:tcPr>
                  <w:tcW w:w="704" w:type="dxa"/>
                  <w:vAlign w:val="center"/>
                </w:tcPr>
                <w:p w14:paraId="02AD5617">
                  <w:pPr>
                    <w:jc w:val="center"/>
                    <w:rPr>
                      <w:bCs/>
                    </w:rPr>
                  </w:pPr>
                  <w:r>
                    <w:rPr>
                      <w:rFonts w:hint="eastAsia"/>
                      <w:bCs/>
                    </w:rPr>
                    <w:t>99</w:t>
                  </w:r>
                </w:p>
              </w:tc>
              <w:tc>
                <w:tcPr>
                  <w:tcW w:w="741" w:type="dxa"/>
                  <w:vAlign w:val="center"/>
                </w:tcPr>
                <w:p w14:paraId="4ECC5764">
                  <w:pPr>
                    <w:jc w:val="center"/>
                    <w:rPr>
                      <w:bCs/>
                    </w:rPr>
                  </w:pPr>
                  <w:r>
                    <w:rPr>
                      <w:rFonts w:hint="eastAsia"/>
                      <w:bCs/>
                    </w:rPr>
                    <w:t>/</w:t>
                  </w:r>
                </w:p>
              </w:tc>
              <w:tc>
                <w:tcPr>
                  <w:tcW w:w="889" w:type="dxa"/>
                  <w:vAlign w:val="center"/>
                </w:tcPr>
                <w:p w14:paraId="10418986">
                  <w:pPr>
                    <w:jc w:val="center"/>
                    <w:rPr>
                      <w:bCs/>
                    </w:rPr>
                  </w:pPr>
                  <w:r>
                    <w:rPr>
                      <w:rFonts w:hint="eastAsia"/>
                      <w:bCs/>
                    </w:rPr>
                    <w:t>0</w:t>
                  </w:r>
                </w:p>
              </w:tc>
              <w:tc>
                <w:tcPr>
                  <w:tcW w:w="579" w:type="dxa"/>
                  <w:vAlign w:val="center"/>
                </w:tcPr>
                <w:p w14:paraId="3D459D44">
                  <w:pPr>
                    <w:jc w:val="center"/>
                    <w:rPr>
                      <w:bCs/>
                    </w:rPr>
                  </w:pPr>
                  <w:r>
                    <w:rPr>
                      <w:rFonts w:hint="eastAsia"/>
                      <w:bCs/>
                    </w:rPr>
                    <w:t>99</w:t>
                  </w:r>
                </w:p>
              </w:tc>
              <w:tc>
                <w:tcPr>
                  <w:tcW w:w="655" w:type="dxa"/>
                  <w:vAlign w:val="center"/>
                </w:tcPr>
                <w:p w14:paraId="32AF0D66">
                  <w:pPr>
                    <w:jc w:val="center"/>
                    <w:rPr>
                      <w:bCs/>
                    </w:rPr>
                  </w:pPr>
                  <w:r>
                    <w:rPr>
                      <w:rFonts w:hint="eastAsia"/>
                      <w:bCs/>
                    </w:rPr>
                    <w:t>0</w:t>
                  </w:r>
                </w:p>
              </w:tc>
              <w:tc>
                <w:tcPr>
                  <w:tcW w:w="580" w:type="dxa"/>
                  <w:vAlign w:val="center"/>
                </w:tcPr>
                <w:p w14:paraId="00A1D7C7">
                  <w:pPr>
                    <w:pStyle w:val="57"/>
                    <w:rPr>
                      <w:b w:val="0"/>
                      <w:bCs/>
                      <w:lang w:val="en-US"/>
                    </w:rPr>
                  </w:pPr>
                  <w:r>
                    <w:rPr>
                      <w:rFonts w:hint="eastAsia"/>
                      <w:b w:val="0"/>
                      <w:bCs/>
                      <w:lang w:val="en-US"/>
                    </w:rPr>
                    <w:t>0</w:t>
                  </w:r>
                </w:p>
              </w:tc>
              <w:tc>
                <w:tcPr>
                  <w:tcW w:w="710" w:type="dxa"/>
                  <w:vAlign w:val="center"/>
                </w:tcPr>
                <w:p w14:paraId="5BDF98FA">
                  <w:pPr>
                    <w:pStyle w:val="57"/>
                    <w:rPr>
                      <w:b w:val="0"/>
                      <w:bCs/>
                      <w:lang w:val="en-US"/>
                    </w:rPr>
                  </w:pPr>
                  <w:r>
                    <w:rPr>
                      <w:rFonts w:hint="eastAsia"/>
                      <w:b w:val="0"/>
                      <w:bCs/>
                      <w:lang w:val="en-US"/>
                    </w:rPr>
                    <w:t>0</w:t>
                  </w:r>
                </w:p>
              </w:tc>
            </w:tr>
            <w:tr w14:paraId="45739D6D">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117B3F63">
                  <w:pPr>
                    <w:pStyle w:val="57"/>
                    <w:rPr>
                      <w:b w:val="0"/>
                      <w:bCs/>
                    </w:rPr>
                  </w:pPr>
                  <w:r>
                    <w:rPr>
                      <w:b w:val="0"/>
                      <w:bCs/>
                    </w:rPr>
                    <w:t>是否为可行技术</w:t>
                  </w:r>
                </w:p>
              </w:tc>
              <w:tc>
                <w:tcPr>
                  <w:tcW w:w="7402" w:type="dxa"/>
                  <w:gridSpan w:val="11"/>
                  <w:vAlign w:val="center"/>
                </w:tcPr>
                <w:p w14:paraId="403B7E93">
                  <w:pPr>
                    <w:pStyle w:val="57"/>
                    <w:rPr>
                      <w:b w:val="0"/>
                      <w:bCs/>
                    </w:rPr>
                  </w:pPr>
                </w:p>
              </w:tc>
            </w:tr>
            <w:tr w14:paraId="529BE871">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7F6B3822">
                  <w:pPr>
                    <w:pStyle w:val="57"/>
                    <w:rPr>
                      <w:b w:val="0"/>
                      <w:bCs/>
                      <w:lang w:val="en-US"/>
                    </w:rPr>
                  </w:pPr>
                  <w:r>
                    <w:rPr>
                      <w:rFonts w:hint="eastAsia"/>
                      <w:b w:val="0"/>
                      <w:bCs/>
                      <w:lang w:val="en-US"/>
                    </w:rPr>
                    <w:t>排放量</w:t>
                  </w:r>
                </w:p>
              </w:tc>
              <w:tc>
                <w:tcPr>
                  <w:tcW w:w="3248" w:type="dxa"/>
                  <w:gridSpan w:val="5"/>
                  <w:vAlign w:val="center"/>
                </w:tcPr>
                <w:p w14:paraId="4F5572E0">
                  <w:pPr>
                    <w:pStyle w:val="57"/>
                    <w:rPr>
                      <w:b w:val="0"/>
                      <w:bCs/>
                      <w:lang w:val="en-US"/>
                    </w:rPr>
                  </w:pPr>
                  <w:r>
                    <w:rPr>
                      <w:rFonts w:hint="eastAsia"/>
                      <w:b w:val="0"/>
                      <w:bCs/>
                      <w:lang w:val="en-US"/>
                    </w:rPr>
                    <w:t>390</w:t>
                  </w:r>
                </w:p>
              </w:tc>
              <w:tc>
                <w:tcPr>
                  <w:tcW w:w="2864" w:type="dxa"/>
                  <w:gridSpan w:val="4"/>
                  <w:vAlign w:val="center"/>
                </w:tcPr>
                <w:p w14:paraId="1C24E567">
                  <w:pPr>
                    <w:pStyle w:val="57"/>
                    <w:rPr>
                      <w:b w:val="0"/>
                      <w:bCs/>
                      <w:lang w:val="en-US"/>
                    </w:rPr>
                  </w:pPr>
                  <w:r>
                    <w:rPr>
                      <w:rFonts w:hint="eastAsia"/>
                      <w:b w:val="0"/>
                      <w:bCs/>
                      <w:lang w:val="en-US"/>
                    </w:rPr>
                    <w:t>30.81</w:t>
                  </w:r>
                </w:p>
              </w:tc>
              <w:tc>
                <w:tcPr>
                  <w:tcW w:w="1290" w:type="dxa"/>
                  <w:gridSpan w:val="2"/>
                  <w:vAlign w:val="center"/>
                </w:tcPr>
                <w:p w14:paraId="4E8154B8">
                  <w:pPr>
                    <w:pStyle w:val="57"/>
                    <w:rPr>
                      <w:b w:val="0"/>
                      <w:bCs/>
                    </w:rPr>
                  </w:pPr>
                  <w:r>
                    <w:rPr>
                      <w:rFonts w:hint="eastAsia"/>
                      <w:b w:val="0"/>
                      <w:bCs/>
                    </w:rPr>
                    <w:t>82.2</w:t>
                  </w:r>
                </w:p>
              </w:tc>
            </w:tr>
            <w:tr w14:paraId="31EBA010">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42310979">
                  <w:pPr>
                    <w:pStyle w:val="57"/>
                    <w:rPr>
                      <w:b w:val="0"/>
                      <w:bCs/>
                    </w:rPr>
                  </w:pPr>
                  <w:r>
                    <w:rPr>
                      <w:b w:val="0"/>
                      <w:bCs/>
                    </w:rPr>
                    <w:t>污染物排放浓度</w:t>
                  </w:r>
                  <w:r>
                    <w:rPr>
                      <w:rFonts w:hint="eastAsia"/>
                      <w:b w:val="0"/>
                      <w:bCs/>
                    </w:rPr>
                    <w:t>（</w:t>
                  </w:r>
                  <w:r>
                    <w:rPr>
                      <w:b w:val="0"/>
                      <w:bCs/>
                    </w:rPr>
                    <w:t>mg/L</w:t>
                  </w:r>
                  <w:r>
                    <w:rPr>
                      <w:rFonts w:hint="eastAsia"/>
                      <w:b w:val="0"/>
                      <w:bCs/>
                    </w:rPr>
                    <w:t>）</w:t>
                  </w:r>
                </w:p>
              </w:tc>
              <w:tc>
                <w:tcPr>
                  <w:tcW w:w="518" w:type="dxa"/>
                  <w:vAlign w:val="center"/>
                </w:tcPr>
                <w:p w14:paraId="6E45394D">
                  <w:pPr>
                    <w:pStyle w:val="57"/>
                    <w:rPr>
                      <w:b w:val="0"/>
                      <w:bCs/>
                      <w:lang w:val="en-US"/>
                    </w:rPr>
                  </w:pPr>
                  <w:r>
                    <w:rPr>
                      <w:b w:val="0"/>
                      <w:bCs/>
                      <w:lang w:val="en-US"/>
                    </w:rPr>
                    <w:t>6~9</w:t>
                  </w:r>
                </w:p>
              </w:tc>
              <w:tc>
                <w:tcPr>
                  <w:tcW w:w="667" w:type="dxa"/>
                  <w:vAlign w:val="center"/>
                </w:tcPr>
                <w:p w14:paraId="70B430B6">
                  <w:pPr>
                    <w:pStyle w:val="57"/>
                    <w:rPr>
                      <w:b w:val="0"/>
                      <w:bCs/>
                      <w:lang w:val="en-US"/>
                    </w:rPr>
                  </w:pPr>
                  <w:r>
                    <w:rPr>
                      <w:b w:val="0"/>
                      <w:bCs/>
                      <w:lang w:val="en-US"/>
                    </w:rPr>
                    <w:t>200</w:t>
                  </w:r>
                </w:p>
              </w:tc>
              <w:tc>
                <w:tcPr>
                  <w:tcW w:w="587" w:type="dxa"/>
                  <w:vAlign w:val="center"/>
                </w:tcPr>
                <w:p w14:paraId="4BBDAC21">
                  <w:pPr>
                    <w:pStyle w:val="57"/>
                    <w:rPr>
                      <w:b w:val="0"/>
                      <w:bCs/>
                      <w:lang w:val="en-US"/>
                    </w:rPr>
                  </w:pPr>
                  <w:r>
                    <w:rPr>
                      <w:b w:val="0"/>
                      <w:bCs/>
                      <w:lang w:val="en-US"/>
                    </w:rPr>
                    <w:t>4</w:t>
                  </w:r>
                </w:p>
              </w:tc>
              <w:tc>
                <w:tcPr>
                  <w:tcW w:w="772" w:type="dxa"/>
                  <w:vAlign w:val="center"/>
                </w:tcPr>
                <w:p w14:paraId="46814B20">
                  <w:pPr>
                    <w:pStyle w:val="57"/>
                    <w:rPr>
                      <w:b w:val="0"/>
                      <w:bCs/>
                      <w:lang w:val="en-US"/>
                    </w:rPr>
                  </w:pPr>
                  <w:r>
                    <w:rPr>
                      <w:b w:val="0"/>
                      <w:bCs/>
                      <w:lang w:val="en-US"/>
                    </w:rPr>
                    <w:t>10</w:t>
                  </w:r>
                </w:p>
              </w:tc>
              <w:tc>
                <w:tcPr>
                  <w:tcW w:w="704" w:type="dxa"/>
                  <w:vAlign w:val="center"/>
                </w:tcPr>
                <w:p w14:paraId="692BDBFF">
                  <w:pPr>
                    <w:pStyle w:val="57"/>
                    <w:rPr>
                      <w:b w:val="0"/>
                      <w:bCs/>
                      <w:lang w:val="en-US"/>
                    </w:rPr>
                  </w:pPr>
                  <w:r>
                    <w:rPr>
                      <w:b w:val="0"/>
                      <w:bCs/>
                      <w:lang w:val="en-US"/>
                    </w:rPr>
                    <w:t>500</w:t>
                  </w:r>
                </w:p>
              </w:tc>
              <w:tc>
                <w:tcPr>
                  <w:tcW w:w="741" w:type="dxa"/>
                  <w:vAlign w:val="center"/>
                </w:tcPr>
                <w:p w14:paraId="52A3A984">
                  <w:pPr>
                    <w:pStyle w:val="57"/>
                    <w:rPr>
                      <w:b w:val="0"/>
                      <w:bCs/>
                      <w:lang w:val="en-US"/>
                    </w:rPr>
                  </w:pPr>
                  <w:r>
                    <w:rPr>
                      <w:b w:val="0"/>
                      <w:bCs/>
                      <w:lang w:val="en-US"/>
                    </w:rPr>
                    <w:t>6~9</w:t>
                  </w:r>
                </w:p>
              </w:tc>
              <w:tc>
                <w:tcPr>
                  <w:tcW w:w="889" w:type="dxa"/>
                  <w:vAlign w:val="center"/>
                </w:tcPr>
                <w:p w14:paraId="6BAB0BA9">
                  <w:pPr>
                    <w:pStyle w:val="57"/>
                    <w:rPr>
                      <w:b w:val="0"/>
                      <w:bCs/>
                      <w:lang w:val="en-US"/>
                    </w:rPr>
                  </w:pPr>
                  <w:r>
                    <w:rPr>
                      <w:b w:val="0"/>
                      <w:bCs/>
                      <w:lang w:val="en-US"/>
                    </w:rPr>
                    <w:t>9</w:t>
                  </w:r>
                </w:p>
              </w:tc>
              <w:tc>
                <w:tcPr>
                  <w:tcW w:w="579" w:type="dxa"/>
                  <w:vAlign w:val="center"/>
                </w:tcPr>
                <w:p w14:paraId="1BEB4304">
                  <w:pPr>
                    <w:pStyle w:val="57"/>
                    <w:rPr>
                      <w:b w:val="0"/>
                      <w:bCs/>
                      <w:lang w:val="en-US"/>
                    </w:rPr>
                  </w:pPr>
                  <w:r>
                    <w:rPr>
                      <w:b w:val="0"/>
                      <w:bCs/>
                      <w:lang w:val="en-US"/>
                    </w:rPr>
                    <w:t>0.08</w:t>
                  </w:r>
                </w:p>
              </w:tc>
              <w:tc>
                <w:tcPr>
                  <w:tcW w:w="655" w:type="dxa"/>
                  <w:vAlign w:val="center"/>
                </w:tcPr>
                <w:p w14:paraId="2B76A43B">
                  <w:pPr>
                    <w:pStyle w:val="57"/>
                    <w:rPr>
                      <w:b w:val="0"/>
                      <w:bCs/>
                      <w:lang w:val="en-US"/>
                    </w:rPr>
                  </w:pPr>
                  <w:r>
                    <w:rPr>
                      <w:b w:val="0"/>
                      <w:bCs/>
                      <w:lang w:val="en-US"/>
                    </w:rPr>
                    <w:t>0.94</w:t>
                  </w:r>
                </w:p>
              </w:tc>
              <w:tc>
                <w:tcPr>
                  <w:tcW w:w="580" w:type="dxa"/>
                  <w:vAlign w:val="center"/>
                </w:tcPr>
                <w:p w14:paraId="0187329F">
                  <w:pPr>
                    <w:pStyle w:val="57"/>
                    <w:rPr>
                      <w:b w:val="0"/>
                      <w:bCs/>
                      <w:lang w:val="en-US"/>
                    </w:rPr>
                  </w:pPr>
                  <w:r>
                    <w:rPr>
                      <w:b w:val="0"/>
                      <w:bCs/>
                      <w:lang w:val="en-US"/>
                    </w:rPr>
                    <w:t>50</w:t>
                  </w:r>
                </w:p>
              </w:tc>
              <w:tc>
                <w:tcPr>
                  <w:tcW w:w="710" w:type="dxa"/>
                  <w:vAlign w:val="center"/>
                </w:tcPr>
                <w:p w14:paraId="3AADA04E">
                  <w:pPr>
                    <w:pStyle w:val="57"/>
                    <w:rPr>
                      <w:b w:val="0"/>
                      <w:bCs/>
                      <w:lang w:val="en-US"/>
                    </w:rPr>
                  </w:pPr>
                  <w:r>
                    <w:rPr>
                      <w:b w:val="0"/>
                      <w:bCs/>
                      <w:lang w:val="en-US"/>
                    </w:rPr>
                    <w:t>15</w:t>
                  </w:r>
                </w:p>
              </w:tc>
            </w:tr>
            <w:tr w14:paraId="0361D24B">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37684EF2">
                  <w:pPr>
                    <w:pStyle w:val="57"/>
                    <w:rPr>
                      <w:b w:val="0"/>
                      <w:bCs/>
                      <w:lang w:val="en-US"/>
                    </w:rPr>
                  </w:pPr>
                  <w:r>
                    <w:rPr>
                      <w:rFonts w:hint="eastAsia"/>
                      <w:b w:val="0"/>
                      <w:bCs/>
                      <w:lang w:val="en-US"/>
                    </w:rPr>
                    <w:t>执行标准浓度（</w:t>
                  </w:r>
                  <w:r>
                    <w:rPr>
                      <w:b w:val="0"/>
                      <w:bCs/>
                    </w:rPr>
                    <w:t>mg/L</w:t>
                  </w:r>
                  <w:r>
                    <w:rPr>
                      <w:rFonts w:hint="eastAsia"/>
                      <w:b w:val="0"/>
                      <w:bCs/>
                    </w:rPr>
                    <w:t>）</w:t>
                  </w:r>
                </w:p>
              </w:tc>
              <w:tc>
                <w:tcPr>
                  <w:tcW w:w="518" w:type="dxa"/>
                  <w:vAlign w:val="center"/>
                </w:tcPr>
                <w:p w14:paraId="37A9582E">
                  <w:pPr>
                    <w:pStyle w:val="57"/>
                    <w:rPr>
                      <w:b w:val="0"/>
                      <w:bCs/>
                      <w:lang w:val="en-US"/>
                    </w:rPr>
                  </w:pPr>
                  <w:r>
                    <w:rPr>
                      <w:b w:val="0"/>
                      <w:bCs/>
                      <w:lang w:val="en-US"/>
                    </w:rPr>
                    <w:t>6~9</w:t>
                  </w:r>
                </w:p>
              </w:tc>
              <w:tc>
                <w:tcPr>
                  <w:tcW w:w="667" w:type="dxa"/>
                  <w:vAlign w:val="center"/>
                </w:tcPr>
                <w:p w14:paraId="76A8B460">
                  <w:pPr>
                    <w:pStyle w:val="57"/>
                    <w:rPr>
                      <w:b w:val="0"/>
                      <w:bCs/>
                      <w:lang w:val="en-US"/>
                    </w:rPr>
                  </w:pPr>
                  <w:r>
                    <w:rPr>
                      <w:rFonts w:hint="eastAsia"/>
                      <w:b w:val="0"/>
                      <w:bCs/>
                      <w:lang w:val="en-US"/>
                    </w:rPr>
                    <w:t>500</w:t>
                  </w:r>
                </w:p>
              </w:tc>
              <w:tc>
                <w:tcPr>
                  <w:tcW w:w="587" w:type="dxa"/>
                  <w:vAlign w:val="center"/>
                </w:tcPr>
                <w:p w14:paraId="411CB4A5">
                  <w:pPr>
                    <w:pStyle w:val="57"/>
                    <w:rPr>
                      <w:b w:val="0"/>
                      <w:bCs/>
                      <w:lang w:val="en-US"/>
                    </w:rPr>
                  </w:pPr>
                  <w:r>
                    <w:rPr>
                      <w:rFonts w:hint="eastAsia"/>
                      <w:b w:val="0"/>
                      <w:bCs/>
                      <w:lang w:val="en-US"/>
                    </w:rPr>
                    <w:t>400</w:t>
                  </w:r>
                </w:p>
              </w:tc>
              <w:tc>
                <w:tcPr>
                  <w:tcW w:w="772" w:type="dxa"/>
                  <w:vAlign w:val="center"/>
                </w:tcPr>
                <w:p w14:paraId="054AFBD5">
                  <w:pPr>
                    <w:pStyle w:val="57"/>
                    <w:rPr>
                      <w:b w:val="0"/>
                      <w:bCs/>
                      <w:lang w:val="en-US"/>
                    </w:rPr>
                  </w:pPr>
                  <w:r>
                    <w:rPr>
                      <w:rFonts w:hint="eastAsia"/>
                      <w:b w:val="0"/>
                      <w:bCs/>
                      <w:lang w:val="en-US"/>
                    </w:rPr>
                    <w:t>20</w:t>
                  </w:r>
                </w:p>
              </w:tc>
              <w:tc>
                <w:tcPr>
                  <w:tcW w:w="704" w:type="dxa"/>
                  <w:vAlign w:val="center"/>
                </w:tcPr>
                <w:p w14:paraId="28ABBE59">
                  <w:pPr>
                    <w:pStyle w:val="57"/>
                    <w:rPr>
                      <w:b w:val="0"/>
                      <w:bCs/>
                      <w:lang w:val="en-US"/>
                    </w:rPr>
                  </w:pPr>
                  <w:r>
                    <w:rPr>
                      <w:rFonts w:hint="eastAsia"/>
                      <w:b w:val="0"/>
                      <w:bCs/>
                      <w:lang w:val="en-US"/>
                    </w:rPr>
                    <w:t>/</w:t>
                  </w:r>
                </w:p>
              </w:tc>
              <w:tc>
                <w:tcPr>
                  <w:tcW w:w="741" w:type="dxa"/>
                  <w:shd w:val="clear" w:color="auto" w:fill="auto"/>
                  <w:vAlign w:val="center"/>
                </w:tcPr>
                <w:p w14:paraId="5FB21700">
                  <w:pPr>
                    <w:pStyle w:val="57"/>
                    <w:rPr>
                      <w:b w:val="0"/>
                      <w:bCs/>
                      <w:lang w:val="en-US"/>
                    </w:rPr>
                  </w:pPr>
                  <w:r>
                    <w:rPr>
                      <w:b w:val="0"/>
                      <w:bCs/>
                      <w:lang w:val="en-US"/>
                    </w:rPr>
                    <w:t>6~9</w:t>
                  </w:r>
                </w:p>
              </w:tc>
              <w:tc>
                <w:tcPr>
                  <w:tcW w:w="889" w:type="dxa"/>
                  <w:shd w:val="clear" w:color="auto" w:fill="auto"/>
                  <w:vAlign w:val="center"/>
                </w:tcPr>
                <w:p w14:paraId="4E293D75">
                  <w:pPr>
                    <w:pStyle w:val="57"/>
                    <w:rPr>
                      <w:b w:val="0"/>
                      <w:bCs/>
                      <w:lang w:val="en-US"/>
                    </w:rPr>
                  </w:pPr>
                  <w:r>
                    <w:rPr>
                      <w:rFonts w:hint="eastAsia"/>
                      <w:b w:val="0"/>
                      <w:bCs/>
                      <w:lang w:val="en-US"/>
                    </w:rPr>
                    <w:t>500</w:t>
                  </w:r>
                </w:p>
              </w:tc>
              <w:tc>
                <w:tcPr>
                  <w:tcW w:w="579" w:type="dxa"/>
                  <w:shd w:val="clear" w:color="auto" w:fill="auto"/>
                  <w:vAlign w:val="center"/>
                </w:tcPr>
                <w:p w14:paraId="1F277EE8">
                  <w:pPr>
                    <w:pStyle w:val="57"/>
                    <w:rPr>
                      <w:b w:val="0"/>
                      <w:bCs/>
                      <w:lang w:val="en-US"/>
                    </w:rPr>
                  </w:pPr>
                  <w:r>
                    <w:rPr>
                      <w:rFonts w:hint="eastAsia"/>
                      <w:b w:val="0"/>
                      <w:bCs/>
                      <w:lang w:val="en-US"/>
                    </w:rPr>
                    <w:t>400</w:t>
                  </w:r>
                </w:p>
              </w:tc>
              <w:tc>
                <w:tcPr>
                  <w:tcW w:w="655" w:type="dxa"/>
                  <w:shd w:val="clear" w:color="auto" w:fill="auto"/>
                  <w:vAlign w:val="center"/>
                </w:tcPr>
                <w:p w14:paraId="493C561C">
                  <w:pPr>
                    <w:pStyle w:val="57"/>
                    <w:rPr>
                      <w:b w:val="0"/>
                      <w:bCs/>
                      <w:lang w:val="en-US"/>
                    </w:rPr>
                  </w:pPr>
                  <w:r>
                    <w:rPr>
                      <w:rFonts w:hint="eastAsia"/>
                      <w:b w:val="0"/>
                      <w:bCs/>
                      <w:lang w:val="en-US"/>
                    </w:rPr>
                    <w:t>20</w:t>
                  </w:r>
                </w:p>
              </w:tc>
              <w:tc>
                <w:tcPr>
                  <w:tcW w:w="580" w:type="dxa"/>
                  <w:shd w:val="clear" w:color="auto" w:fill="auto"/>
                  <w:vAlign w:val="center"/>
                </w:tcPr>
                <w:p w14:paraId="2AC0431E">
                  <w:pPr>
                    <w:pStyle w:val="57"/>
                    <w:rPr>
                      <w:b w:val="0"/>
                      <w:bCs/>
                      <w:lang w:val="en-US"/>
                    </w:rPr>
                  </w:pPr>
                  <w:r>
                    <w:rPr>
                      <w:rFonts w:hint="eastAsia"/>
                      <w:b w:val="0"/>
                      <w:bCs/>
                      <w:lang w:val="en-US"/>
                    </w:rPr>
                    <w:t>500</w:t>
                  </w:r>
                </w:p>
              </w:tc>
              <w:tc>
                <w:tcPr>
                  <w:tcW w:w="710" w:type="dxa"/>
                  <w:shd w:val="clear" w:color="auto" w:fill="auto"/>
                  <w:vAlign w:val="center"/>
                </w:tcPr>
                <w:p w14:paraId="2CDBB2A9">
                  <w:pPr>
                    <w:pStyle w:val="57"/>
                    <w:rPr>
                      <w:b w:val="0"/>
                      <w:bCs/>
                      <w:lang w:val="en-US"/>
                    </w:rPr>
                  </w:pPr>
                  <w:r>
                    <w:rPr>
                      <w:rFonts w:hint="eastAsia"/>
                      <w:b w:val="0"/>
                      <w:bCs/>
                      <w:lang w:val="en-US"/>
                    </w:rPr>
                    <w:t>400</w:t>
                  </w:r>
                </w:p>
              </w:tc>
            </w:tr>
            <w:tr w14:paraId="22FCAE8F">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5ACD3301">
                  <w:pPr>
                    <w:pStyle w:val="57"/>
                    <w:rPr>
                      <w:b w:val="0"/>
                      <w:bCs/>
                    </w:rPr>
                  </w:pPr>
                  <w:r>
                    <w:rPr>
                      <w:b w:val="0"/>
                      <w:bCs/>
                    </w:rPr>
                    <w:t>污染物排放量</w:t>
                  </w:r>
                  <w:r>
                    <w:rPr>
                      <w:rFonts w:hint="eastAsia"/>
                      <w:b w:val="0"/>
                      <w:bCs/>
                    </w:rPr>
                    <w:t>（</w:t>
                  </w:r>
                  <w:r>
                    <w:rPr>
                      <w:b w:val="0"/>
                      <w:bCs/>
                    </w:rPr>
                    <w:t>t/a</w:t>
                  </w:r>
                  <w:r>
                    <w:rPr>
                      <w:rFonts w:hint="eastAsia"/>
                      <w:b w:val="0"/>
                      <w:bCs/>
                    </w:rPr>
                    <w:t>）</w:t>
                  </w:r>
                </w:p>
              </w:tc>
              <w:tc>
                <w:tcPr>
                  <w:tcW w:w="518" w:type="dxa"/>
                  <w:vAlign w:val="center"/>
                </w:tcPr>
                <w:p w14:paraId="0D2A8A34">
                  <w:pPr>
                    <w:pStyle w:val="57"/>
                    <w:rPr>
                      <w:b w:val="0"/>
                      <w:bCs/>
                      <w:lang w:val="en-US"/>
                    </w:rPr>
                  </w:pPr>
                  <w:r>
                    <w:rPr>
                      <w:b w:val="0"/>
                      <w:bCs/>
                      <w:lang w:val="en-US"/>
                    </w:rPr>
                    <w:t>/</w:t>
                  </w:r>
                </w:p>
              </w:tc>
              <w:tc>
                <w:tcPr>
                  <w:tcW w:w="667" w:type="dxa"/>
                  <w:vAlign w:val="center"/>
                </w:tcPr>
                <w:p w14:paraId="3404A264">
                  <w:pPr>
                    <w:pStyle w:val="57"/>
                    <w:rPr>
                      <w:b w:val="0"/>
                      <w:bCs/>
                      <w:lang w:val="en-US"/>
                    </w:rPr>
                  </w:pPr>
                  <w:r>
                    <w:rPr>
                      <w:b w:val="0"/>
                      <w:bCs/>
                      <w:lang w:val="en-US"/>
                    </w:rPr>
                    <w:t xml:space="preserve">0.078 </w:t>
                  </w:r>
                </w:p>
              </w:tc>
              <w:tc>
                <w:tcPr>
                  <w:tcW w:w="587" w:type="dxa"/>
                  <w:vAlign w:val="center"/>
                </w:tcPr>
                <w:p w14:paraId="30D6A454">
                  <w:pPr>
                    <w:pStyle w:val="57"/>
                    <w:rPr>
                      <w:b w:val="0"/>
                      <w:bCs/>
                      <w:lang w:val="en-US"/>
                    </w:rPr>
                  </w:pPr>
                  <w:r>
                    <w:rPr>
                      <w:b w:val="0"/>
                      <w:bCs/>
                      <w:lang w:val="en-US"/>
                    </w:rPr>
                    <w:t xml:space="preserve">0.002 </w:t>
                  </w:r>
                </w:p>
              </w:tc>
              <w:tc>
                <w:tcPr>
                  <w:tcW w:w="772" w:type="dxa"/>
                  <w:vAlign w:val="center"/>
                </w:tcPr>
                <w:p w14:paraId="356B07BA">
                  <w:pPr>
                    <w:pStyle w:val="57"/>
                    <w:rPr>
                      <w:b w:val="0"/>
                      <w:bCs/>
                      <w:lang w:val="en-US"/>
                    </w:rPr>
                  </w:pPr>
                  <w:r>
                    <w:rPr>
                      <w:b w:val="0"/>
                      <w:bCs/>
                      <w:lang w:val="en-US"/>
                    </w:rPr>
                    <w:t xml:space="preserve">0.004 </w:t>
                  </w:r>
                </w:p>
              </w:tc>
              <w:tc>
                <w:tcPr>
                  <w:tcW w:w="704" w:type="dxa"/>
                  <w:vAlign w:val="center"/>
                </w:tcPr>
                <w:p w14:paraId="661442E9">
                  <w:pPr>
                    <w:pStyle w:val="57"/>
                    <w:rPr>
                      <w:b w:val="0"/>
                      <w:bCs/>
                      <w:lang w:val="en-US"/>
                    </w:rPr>
                  </w:pPr>
                  <w:r>
                    <w:rPr>
                      <w:rFonts w:hint="eastAsia"/>
                      <w:b w:val="0"/>
                      <w:bCs/>
                      <w:lang w:val="en-US"/>
                    </w:rPr>
                    <w:t>/</w:t>
                  </w:r>
                  <w:r>
                    <w:rPr>
                      <w:b w:val="0"/>
                      <w:bCs/>
                      <w:lang w:val="en-US"/>
                    </w:rPr>
                    <w:t xml:space="preserve"> </w:t>
                  </w:r>
                </w:p>
              </w:tc>
              <w:tc>
                <w:tcPr>
                  <w:tcW w:w="741" w:type="dxa"/>
                  <w:vAlign w:val="center"/>
                </w:tcPr>
                <w:p w14:paraId="3257C467">
                  <w:pPr>
                    <w:pStyle w:val="57"/>
                    <w:rPr>
                      <w:b w:val="0"/>
                      <w:bCs/>
                      <w:lang w:val="en-US"/>
                    </w:rPr>
                  </w:pPr>
                </w:p>
              </w:tc>
              <w:tc>
                <w:tcPr>
                  <w:tcW w:w="889" w:type="dxa"/>
                  <w:vAlign w:val="center"/>
                </w:tcPr>
                <w:p w14:paraId="6C168280">
                  <w:pPr>
                    <w:pStyle w:val="57"/>
                    <w:rPr>
                      <w:b w:val="0"/>
                      <w:bCs/>
                      <w:lang w:val="en-US"/>
                    </w:rPr>
                  </w:pPr>
                  <w:r>
                    <w:rPr>
                      <w:b w:val="0"/>
                      <w:bCs/>
                      <w:lang w:val="en-US"/>
                    </w:rPr>
                    <w:t xml:space="preserve">0.0003 </w:t>
                  </w:r>
                </w:p>
              </w:tc>
              <w:tc>
                <w:tcPr>
                  <w:tcW w:w="579" w:type="dxa"/>
                  <w:vAlign w:val="center"/>
                </w:tcPr>
                <w:p w14:paraId="36995599">
                  <w:pPr>
                    <w:pStyle w:val="57"/>
                    <w:rPr>
                      <w:b w:val="0"/>
                      <w:bCs/>
                      <w:lang w:val="en-US"/>
                    </w:rPr>
                  </w:pPr>
                  <w:r>
                    <w:rPr>
                      <w:b w:val="0"/>
                      <w:bCs/>
                      <w:lang w:val="en-US"/>
                    </w:rPr>
                    <w:t xml:space="preserve">0.000002 </w:t>
                  </w:r>
                </w:p>
              </w:tc>
              <w:tc>
                <w:tcPr>
                  <w:tcW w:w="655" w:type="dxa"/>
                  <w:vAlign w:val="center"/>
                </w:tcPr>
                <w:p w14:paraId="3375940B">
                  <w:pPr>
                    <w:pStyle w:val="57"/>
                    <w:rPr>
                      <w:b w:val="0"/>
                      <w:bCs/>
                      <w:lang w:val="en-US"/>
                    </w:rPr>
                  </w:pPr>
                  <w:r>
                    <w:rPr>
                      <w:b w:val="0"/>
                      <w:bCs/>
                      <w:lang w:val="en-US"/>
                    </w:rPr>
                    <w:t xml:space="preserve">0.00003 </w:t>
                  </w:r>
                </w:p>
              </w:tc>
              <w:tc>
                <w:tcPr>
                  <w:tcW w:w="580" w:type="dxa"/>
                  <w:vAlign w:val="center"/>
                </w:tcPr>
                <w:p w14:paraId="40BD2C15">
                  <w:pPr>
                    <w:pStyle w:val="57"/>
                    <w:rPr>
                      <w:b w:val="0"/>
                      <w:bCs/>
                      <w:lang w:val="en-US"/>
                    </w:rPr>
                  </w:pPr>
                  <w:r>
                    <w:rPr>
                      <w:b w:val="0"/>
                      <w:bCs/>
                      <w:lang w:val="en-US"/>
                    </w:rPr>
                    <w:t>0.0041</w:t>
                  </w:r>
                </w:p>
              </w:tc>
              <w:tc>
                <w:tcPr>
                  <w:tcW w:w="710" w:type="dxa"/>
                  <w:vAlign w:val="center"/>
                </w:tcPr>
                <w:p w14:paraId="34510369">
                  <w:pPr>
                    <w:pStyle w:val="57"/>
                    <w:rPr>
                      <w:b w:val="0"/>
                      <w:bCs/>
                      <w:lang w:val="en-US"/>
                    </w:rPr>
                  </w:pPr>
                  <w:r>
                    <w:rPr>
                      <w:b w:val="0"/>
                      <w:bCs/>
                      <w:lang w:val="en-US"/>
                    </w:rPr>
                    <w:t>0.0012</w:t>
                  </w:r>
                </w:p>
              </w:tc>
            </w:tr>
            <w:tr w14:paraId="153810C8">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52C16E81">
                  <w:pPr>
                    <w:pStyle w:val="57"/>
                    <w:rPr>
                      <w:b w:val="0"/>
                      <w:bCs/>
                    </w:rPr>
                  </w:pPr>
                  <w:r>
                    <w:rPr>
                      <w:b w:val="0"/>
                      <w:bCs/>
                    </w:rPr>
                    <w:t>排放方式</w:t>
                  </w:r>
                </w:p>
              </w:tc>
              <w:tc>
                <w:tcPr>
                  <w:tcW w:w="7402" w:type="dxa"/>
                  <w:gridSpan w:val="11"/>
                  <w:vAlign w:val="center"/>
                </w:tcPr>
                <w:p w14:paraId="61B91A6F">
                  <w:pPr>
                    <w:pStyle w:val="57"/>
                    <w:rPr>
                      <w:b w:val="0"/>
                      <w:bCs/>
                      <w:lang w:val="en-US"/>
                    </w:rPr>
                  </w:pPr>
                  <w:r>
                    <w:rPr>
                      <w:rFonts w:hint="eastAsia"/>
                      <w:b w:val="0"/>
                      <w:bCs/>
                      <w:lang w:val="en-US"/>
                    </w:rPr>
                    <w:t>间接排放</w:t>
                  </w:r>
                </w:p>
              </w:tc>
            </w:tr>
            <w:tr w14:paraId="2AAC701A">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22E8972F">
                  <w:pPr>
                    <w:pStyle w:val="57"/>
                    <w:rPr>
                      <w:b w:val="0"/>
                      <w:bCs/>
                    </w:rPr>
                  </w:pPr>
                  <w:r>
                    <w:rPr>
                      <w:b w:val="0"/>
                      <w:bCs/>
                    </w:rPr>
                    <w:t>排放去向</w:t>
                  </w:r>
                </w:p>
              </w:tc>
              <w:tc>
                <w:tcPr>
                  <w:tcW w:w="7402" w:type="dxa"/>
                  <w:gridSpan w:val="11"/>
                  <w:vAlign w:val="center"/>
                </w:tcPr>
                <w:p w14:paraId="4FFCA756">
                  <w:pPr>
                    <w:pStyle w:val="57"/>
                    <w:rPr>
                      <w:b w:val="0"/>
                      <w:bCs/>
                    </w:rPr>
                  </w:pPr>
                  <w:r>
                    <w:rPr>
                      <w:rFonts w:hint="eastAsia"/>
                      <w:b w:val="0"/>
                      <w:bCs/>
                    </w:rPr>
                    <w:t>五丈原污水处理厂</w:t>
                  </w:r>
                </w:p>
              </w:tc>
            </w:tr>
            <w:tr w14:paraId="031031B6">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2014" w:type="dxa"/>
                  <w:gridSpan w:val="2"/>
                  <w:vAlign w:val="center"/>
                </w:tcPr>
                <w:p w14:paraId="34555177">
                  <w:pPr>
                    <w:pStyle w:val="57"/>
                    <w:rPr>
                      <w:b w:val="0"/>
                      <w:bCs/>
                    </w:rPr>
                  </w:pPr>
                  <w:r>
                    <w:rPr>
                      <w:b w:val="0"/>
                      <w:bCs/>
                    </w:rPr>
                    <w:t>排放规律</w:t>
                  </w:r>
                </w:p>
              </w:tc>
              <w:tc>
                <w:tcPr>
                  <w:tcW w:w="7402" w:type="dxa"/>
                  <w:gridSpan w:val="11"/>
                  <w:vAlign w:val="center"/>
                </w:tcPr>
                <w:p w14:paraId="482308AA">
                  <w:pPr>
                    <w:pStyle w:val="57"/>
                    <w:rPr>
                      <w:b w:val="0"/>
                      <w:bCs/>
                    </w:rPr>
                  </w:pPr>
                  <w:r>
                    <w:rPr>
                      <w:rFonts w:hint="eastAsia"/>
                      <w:b w:val="0"/>
                      <w:bCs/>
                    </w:rPr>
                    <w:t>排放规律间断排放，排放期间流量不稳定且无规律，但不属于冲击型排放</w:t>
                  </w:r>
                </w:p>
              </w:tc>
            </w:tr>
            <w:tr w14:paraId="58B2F132">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restart"/>
                  <w:tcBorders>
                    <w:bottom w:val="nil"/>
                  </w:tcBorders>
                  <w:textDirection w:val="tbRlV"/>
                  <w:vAlign w:val="center"/>
                </w:tcPr>
                <w:p w14:paraId="1F4FBF54">
                  <w:pPr>
                    <w:pStyle w:val="57"/>
                    <w:rPr>
                      <w:b w:val="0"/>
                      <w:bCs/>
                    </w:rPr>
                  </w:pPr>
                  <w:r>
                    <w:rPr>
                      <w:rFonts w:hint="eastAsia"/>
                      <w:b w:val="0"/>
                      <w:bCs/>
                    </w:rPr>
                    <w:t>排放口</w:t>
                  </w:r>
                </w:p>
              </w:tc>
              <w:tc>
                <w:tcPr>
                  <w:tcW w:w="1285" w:type="dxa"/>
                  <w:vAlign w:val="center"/>
                </w:tcPr>
                <w:p w14:paraId="516BB370">
                  <w:pPr>
                    <w:pStyle w:val="57"/>
                    <w:rPr>
                      <w:b w:val="0"/>
                      <w:bCs/>
                    </w:rPr>
                  </w:pPr>
                  <w:r>
                    <w:rPr>
                      <w:b w:val="0"/>
                      <w:bCs/>
                    </w:rPr>
                    <w:t>编号</w:t>
                  </w:r>
                </w:p>
              </w:tc>
              <w:tc>
                <w:tcPr>
                  <w:tcW w:w="7402" w:type="dxa"/>
                  <w:gridSpan w:val="11"/>
                  <w:vAlign w:val="center"/>
                </w:tcPr>
                <w:p w14:paraId="2BCFA9D4">
                  <w:pPr>
                    <w:pStyle w:val="57"/>
                    <w:rPr>
                      <w:b w:val="0"/>
                      <w:bCs/>
                    </w:rPr>
                  </w:pPr>
                  <w:r>
                    <w:rPr>
                      <w:rFonts w:hint="eastAsia"/>
                      <w:b w:val="0"/>
                      <w:bCs/>
                      <w:lang w:val="en-US"/>
                    </w:rPr>
                    <w:t>DW001</w:t>
                  </w:r>
                </w:p>
              </w:tc>
            </w:tr>
            <w:tr w14:paraId="0F76169D">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continue"/>
                  <w:tcBorders>
                    <w:top w:val="nil"/>
                    <w:bottom w:val="nil"/>
                  </w:tcBorders>
                  <w:textDirection w:val="tbRlV"/>
                  <w:vAlign w:val="center"/>
                </w:tcPr>
                <w:p w14:paraId="63DBFA6E">
                  <w:pPr>
                    <w:pStyle w:val="57"/>
                    <w:rPr>
                      <w:b w:val="0"/>
                      <w:bCs/>
                    </w:rPr>
                  </w:pPr>
                </w:p>
              </w:tc>
              <w:tc>
                <w:tcPr>
                  <w:tcW w:w="1285" w:type="dxa"/>
                  <w:vAlign w:val="center"/>
                </w:tcPr>
                <w:p w14:paraId="0923440D">
                  <w:pPr>
                    <w:pStyle w:val="57"/>
                    <w:rPr>
                      <w:b w:val="0"/>
                      <w:bCs/>
                    </w:rPr>
                  </w:pPr>
                  <w:r>
                    <w:rPr>
                      <w:b w:val="0"/>
                      <w:bCs/>
                    </w:rPr>
                    <w:t>名称</w:t>
                  </w:r>
                </w:p>
              </w:tc>
              <w:tc>
                <w:tcPr>
                  <w:tcW w:w="7402" w:type="dxa"/>
                  <w:gridSpan w:val="11"/>
                  <w:vAlign w:val="center"/>
                </w:tcPr>
                <w:p w14:paraId="28F66464">
                  <w:pPr>
                    <w:pStyle w:val="57"/>
                    <w:rPr>
                      <w:b w:val="0"/>
                      <w:bCs/>
                      <w:lang w:val="en-US"/>
                    </w:rPr>
                  </w:pPr>
                  <w:r>
                    <w:rPr>
                      <w:rFonts w:hint="eastAsia"/>
                      <w:b w:val="0"/>
                      <w:bCs/>
                      <w:lang w:val="en-US"/>
                    </w:rPr>
                    <w:t>2-8车间排放口</w:t>
                  </w:r>
                </w:p>
              </w:tc>
            </w:tr>
            <w:tr w14:paraId="6BA8757E">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continue"/>
                  <w:tcBorders>
                    <w:top w:val="nil"/>
                    <w:bottom w:val="nil"/>
                  </w:tcBorders>
                  <w:textDirection w:val="tbRlV"/>
                  <w:vAlign w:val="center"/>
                </w:tcPr>
                <w:p w14:paraId="404E470C">
                  <w:pPr>
                    <w:pStyle w:val="57"/>
                    <w:rPr>
                      <w:b w:val="0"/>
                      <w:bCs/>
                    </w:rPr>
                  </w:pPr>
                </w:p>
              </w:tc>
              <w:tc>
                <w:tcPr>
                  <w:tcW w:w="1285" w:type="dxa"/>
                  <w:vAlign w:val="center"/>
                </w:tcPr>
                <w:p w14:paraId="1608722D">
                  <w:pPr>
                    <w:pStyle w:val="57"/>
                    <w:rPr>
                      <w:b w:val="0"/>
                      <w:bCs/>
                    </w:rPr>
                  </w:pPr>
                  <w:r>
                    <w:rPr>
                      <w:b w:val="0"/>
                      <w:bCs/>
                    </w:rPr>
                    <w:t>类型</w:t>
                  </w:r>
                </w:p>
              </w:tc>
              <w:tc>
                <w:tcPr>
                  <w:tcW w:w="7402" w:type="dxa"/>
                  <w:gridSpan w:val="11"/>
                  <w:shd w:val="clear" w:color="auto" w:fill="auto"/>
                  <w:vAlign w:val="center"/>
                </w:tcPr>
                <w:p w14:paraId="5D10E184">
                  <w:pPr>
                    <w:pStyle w:val="57"/>
                    <w:rPr>
                      <w:b w:val="0"/>
                      <w:bCs/>
                    </w:rPr>
                  </w:pPr>
                  <w:r>
                    <w:rPr>
                      <w:rFonts w:hint="eastAsia"/>
                      <w:b w:val="0"/>
                      <w:bCs/>
                      <w:lang w:val="en-US"/>
                    </w:rPr>
                    <w:t>一般排放口</w:t>
                  </w:r>
                </w:p>
              </w:tc>
            </w:tr>
            <w:tr w14:paraId="5072B220">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continue"/>
                  <w:tcBorders>
                    <w:top w:val="nil"/>
                  </w:tcBorders>
                  <w:textDirection w:val="tbRlV"/>
                  <w:vAlign w:val="center"/>
                </w:tcPr>
                <w:p w14:paraId="38B05C3C">
                  <w:pPr>
                    <w:pStyle w:val="57"/>
                    <w:rPr>
                      <w:b w:val="0"/>
                      <w:bCs/>
                    </w:rPr>
                  </w:pPr>
                </w:p>
              </w:tc>
              <w:tc>
                <w:tcPr>
                  <w:tcW w:w="1285" w:type="dxa"/>
                  <w:vAlign w:val="center"/>
                </w:tcPr>
                <w:p w14:paraId="60CF2E34">
                  <w:pPr>
                    <w:pStyle w:val="57"/>
                    <w:rPr>
                      <w:b w:val="0"/>
                      <w:bCs/>
                    </w:rPr>
                  </w:pPr>
                  <w:r>
                    <w:rPr>
                      <w:b w:val="0"/>
                      <w:bCs/>
                    </w:rPr>
                    <w:t>地理坐标</w:t>
                  </w:r>
                </w:p>
              </w:tc>
              <w:tc>
                <w:tcPr>
                  <w:tcW w:w="7402" w:type="dxa"/>
                  <w:gridSpan w:val="11"/>
                  <w:shd w:val="clear" w:color="auto" w:fill="auto"/>
                  <w:vAlign w:val="center"/>
                </w:tcPr>
                <w:p w14:paraId="072C7AE1">
                  <w:pPr>
                    <w:pStyle w:val="57"/>
                    <w:rPr>
                      <w:rFonts w:cs="宋体"/>
                      <w:b w:val="0"/>
                      <w:bCs/>
                      <w:kern w:val="2"/>
                      <w:szCs w:val="21"/>
                      <w:lang w:val="en-US" w:eastAsia="en-US"/>
                    </w:rPr>
                  </w:pPr>
                  <w:r>
                    <w:rPr>
                      <w:b w:val="0"/>
                      <w:bCs/>
                    </w:rPr>
                    <w:t>东经107°365.749"北纬34°1629.994"</w:t>
                  </w:r>
                </w:p>
              </w:tc>
            </w:tr>
            <w:tr w14:paraId="0D8566FE">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restart"/>
                  <w:tcBorders>
                    <w:bottom w:val="nil"/>
                  </w:tcBorders>
                  <w:vAlign w:val="center"/>
                </w:tcPr>
                <w:p w14:paraId="5B284BCB">
                  <w:pPr>
                    <w:pStyle w:val="57"/>
                    <w:rPr>
                      <w:b w:val="0"/>
                      <w:bCs/>
                    </w:rPr>
                  </w:pPr>
                  <w:r>
                    <w:rPr>
                      <w:b w:val="0"/>
                      <w:bCs/>
                    </w:rPr>
                    <w:t>污水处理厂信</w:t>
                  </w:r>
                  <w:r>
                    <w:rPr>
                      <w:rFonts w:hint="eastAsia"/>
                      <w:b w:val="0"/>
                      <w:bCs/>
                    </w:rPr>
                    <w:t>息</w:t>
                  </w:r>
                </w:p>
              </w:tc>
              <w:tc>
                <w:tcPr>
                  <w:tcW w:w="1285" w:type="dxa"/>
                  <w:vAlign w:val="center"/>
                </w:tcPr>
                <w:p w14:paraId="33F0803E">
                  <w:pPr>
                    <w:pStyle w:val="57"/>
                    <w:rPr>
                      <w:b w:val="0"/>
                      <w:bCs/>
                    </w:rPr>
                  </w:pPr>
                  <w:r>
                    <w:rPr>
                      <w:b w:val="0"/>
                      <w:bCs/>
                    </w:rPr>
                    <w:t>名称</w:t>
                  </w:r>
                </w:p>
              </w:tc>
              <w:tc>
                <w:tcPr>
                  <w:tcW w:w="7402" w:type="dxa"/>
                  <w:gridSpan w:val="11"/>
                  <w:shd w:val="clear" w:color="auto" w:fill="auto"/>
                  <w:vAlign w:val="center"/>
                </w:tcPr>
                <w:p w14:paraId="2C7487AB">
                  <w:pPr>
                    <w:pStyle w:val="57"/>
                    <w:rPr>
                      <w:b w:val="0"/>
                      <w:bCs/>
                    </w:rPr>
                  </w:pPr>
                  <w:r>
                    <w:rPr>
                      <w:rFonts w:hint="eastAsia"/>
                      <w:b w:val="0"/>
                      <w:bCs/>
                    </w:rPr>
                    <w:t>五丈原污水处理厂</w:t>
                  </w:r>
                </w:p>
              </w:tc>
            </w:tr>
            <w:tr w14:paraId="314451F0">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continue"/>
                  <w:tcBorders>
                    <w:top w:val="nil"/>
                    <w:bottom w:val="nil"/>
                  </w:tcBorders>
                  <w:textDirection w:val="tbRlV"/>
                  <w:vAlign w:val="center"/>
                </w:tcPr>
                <w:p w14:paraId="51CCD6C5">
                  <w:pPr>
                    <w:pStyle w:val="57"/>
                    <w:rPr>
                      <w:b w:val="0"/>
                      <w:bCs/>
                    </w:rPr>
                  </w:pPr>
                </w:p>
              </w:tc>
              <w:tc>
                <w:tcPr>
                  <w:tcW w:w="1285" w:type="dxa"/>
                  <w:vAlign w:val="center"/>
                </w:tcPr>
                <w:p w14:paraId="3A581BC2">
                  <w:pPr>
                    <w:pStyle w:val="57"/>
                    <w:rPr>
                      <w:b w:val="0"/>
                      <w:bCs/>
                    </w:rPr>
                  </w:pPr>
                  <w:r>
                    <w:rPr>
                      <w:b w:val="0"/>
                      <w:bCs/>
                    </w:rPr>
                    <w:t>处理能力</w:t>
                  </w:r>
                </w:p>
              </w:tc>
              <w:tc>
                <w:tcPr>
                  <w:tcW w:w="7402" w:type="dxa"/>
                  <w:gridSpan w:val="11"/>
                  <w:shd w:val="clear" w:color="auto" w:fill="auto"/>
                  <w:vAlign w:val="center"/>
                </w:tcPr>
                <w:p w14:paraId="612DB34C">
                  <w:pPr>
                    <w:pStyle w:val="57"/>
                    <w:rPr>
                      <w:b w:val="0"/>
                      <w:bCs/>
                      <w:lang w:val="en-US"/>
                    </w:rPr>
                  </w:pPr>
                  <w:r>
                    <w:rPr>
                      <w:rFonts w:hint="eastAsia"/>
                      <w:b w:val="0"/>
                      <w:bCs/>
                      <w:lang w:val="en-US"/>
                    </w:rPr>
                    <w:t>20000m</w:t>
                  </w:r>
                  <w:r>
                    <w:rPr>
                      <w:rFonts w:hint="eastAsia"/>
                      <w:b w:val="0"/>
                      <w:bCs/>
                      <w:vertAlign w:val="superscript"/>
                      <w:lang w:val="en-US"/>
                    </w:rPr>
                    <w:t>3</w:t>
                  </w:r>
                  <w:r>
                    <w:rPr>
                      <w:rFonts w:hint="eastAsia"/>
                      <w:b w:val="0"/>
                      <w:bCs/>
                      <w:lang w:val="en-US"/>
                    </w:rPr>
                    <w:t>/d</w:t>
                  </w:r>
                </w:p>
              </w:tc>
            </w:tr>
            <w:tr w14:paraId="0991E402">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continue"/>
                  <w:tcBorders>
                    <w:top w:val="nil"/>
                    <w:bottom w:val="nil"/>
                  </w:tcBorders>
                  <w:textDirection w:val="tbRlV"/>
                  <w:vAlign w:val="center"/>
                </w:tcPr>
                <w:p w14:paraId="25082A2C">
                  <w:pPr>
                    <w:pStyle w:val="57"/>
                    <w:rPr>
                      <w:b w:val="0"/>
                      <w:bCs/>
                    </w:rPr>
                  </w:pPr>
                </w:p>
              </w:tc>
              <w:tc>
                <w:tcPr>
                  <w:tcW w:w="1285" w:type="dxa"/>
                  <w:vAlign w:val="center"/>
                </w:tcPr>
                <w:p w14:paraId="4546A67C">
                  <w:pPr>
                    <w:pStyle w:val="57"/>
                    <w:rPr>
                      <w:b w:val="0"/>
                      <w:bCs/>
                    </w:rPr>
                  </w:pPr>
                  <w:r>
                    <w:rPr>
                      <w:b w:val="0"/>
                      <w:bCs/>
                    </w:rPr>
                    <w:t>处理工艺</w:t>
                  </w:r>
                </w:p>
              </w:tc>
              <w:tc>
                <w:tcPr>
                  <w:tcW w:w="7402" w:type="dxa"/>
                  <w:gridSpan w:val="11"/>
                  <w:shd w:val="clear" w:color="auto" w:fill="auto"/>
                  <w:vAlign w:val="center"/>
                </w:tcPr>
                <w:p w14:paraId="426DCE58">
                  <w:pPr>
                    <w:pStyle w:val="57"/>
                    <w:rPr>
                      <w:b w:val="0"/>
                      <w:bCs/>
                    </w:rPr>
                  </w:pPr>
                  <w:r>
                    <w:rPr>
                      <w:rFonts w:hint="eastAsia"/>
                      <w:b w:val="0"/>
                      <w:bCs/>
                    </w:rPr>
                    <w:t>改良A</w:t>
                  </w:r>
                  <w:r>
                    <w:rPr>
                      <w:rFonts w:hint="eastAsia"/>
                      <w:b w:val="0"/>
                      <w:bCs/>
                      <w:vertAlign w:val="superscript"/>
                    </w:rPr>
                    <w:t>2</w:t>
                  </w:r>
                  <w:r>
                    <w:rPr>
                      <w:rFonts w:hint="eastAsia"/>
                      <w:b w:val="0"/>
                      <w:bCs/>
                    </w:rPr>
                    <w:t>/O水处理工艺</w:t>
                  </w:r>
                </w:p>
              </w:tc>
            </w:tr>
            <w:tr w14:paraId="5E076C5B">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29" w:type="dxa"/>
                  <w:vMerge w:val="continue"/>
                  <w:tcBorders>
                    <w:top w:val="nil"/>
                  </w:tcBorders>
                  <w:textDirection w:val="tbRlV"/>
                  <w:vAlign w:val="center"/>
                </w:tcPr>
                <w:p w14:paraId="3CE4D2A1">
                  <w:pPr>
                    <w:pStyle w:val="57"/>
                    <w:rPr>
                      <w:b w:val="0"/>
                      <w:bCs/>
                    </w:rPr>
                  </w:pPr>
                </w:p>
              </w:tc>
              <w:tc>
                <w:tcPr>
                  <w:tcW w:w="1285" w:type="dxa"/>
                  <w:vAlign w:val="center"/>
                </w:tcPr>
                <w:p w14:paraId="31714348">
                  <w:pPr>
                    <w:pStyle w:val="57"/>
                    <w:rPr>
                      <w:b w:val="0"/>
                      <w:bCs/>
                    </w:rPr>
                  </w:pPr>
                  <w:r>
                    <w:rPr>
                      <w:b w:val="0"/>
                      <w:bCs/>
                    </w:rPr>
                    <w:t>出水标准</w:t>
                  </w:r>
                </w:p>
              </w:tc>
              <w:tc>
                <w:tcPr>
                  <w:tcW w:w="7402" w:type="dxa"/>
                  <w:gridSpan w:val="11"/>
                  <w:shd w:val="clear" w:color="auto" w:fill="auto"/>
                  <w:vAlign w:val="center"/>
                </w:tcPr>
                <w:p w14:paraId="612EDDFF">
                  <w:pPr>
                    <w:pStyle w:val="57"/>
                    <w:rPr>
                      <w:b w:val="0"/>
                      <w:bCs/>
                    </w:rPr>
                  </w:pPr>
                  <w:r>
                    <w:rPr>
                      <w:rFonts w:hint="eastAsia"/>
                      <w:b w:val="0"/>
                      <w:bCs/>
                    </w:rPr>
                    <w:t>《陕西省黄河流域污水综合排放标准》（DB61/224-2018）</w:t>
                  </w:r>
                </w:p>
              </w:tc>
            </w:tr>
          </w:tbl>
          <w:p w14:paraId="5DD4CE67">
            <w:pPr>
              <w:pStyle w:val="111"/>
              <w:wordWrap w:val="0"/>
              <w:ind w:left="420" w:leftChars="200" w:firstLine="0" w:firstLineChars="0"/>
              <w:rPr>
                <w:rFonts w:hint="default"/>
                <w:b/>
                <w:bCs/>
                <w:color w:val="auto"/>
              </w:rPr>
            </w:pPr>
            <w:r>
              <w:rPr>
                <w:rFonts w:hint="eastAsia"/>
                <w:b/>
                <w:bCs/>
                <w:color w:val="auto"/>
                <w:lang w:eastAsia="zh-CN"/>
              </w:rPr>
              <w:t>2.</w:t>
            </w:r>
            <w:r>
              <w:rPr>
                <w:rFonts w:hint="default"/>
                <w:b/>
                <w:bCs/>
                <w:color w:val="auto"/>
              </w:rPr>
              <w:t>废水处理</w:t>
            </w:r>
            <w:r>
              <w:rPr>
                <w:b/>
                <w:bCs/>
                <w:color w:val="auto"/>
              </w:rPr>
              <w:t>设施</w:t>
            </w:r>
            <w:r>
              <w:rPr>
                <w:rFonts w:hint="default"/>
                <w:b/>
                <w:bCs/>
                <w:color w:val="auto"/>
              </w:rPr>
              <w:t>可行性分析</w:t>
            </w:r>
          </w:p>
          <w:p w14:paraId="47FF1C1C">
            <w:pPr>
              <w:pStyle w:val="111"/>
              <w:wordWrap w:val="0"/>
              <w:rPr>
                <w:rFonts w:hint="default"/>
                <w:color w:val="auto"/>
              </w:rPr>
            </w:pPr>
            <w:r>
              <w:rPr>
                <w:color w:val="auto"/>
              </w:rPr>
              <w:t>电解</w:t>
            </w:r>
            <w:r>
              <w:rPr>
                <w:color w:val="auto"/>
                <w:lang w:val="zh-CN"/>
              </w:rPr>
              <w:t>清洗原理：</w:t>
            </w:r>
            <w:r>
              <w:rPr>
                <w:color w:val="auto"/>
              </w:rPr>
              <w:t>电解清洗槽</w:t>
            </w:r>
            <w:r>
              <w:rPr>
                <w:rFonts w:hint="default"/>
                <w:color w:val="auto"/>
              </w:rPr>
              <w:t>采用不锈钢作为阴极、NaOH作为电解液，钨丝作为阳极。通直流电后，</w:t>
            </w:r>
            <w:r>
              <w:rPr>
                <w:color w:val="auto"/>
              </w:rPr>
              <w:t>清洗过程中温度≤32℃，</w:t>
            </w:r>
            <w:r>
              <w:rPr>
                <w:rFonts w:hint="default"/>
                <w:color w:val="auto"/>
              </w:rPr>
              <w:t>钨丝表面发生氧化反应，金属钨失去电子被氧化成三氧化钨（WO₃），WO₃进一步与碱液反应生成可溶性的钨酸盐，从而溶解去除，使钨丝表面变得光滑洁净。同时，电解时在阴极产生的大量氢气或氧气气泡，对钨丝表面产生强烈的机械冲刷作用，能有效撕裂和剥离附着的石墨乳等有机物。</w:t>
            </w:r>
          </w:p>
          <w:p w14:paraId="20E63E15">
            <w:pPr>
              <w:pStyle w:val="111"/>
              <w:wordWrap w:val="0"/>
              <w:rPr>
                <w:rFonts w:hint="default"/>
                <w:color w:val="auto"/>
              </w:rPr>
            </w:pPr>
            <w:r>
              <w:rPr>
                <w:rFonts w:hint="default"/>
                <w:color w:val="auto"/>
              </w:rPr>
              <w:t>电极反应</w:t>
            </w:r>
          </w:p>
          <w:p w14:paraId="3BE87249">
            <w:pPr>
              <w:pStyle w:val="111"/>
              <w:wordWrap w:val="0"/>
              <w:rPr>
                <w:rFonts w:hint="default"/>
                <w:color w:val="auto"/>
              </w:rPr>
            </w:pPr>
            <w:r>
              <w:rPr>
                <w:rFonts w:hint="default"/>
                <w:color w:val="auto"/>
              </w:rPr>
              <w:t>阴极：</w:t>
            </w:r>
            <w:r>
              <w:rPr>
                <w:rFonts w:ascii="Segoe UI" w:hAnsi="Segoe UI" w:eastAsia="Segoe UI" w:cs="Segoe UI"/>
                <w:color w:val="auto"/>
                <w:spacing w:val="-2"/>
                <w:shd w:val="clear" w:color="auto" w:fill="FFFFFF"/>
              </w:rPr>
              <w:t>2H₂O + 2e⁻ → H₂↑ + 2OH⁻</w:t>
            </w:r>
          </w:p>
          <w:p w14:paraId="5F753F5F">
            <w:pPr>
              <w:pStyle w:val="111"/>
              <w:wordWrap w:val="0"/>
              <w:rPr>
                <w:rFonts w:hint="default" w:ascii="Segoe UI" w:hAnsi="Segoe UI" w:eastAsia="Segoe UI" w:cs="Segoe UI"/>
                <w:color w:val="auto"/>
                <w:spacing w:val="-2"/>
                <w:shd w:val="clear" w:color="auto" w:fill="FFFFFF"/>
              </w:rPr>
            </w:pPr>
            <w:r>
              <w:rPr>
                <w:rFonts w:hint="default"/>
                <w:color w:val="auto"/>
              </w:rPr>
              <w:t>阳极：</w:t>
            </w:r>
            <w:r>
              <w:rPr>
                <w:rFonts w:ascii="Segoe UI" w:hAnsi="Segoe UI" w:eastAsia="Segoe UI" w:cs="Segoe UI"/>
                <w:color w:val="auto"/>
                <w:spacing w:val="-2"/>
                <w:shd w:val="clear" w:color="auto" w:fill="FFFFFF"/>
              </w:rPr>
              <w:t>4OH⁻ → 2H₂O + O₂↑ + 4e⁻</w:t>
            </w:r>
          </w:p>
          <w:p w14:paraId="300D0C16">
            <w:pPr>
              <w:pStyle w:val="111"/>
              <w:wordWrap w:val="0"/>
              <w:ind w:left="840" w:leftChars="400" w:firstLine="472"/>
              <w:rPr>
                <w:rFonts w:hint="default" w:ascii="Segoe UI" w:hAnsi="Segoe UI" w:eastAsia="Segoe UI" w:cs="Segoe UI"/>
                <w:color w:val="auto"/>
                <w:spacing w:val="-2"/>
                <w:shd w:val="clear" w:color="auto" w:fill="FFFFFF"/>
              </w:rPr>
            </w:pPr>
            <w:r>
              <w:rPr>
                <w:rFonts w:ascii="Segoe UI" w:hAnsi="Segoe UI" w:eastAsia="Segoe UI" w:cs="Segoe UI"/>
                <w:color w:val="auto"/>
                <w:spacing w:val="-2"/>
                <w:shd w:val="clear" w:color="auto" w:fill="FFFFFF"/>
              </w:rPr>
              <w:t>WO₃ + 2OH⁻ → WO₄²⁻ + H₂O</w:t>
            </w:r>
          </w:p>
          <w:p w14:paraId="7F956308">
            <w:pPr>
              <w:pStyle w:val="111"/>
              <w:wordWrap w:val="0"/>
              <w:rPr>
                <w:rFonts w:hint="default"/>
                <w:color w:val="auto"/>
              </w:rPr>
            </w:pPr>
            <w:r>
              <w:rPr>
                <w:rFonts w:hint="default"/>
                <w:color w:val="auto"/>
              </w:rPr>
              <w:t>总方程式：</w:t>
            </w:r>
            <w:r>
              <w:rPr>
                <w:rFonts w:ascii="Segoe UI" w:hAnsi="Segoe UI" w:eastAsia="Segoe UI" w:cs="Segoe UI"/>
                <w:color w:val="auto"/>
                <w:spacing w:val="-2"/>
                <w:shd w:val="clear" w:color="auto" w:fill="FFFFFF"/>
              </w:rPr>
              <w:t>H₂O + WO₃ + 2NaOH → Na₂WO₄ + O₂↑ + 2H₂↑</w:t>
            </w:r>
          </w:p>
          <w:p w14:paraId="21052F35">
            <w:pPr>
              <w:pStyle w:val="111"/>
              <w:rPr>
                <w:rFonts w:hint="default"/>
                <w:color w:val="auto"/>
              </w:rPr>
            </w:pPr>
            <w:r>
              <w:rPr>
                <w:color w:val="auto"/>
              </w:rPr>
              <w:t>电解清洗过程是通过电解原理，使得钨材表面氧化钨在电解介质中完全反应，生成钨酸钠溶液的一个过程，最终反应完成后电解液主要成分为钨酸钠溶液。</w:t>
            </w:r>
          </w:p>
          <w:p w14:paraId="5EF0BD1F">
            <w:pPr>
              <w:pStyle w:val="111"/>
              <w:rPr>
                <w:rFonts w:hint="default"/>
                <w:color w:val="auto"/>
              </w:rPr>
            </w:pPr>
            <w:r>
              <w:rPr>
                <w:color w:val="auto"/>
              </w:rPr>
              <w:t>厂区拟新增1套“钨回收系统”对电解清洗废水进行处理，采用“蒸发+冷凝”工艺，蒸干的钨酸</w:t>
            </w:r>
            <w:r>
              <w:rPr>
                <w:rFonts w:hint="eastAsia"/>
                <w:color w:val="auto"/>
                <w:lang w:val="en-US" w:eastAsia="zh-CN"/>
              </w:rPr>
              <w:t>钠</w:t>
            </w:r>
            <w:r>
              <w:rPr>
                <w:color w:val="auto"/>
              </w:rPr>
              <w:t>外售相关物资回收企业，冷凝水通过2-8#车间DW001污水排放口排至园区化粪池，最终进入五丈原污水处理厂。</w:t>
            </w:r>
          </w:p>
          <w:p w14:paraId="5494494B">
            <w:pPr>
              <w:pStyle w:val="111"/>
              <w:rPr>
                <w:rFonts w:hint="default"/>
                <w:color w:val="auto"/>
              </w:rPr>
            </w:pPr>
            <w:r>
              <w:rPr>
                <w:color w:val="auto"/>
              </w:rPr>
              <w:t>“钨回收系统”采用“蒸发+冷凝”工艺，具体生产工艺流程见下图</w:t>
            </w:r>
            <w:r>
              <w:rPr>
                <w:rFonts w:hint="default"/>
                <w:color w:val="auto"/>
              </w:rPr>
              <w:t>。</w:t>
            </w:r>
          </w:p>
          <w:p w14:paraId="57CCA5D3">
            <w:pPr>
              <w:pStyle w:val="111"/>
              <w:ind w:firstLine="0" w:firstLineChars="0"/>
              <w:rPr>
                <w:rFonts w:hint="default"/>
                <w:color w:val="auto"/>
              </w:rPr>
            </w:pPr>
            <w:r>
              <w:rPr>
                <w:color w:val="auto"/>
              </w:rPr>
              <mc:AlternateContent>
                <mc:Choice Requires="wpc">
                  <w:drawing>
                    <wp:inline distT="0" distB="0" distL="114300" distR="114300">
                      <wp:extent cx="5486400" cy="2989580"/>
                      <wp:effectExtent l="0" t="0" r="0" b="0"/>
                      <wp:docPr id="61" name="画布 61"/>
                      <wp:cNvGraphicFramePr/>
                      <a:graphic xmlns:a="http://schemas.openxmlformats.org/drawingml/2006/main">
                        <a:graphicData uri="http://schemas.microsoft.com/office/word/2010/wordprocessingCanvas">
                          <wpc:wpc>
                            <wpc:bg/>
                            <wpc:whole/>
                            <wps:wsp>
                              <wps:cNvPr id="10" name="文本框 62"/>
                              <wps:cNvSpPr txBox="1"/>
                              <wps:spPr>
                                <a:xfrm>
                                  <a:off x="1871980" y="60960"/>
                                  <a:ext cx="1485900"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FC03C45">
                                    <w:pPr>
                                      <w:pStyle w:val="57"/>
                                      <w:rPr>
                                        <w:lang w:val="en-US"/>
                                      </w:rPr>
                                    </w:pPr>
                                    <w:r>
                                      <w:rPr>
                                        <w:rFonts w:hint="eastAsia"/>
                                        <w:lang w:val="en-US"/>
                                      </w:rPr>
                                      <w:t>电解清洗废水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文本框 63"/>
                              <wps:cNvSpPr txBox="1"/>
                              <wps:spPr>
                                <a:xfrm>
                                  <a:off x="1920875" y="1306830"/>
                                  <a:ext cx="1485900" cy="4857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D2E990B">
                                    <w:pPr>
                                      <w:pStyle w:val="57"/>
                                      <w:rPr>
                                        <w:lang w:val="en-US"/>
                                      </w:rPr>
                                    </w:pPr>
                                    <w:r>
                                      <w:rPr>
                                        <w:rFonts w:hint="eastAsia"/>
                                        <w:lang w:val="en-US"/>
                                      </w:rPr>
                                      <w:t>钨回收系统</w:t>
                                    </w:r>
                                  </w:p>
                                  <w:p w14:paraId="2FB2319C">
                                    <w:pPr>
                                      <w:pStyle w:val="57"/>
                                      <w:rPr>
                                        <w:lang w:val="en-US"/>
                                      </w:rPr>
                                    </w:pPr>
                                    <w:r>
                                      <w:rPr>
                                        <w:rFonts w:hint="eastAsia"/>
                                        <w:lang w:val="en-US"/>
                                      </w:rPr>
                                      <w:t>“蒸发+冷凝”</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 name="文本框 66"/>
                              <wps:cNvSpPr txBox="1"/>
                              <wps:spPr>
                                <a:xfrm>
                                  <a:off x="570230" y="2298065"/>
                                  <a:ext cx="1557020" cy="4235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5549CC8">
                                    <w:pPr>
                                      <w:pStyle w:val="57"/>
                                      <w:rPr>
                                        <w:lang w:val="en-US"/>
                                      </w:rPr>
                                    </w:pPr>
                                    <w:r>
                                      <w:rPr>
                                        <w:rFonts w:hint="eastAsia"/>
                                        <w:lang w:val="en-US"/>
                                      </w:rPr>
                                      <w:t>冷凝水（液态）</w:t>
                                    </w:r>
                                  </w:p>
                                  <w:p w14:paraId="7A0F8B88">
                                    <w:pPr>
                                      <w:pStyle w:val="57"/>
                                      <w:rPr>
                                        <w:lang w:val="en-US"/>
                                      </w:rPr>
                                    </w:pPr>
                                    <w:r>
                                      <w:rPr>
                                        <w:rFonts w:hint="eastAsia"/>
                                        <w:lang w:val="en-US"/>
                                      </w:rPr>
                                      <w:t>排污五丈原污水处理厂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 name="文本框 68"/>
                              <wps:cNvSpPr txBox="1"/>
                              <wps:spPr>
                                <a:xfrm>
                                  <a:off x="3007360" y="2298700"/>
                                  <a:ext cx="1485900" cy="4235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BFF9A90">
                                    <w:pPr>
                                      <w:pStyle w:val="57"/>
                                      <w:rPr>
                                        <w:lang w:val="en-US"/>
                                      </w:rPr>
                                    </w:pPr>
                                    <w:r>
                                      <w:rPr>
                                        <w:rFonts w:hint="eastAsia"/>
                                        <w:lang w:val="en-US"/>
                                      </w:rPr>
                                      <w:t>蒸发干化物</w:t>
                                    </w:r>
                                  </w:p>
                                  <w:p w14:paraId="47D96F5D">
                                    <w:pPr>
                                      <w:pStyle w:val="57"/>
                                      <w:rPr>
                                        <w:lang w:val="en-US"/>
                                      </w:rPr>
                                    </w:pPr>
                                    <w:r>
                                      <w:rPr>
                                        <w:rFonts w:hint="eastAsia"/>
                                        <w:lang w:val="en-US"/>
                                      </w:rPr>
                                      <w:t>（钨酸钠杂盐）</w:t>
                                    </w:r>
                                  </w:p>
                                  <w:p w14:paraId="7B920FBC">
                                    <w:pPr>
                                      <w:pStyle w:val="57"/>
                                      <w:rPr>
                                        <w:lang w:val="en-US"/>
                                      </w:rPr>
                                    </w:pPr>
                                    <w:r>
                                      <w:rPr>
                                        <w:rFonts w:hint="eastAsia"/>
                                        <w:lang w:val="en-US"/>
                                      </w:rPr>
                                      <w:t>一般固废外售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直接箭头连接符 70"/>
                              <wps:cNvCnPr/>
                              <wps:spPr>
                                <a:xfrm>
                                  <a:off x="2614930" y="337185"/>
                                  <a:ext cx="2540" cy="24130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5" name="肘形连接符 71"/>
                              <wps:cNvCnPr/>
                              <wps:spPr>
                                <a:xfrm rot="5400000">
                                  <a:off x="1772285" y="1405255"/>
                                  <a:ext cx="504825" cy="1295400"/>
                                </a:xfrm>
                                <a:prstGeom prst="bentConnector3">
                                  <a:avLst>
                                    <a:gd name="adj1" fmla="val 50000"/>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6" name="肘形连接符 72"/>
                              <wps:cNvCnPr/>
                              <wps:spPr>
                                <a:xfrm rot="5400000" flipV="1">
                                  <a:off x="3002280" y="1486535"/>
                                  <a:ext cx="504825" cy="1133475"/>
                                </a:xfrm>
                                <a:prstGeom prst="bentConnector3">
                                  <a:avLst>
                                    <a:gd name="adj1" fmla="val 50063"/>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7" name="文本框 63"/>
                              <wps:cNvSpPr txBox="1"/>
                              <wps:spPr>
                                <a:xfrm>
                                  <a:off x="1886585" y="576580"/>
                                  <a:ext cx="1485900" cy="3187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EC00175">
                                    <w:pPr>
                                      <w:pStyle w:val="57"/>
                                      <w:rPr>
                                        <w:lang w:val="en-US"/>
                                      </w:rPr>
                                    </w:pPr>
                                    <w:r>
                                      <w:rPr>
                                        <w:rFonts w:hint="eastAsia"/>
                                        <w:lang w:val="en-US"/>
                                      </w:rPr>
                                      <w:t>废水储罐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 name="直接箭头连接符 70"/>
                              <wps:cNvCnPr>
                                <a:endCxn id="11" idx="0"/>
                              </wps:cNvCnPr>
                              <wps:spPr>
                                <a:xfrm>
                                  <a:off x="2656840" y="911860"/>
                                  <a:ext cx="6985" cy="39497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c:wpc>
                        </a:graphicData>
                      </a:graphic>
                    </wp:inline>
                  </w:drawing>
                </mc:Choice>
                <mc:Fallback>
                  <w:pict>
                    <v:group id="_x0000_s1026" o:spid="_x0000_s1026" o:spt="203" style="height:235.4pt;width:432pt;" coordsize="5486400,2989580" editas="canvas" o:gfxdata="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">
                      <o:lock v:ext="edit" aspectratio="f"/>
                      <v:shape id="_x0000_s1026" o:spid="_x0000_s1026" style="position:absolute;left:0;top:0;height:2989580;width:5486400;" filled="f" stroked="f" coordsize="21600,21600" o:gfxdata="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">
                        <v:fill on="f" focussize="0,0"/>
                        <v:stroke on="f"/>
                        <v:imagedata o:title=""/>
                        <o:lock v:ext="edit" aspectratio="f"/>
                      </v:shape>
                      <v:shape id="文本框 62" o:spid="_x0000_s1026" o:spt="202" type="#_x0000_t202" style="position:absolute;left:1871980;top:60960;height:276225;width:1485900;" fillcolor="#FFFFFF [3201]" filled="t" stroked="t" coordsize="21600,21600" o:gfxdata="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XQQL&#10;FNMAAAAFAQAADwAAAAAAAAABACAAAAAiAAAAZHJzL2Rvd25yZXYueG1sUEsBAhQAFAAAAAgAh07i&#10;QNS9rlJgAgAAwwQAAA4AAAAAAAAAAQAgAAAAIgEAAGRycy9lMm9Eb2MueG1sUEsFBgAAAAAGAAYA&#10;WQEAAPQFAAAAAA==&#10;">
                        <v:fill on="t" focussize="0,0"/>
                        <v:stroke weight="0.5pt" color="#000000 [3204]" joinstyle="round"/>
                        <v:imagedata o:title=""/>
                        <o:lock v:ext="edit" aspectratio="f"/>
                        <v:textbox>
                          <w:txbxContent>
                            <w:p w14:paraId="0FC03C45">
                              <w:pPr>
                                <w:pStyle w:val="57"/>
                                <w:rPr>
                                  <w:lang w:val="en-US"/>
                                </w:rPr>
                              </w:pPr>
                              <w:r>
                                <w:rPr>
                                  <w:rFonts w:hint="eastAsia"/>
                                  <w:lang w:val="en-US"/>
                                </w:rPr>
                                <w:t>电解清洗废水</w:t>
                              </w:r>
                            </w:p>
                          </w:txbxContent>
                        </v:textbox>
                      </v:shape>
                      <v:shape id="文本框 63" o:spid="_x0000_s1026" o:spt="202" type="#_x0000_t202" style="position:absolute;left:1920875;top:1306830;height:485775;width:1485900;" fillcolor="#FFFFFF [3201]" filled="t" stroked="t" coordsize="21600,21600" o:gfxdata="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0E&#10;CxTTAAAABQEAAA8AAAAAAAAAAQAgAAAAIgAAAGRycy9kb3ducmV2LnhtbFBLAQIUABQAAAAIAIdO&#10;4kAK+HFsYQIAAMUEAAAOAAAAAAAAAAEAIAAAACIBAABkcnMvZTJvRG9jLnhtbFBLBQYAAAAABgAG&#10;AFkBAAD1BQAAAAA=&#10;">
                        <v:fill on="t" focussize="0,0"/>
                        <v:stroke weight="0.5pt" color="#000000 [3204]" joinstyle="round"/>
                        <v:imagedata o:title=""/>
                        <o:lock v:ext="edit" aspectratio="f"/>
                        <v:textbox>
                          <w:txbxContent>
                            <w:p w14:paraId="6D2E990B">
                              <w:pPr>
                                <w:pStyle w:val="57"/>
                                <w:rPr>
                                  <w:lang w:val="en-US"/>
                                </w:rPr>
                              </w:pPr>
                              <w:r>
                                <w:rPr>
                                  <w:rFonts w:hint="eastAsia"/>
                                  <w:lang w:val="en-US"/>
                                </w:rPr>
                                <w:t>钨回收系统</w:t>
                              </w:r>
                            </w:p>
                            <w:p w14:paraId="2FB2319C">
                              <w:pPr>
                                <w:pStyle w:val="57"/>
                                <w:rPr>
                                  <w:lang w:val="en-US"/>
                                </w:rPr>
                              </w:pPr>
                              <w:r>
                                <w:rPr>
                                  <w:rFonts w:hint="eastAsia"/>
                                  <w:lang w:val="en-US"/>
                                </w:rPr>
                                <w:t>“蒸发+冷凝”</w:t>
                              </w:r>
                            </w:p>
                          </w:txbxContent>
                        </v:textbox>
                      </v:shape>
                      <v:shape id="文本框 66" o:spid="_x0000_s1026" o:spt="202" type="#_x0000_t202" style="position:absolute;left:570230;top:2298065;height:423545;width:1557020;" fillcolor="#FFFFFF [3201]" filled="t" stroked="t" coordsize="21600,21600" o:gfxdata="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0ECxTTAAAABQEAAA8AAAAAAAAAAQAgAAAAIgAAAGRycy9kb3ducmV2LnhtbFBLAQIUABQAAAAI&#10;AIdO4kBM+mzSZAIAAMQEAAAOAAAAAAAAAAEAIAAAACIBAABkcnMvZTJvRG9jLnhtbFBLBQYAAAAA&#10;BgAGAFkBAAD4BQAAAAA=&#10;">
                        <v:fill on="t" focussize="0,0"/>
                        <v:stroke weight="0.5pt" color="#000000 [3204]" joinstyle="round"/>
                        <v:imagedata o:title=""/>
                        <o:lock v:ext="edit" aspectratio="f"/>
                        <v:textbox>
                          <w:txbxContent>
                            <w:p w14:paraId="65549CC8">
                              <w:pPr>
                                <w:pStyle w:val="57"/>
                                <w:rPr>
                                  <w:lang w:val="en-US"/>
                                </w:rPr>
                              </w:pPr>
                              <w:r>
                                <w:rPr>
                                  <w:rFonts w:hint="eastAsia"/>
                                  <w:lang w:val="en-US"/>
                                </w:rPr>
                                <w:t>冷凝水（液态）</w:t>
                              </w:r>
                            </w:p>
                            <w:p w14:paraId="7A0F8B88">
                              <w:pPr>
                                <w:pStyle w:val="57"/>
                                <w:rPr>
                                  <w:lang w:val="en-US"/>
                                </w:rPr>
                              </w:pPr>
                              <w:r>
                                <w:rPr>
                                  <w:rFonts w:hint="eastAsia"/>
                                  <w:lang w:val="en-US"/>
                                </w:rPr>
                                <w:t>排污五丈原污水处理厂</w:t>
                              </w:r>
                            </w:p>
                          </w:txbxContent>
                        </v:textbox>
                      </v:shape>
                      <v:shape id="文本框 68" o:spid="_x0000_s1026" o:spt="202" type="#_x0000_t202" style="position:absolute;left:3007360;top:2298700;height:423545;width:1485900;" fillcolor="#FFFFFF [3201]" filled="t" stroked="t" coordsize="21600,21600" o:gfxdata="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0ECxTTAAAABQEAAA8AAAAAAAAAAQAgAAAAIgAAAGRycy9kb3ducmV2LnhtbFBLAQIUABQAAAAI&#10;AIdO4kAGOOc/ZAIAAMUEAAAOAAAAAAAAAAEAIAAAACIBAABkcnMvZTJvRG9jLnhtbFBLBQYAAAAA&#10;BgAGAFkBAAD4BQAAAAA=&#10;">
                        <v:fill on="t" focussize="0,0"/>
                        <v:stroke weight="0.5pt" color="#000000 [3204]" joinstyle="round"/>
                        <v:imagedata o:title=""/>
                        <o:lock v:ext="edit" aspectratio="f"/>
                        <v:textbox>
                          <w:txbxContent>
                            <w:p w14:paraId="6BFF9A90">
                              <w:pPr>
                                <w:pStyle w:val="57"/>
                                <w:rPr>
                                  <w:lang w:val="en-US"/>
                                </w:rPr>
                              </w:pPr>
                              <w:r>
                                <w:rPr>
                                  <w:rFonts w:hint="eastAsia"/>
                                  <w:lang w:val="en-US"/>
                                </w:rPr>
                                <w:t>蒸发干化物</w:t>
                              </w:r>
                            </w:p>
                            <w:p w14:paraId="47D96F5D">
                              <w:pPr>
                                <w:pStyle w:val="57"/>
                                <w:rPr>
                                  <w:lang w:val="en-US"/>
                                </w:rPr>
                              </w:pPr>
                              <w:r>
                                <w:rPr>
                                  <w:rFonts w:hint="eastAsia"/>
                                  <w:lang w:val="en-US"/>
                                </w:rPr>
                                <w:t>（钨酸钠杂盐）</w:t>
                              </w:r>
                            </w:p>
                            <w:p w14:paraId="7B920FBC">
                              <w:pPr>
                                <w:pStyle w:val="57"/>
                                <w:rPr>
                                  <w:lang w:val="en-US"/>
                                </w:rPr>
                              </w:pPr>
                              <w:r>
                                <w:rPr>
                                  <w:rFonts w:hint="eastAsia"/>
                                  <w:lang w:val="en-US"/>
                                </w:rPr>
                                <w:t>一般固废外售</w:t>
                              </w:r>
                            </w:p>
                          </w:txbxContent>
                        </v:textbox>
                      </v:shape>
                      <v:shape id="直接箭头连接符 70" o:spid="_x0000_s1026" o:spt="32" type="#_x0000_t32" style="position:absolute;left:2614930;top:337185;height:241300;width:2540;" filled="f" stroked="t" coordsize="21600,21600" o:gfxdata="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Wjwnz1QAAAAUBAAAPAAAAAAAAAAEAIAAAACIAAABkcnMvZG93&#10;bnJldi54bWxQSwECFAAUAAAACACHTuJAPozaEwMCAADXAwAADgAAAAAAAAABACAAAAAkAQAAZHJz&#10;L2Uyb0RvYy54bWxQSwUGAAAAAAYABgBZAQAAmQUAAAAA&#10;">
                        <v:fill on="f" focussize="0,0"/>
                        <v:stroke weight="2pt" color="#000000 [3213]" joinstyle="round" endarrow="open"/>
                        <v:imagedata o:title=""/>
                        <o:lock v:ext="edit" aspectratio="f"/>
                      </v:shape>
                      <v:shape id="肘形连接符 71" o:spid="_x0000_s1026" o:spt="34" type="#_x0000_t34" style="position:absolute;left:1772285;top:1405255;height:1295400;width:504825;rotation:5898240f;" filled="f" stroked="t" coordsize="21600,21600" o:gfxdata="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x3V450wAAAAUB&#10;AAAPAAAAAAAAAAEAIAAAACIAAABkcnMvZG93bnJldi54bWxQSwECFAAUAAAACACHTuJAyqXTFSAC&#10;AAAMBAAADgAAAAAAAAABACAAAAAiAQAAZHJzL2Uyb0RvYy54bWxQSwUGAAAAAAYABgBZAQAAtAUA&#10;AAAA&#10;" adj="10800">
                        <v:fill on="f" focussize="0,0"/>
                        <v:stroke weight="2pt" color="#000000 [3213]" joinstyle="round" endarrow="open"/>
                        <v:imagedata o:title=""/>
                        <o:lock v:ext="edit" aspectratio="f"/>
                      </v:shape>
                      <v:shape id="肘形连接符 72" o:spid="_x0000_s1026" o:spt="34" type="#_x0000_t34" style="position:absolute;left:3002280;top:1486535;flip:y;height:1133475;width:504825;rotation:-5898240f;" filled="f" stroked="t" coordsize="21600,21600" o:gfxdata="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tC+1rTAAAABQEAAA8AAAAAAAAAAQAgAAAAIgAAAGRycy9kb3ducmV2LnhtbFBLAQIUABQAAAAI&#10;AIdO4kD7ixwAKwIAABYEAAAOAAAAAAAAAAEAIAAAACIBAABkcnMvZTJvRG9jLnhtbFBLBQYAAAAA&#10;BgAGAFkBAAC/BQAAAAA=&#10;" adj="10814">
                        <v:fill on="f" focussize="0,0"/>
                        <v:stroke weight="2pt" color="#000000 [3213]" joinstyle="round" endarrow="open"/>
                        <v:imagedata o:title=""/>
                        <o:lock v:ext="edit" aspectratio="f"/>
                      </v:shape>
                      <v:shape id="文本框 63" o:spid="_x0000_s1026" o:spt="202" type="#_x0000_t202" style="position:absolute;left:1886585;top:576580;height:318770;width:1485900;" fillcolor="#FFFFFF [3201]" filled="t" stroked="t" coordsize="21600,21600" o:gfxdata="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XQQLFNMAAAAFAQAADwAAAAAAAAABACAAAAAiAAAAZHJzL2Rvd25yZXYueG1sUEsBAhQAFAAAAAgA&#10;h07iQFPBCM9jAgAAxAQAAA4AAAAAAAAAAQAgAAAAIgEAAGRycy9lMm9Eb2MueG1sUEsFBgAAAAAG&#10;AAYAWQEAAPcFAAAAAA==&#10;">
                        <v:fill on="t" focussize="0,0"/>
                        <v:stroke weight="0.5pt" color="#000000 [3204]" joinstyle="round"/>
                        <v:imagedata o:title=""/>
                        <o:lock v:ext="edit" aspectratio="f"/>
                        <v:textbox>
                          <w:txbxContent>
                            <w:p w14:paraId="1EC00175">
                              <w:pPr>
                                <w:pStyle w:val="57"/>
                                <w:rPr>
                                  <w:lang w:val="en-US"/>
                                </w:rPr>
                              </w:pPr>
                              <w:r>
                                <w:rPr>
                                  <w:rFonts w:hint="eastAsia"/>
                                  <w:lang w:val="en-US"/>
                                </w:rPr>
                                <w:t>废水储罐</w:t>
                              </w:r>
                            </w:p>
                          </w:txbxContent>
                        </v:textbox>
                      </v:shape>
                      <v:shape id="直接箭头连接符 70" o:spid="_x0000_s1026" o:spt="32" type="#_x0000_t32" style="position:absolute;left:2656840;top:911860;height:394970;width:6985;" filled="f" stroked="t" coordsize="21600,21600" o:gfxdata="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Wjwnz1QAAAAUBAAAPAAAA&#10;AAAAAAEAIAAAACIAAABkcnMvZG93bnJldi54bWxQSwECFAAUAAAACACHTuJAwu5JPRgCAAD/AwAA&#10;DgAAAAAAAAABACAAAAAkAQAAZHJzL2Uyb0RvYy54bWxQSwUGAAAAAAYABgBZAQAArgUAAAAA&#10;">
                        <v:fill on="f" focussize="0,0"/>
                        <v:stroke weight="2pt" color="#000000 [3213]" joinstyle="round" endarrow="open"/>
                        <v:imagedata o:title=""/>
                        <o:lock v:ext="edit" aspectratio="f"/>
                      </v:shape>
                      <w10:wrap type="none"/>
                      <w10:anchorlock/>
                    </v:group>
                  </w:pict>
                </mc:Fallback>
              </mc:AlternateContent>
            </w:r>
          </w:p>
          <w:p w14:paraId="610278DA">
            <w:pPr>
              <w:pStyle w:val="57"/>
              <w:rPr>
                <w:lang w:val="en-US"/>
              </w:rPr>
            </w:pPr>
            <w:r>
              <w:rPr>
                <w:rFonts w:hint="eastAsia"/>
                <w:lang w:val="en-US"/>
              </w:rPr>
              <w:t>图4-2</w:t>
            </w:r>
            <w:r>
              <w:rPr>
                <w:rFonts w:hint="eastAsia"/>
              </w:rPr>
              <w:t>电解清洗废水“钨回收系统”装置</w:t>
            </w:r>
            <w:r>
              <w:rPr>
                <w:rFonts w:hint="eastAsia"/>
                <w:lang w:val="en-US"/>
              </w:rPr>
              <w:t>工艺流图</w:t>
            </w:r>
          </w:p>
          <w:p w14:paraId="36E31DEF">
            <w:pPr>
              <w:pStyle w:val="111"/>
              <w:rPr>
                <w:rFonts w:hint="default"/>
                <w:color w:val="auto"/>
              </w:rPr>
            </w:pPr>
            <w:r>
              <w:rPr>
                <w:color w:val="auto"/>
              </w:rPr>
              <w:t>“钨回收系统”工艺简介：电解清洗废水每日排水排至污水储罐暂存，然后泵送至蒸发干化涉笔，通过加热蒸发溶剂，使溶液由不饱和变为饱和，继续蒸发，过剩的溶质就会呈晶体析出，形成蒸发结晶。料液在一个蒸发器里，蒸发过程中，采用天然气加热，温度约140℃，根据废水特性，废水成分主要为钨酸钠溶液；废水进入蒸发器后，其中水分全部被蒸发，在蒸发器上部设置集气罩，</w:t>
            </w:r>
            <w:r>
              <w:rPr>
                <w:rFonts w:hint="eastAsia"/>
                <w:color w:val="auto"/>
                <w:lang w:eastAsia="zh-CN"/>
              </w:rPr>
              <w:t>水蒸气</w:t>
            </w:r>
            <w:r>
              <w:rPr>
                <w:color w:val="auto"/>
              </w:rPr>
              <w:t>收集至水封箱</w:t>
            </w:r>
            <w:r>
              <w:rPr>
                <w:rFonts w:hint="eastAsia"/>
                <w:color w:val="auto"/>
                <w:lang w:eastAsia="zh-CN"/>
              </w:rPr>
              <w:t>进行</w:t>
            </w:r>
            <w:r>
              <w:rPr>
                <w:color w:val="auto"/>
              </w:rPr>
              <w:t>冷凝，冷凝水通过2-8#车间DW001污水排放口排至园区化粪池，最终进入五丈原污水处理厂</w:t>
            </w:r>
            <w:r>
              <w:rPr>
                <w:rFonts w:hint="default"/>
                <w:color w:val="auto"/>
              </w:rPr>
              <w:t>。蒸发后得到钨酸钠杂盐</w:t>
            </w:r>
            <w:r>
              <w:rPr>
                <w:color w:val="auto"/>
              </w:rPr>
              <w:t>，</w:t>
            </w:r>
            <w:r>
              <w:rPr>
                <w:rFonts w:hint="default"/>
                <w:color w:val="auto"/>
              </w:rPr>
              <w:t>按照一般固体废物进行管理</w:t>
            </w:r>
            <w:r>
              <w:rPr>
                <w:color w:val="auto"/>
              </w:rPr>
              <w:t>。</w:t>
            </w:r>
          </w:p>
          <w:p w14:paraId="42003264">
            <w:pPr>
              <w:pStyle w:val="111"/>
              <w:rPr>
                <w:rFonts w:hint="default"/>
                <w:color w:val="auto"/>
              </w:rPr>
            </w:pPr>
            <w:r>
              <w:rPr>
                <w:color w:val="auto"/>
              </w:rPr>
              <w:t>项目“钨回收系统”日最大处理量为8m</w:t>
            </w:r>
            <w:r>
              <w:rPr>
                <w:color w:val="auto"/>
                <w:vertAlign w:val="superscript"/>
              </w:rPr>
              <w:t>3</w:t>
            </w:r>
            <w:r>
              <w:rPr>
                <w:color w:val="auto"/>
              </w:rPr>
              <w:t>/d，本项目废水进入“钨回收系统”废水量为2.159 8m</w:t>
            </w:r>
            <w:r>
              <w:rPr>
                <w:color w:val="auto"/>
                <w:vertAlign w:val="superscript"/>
              </w:rPr>
              <w:t>3</w:t>
            </w:r>
            <w:r>
              <w:rPr>
                <w:color w:val="auto"/>
              </w:rPr>
              <w:t>/d，可满足项目废水处理。</w:t>
            </w:r>
          </w:p>
          <w:p w14:paraId="1C99F4A1">
            <w:pPr>
              <w:spacing w:line="360" w:lineRule="auto"/>
              <w:ind w:firstLine="480" w:firstLineChars="200"/>
              <w:rPr>
                <w:kern w:val="18"/>
                <w:sz w:val="24"/>
              </w:rPr>
            </w:pPr>
            <w:r>
              <w:rPr>
                <w:kern w:val="18"/>
                <w:sz w:val="24"/>
              </w:rPr>
              <w:t>根据《排污许可证申请与核发技术规范 总则》（HJ 942-2018）中</w:t>
            </w:r>
            <w:r>
              <w:rPr>
                <w:rFonts w:hint="eastAsia"/>
                <w:kern w:val="18"/>
                <w:sz w:val="24"/>
              </w:rPr>
              <w:t>“</w:t>
            </w:r>
            <w:r>
              <w:rPr>
                <w:kern w:val="18"/>
                <w:sz w:val="24"/>
              </w:rPr>
              <w:t>4.5.3.1</w:t>
            </w:r>
            <w:r>
              <w:rPr>
                <w:rFonts w:hint="eastAsia"/>
                <w:kern w:val="18"/>
                <w:sz w:val="24"/>
              </w:rPr>
              <w:t>章节”相关内容</w:t>
            </w:r>
            <w:r>
              <w:rPr>
                <w:kern w:val="18"/>
                <w:sz w:val="24"/>
              </w:rPr>
              <w:t>，</w:t>
            </w:r>
            <w:r>
              <w:rPr>
                <w:rFonts w:hint="eastAsia"/>
                <w:kern w:val="18"/>
                <w:sz w:val="24"/>
              </w:rPr>
              <w:t>废水污染治理工艺分为一级处理（过滤、沉淀、气浮、其他），二级处理（</w:t>
            </w:r>
            <w:r>
              <w:rPr>
                <w:kern w:val="18"/>
                <w:sz w:val="24"/>
              </w:rPr>
              <w:t>A/O</w:t>
            </w:r>
            <w:r>
              <w:rPr>
                <w:rFonts w:hint="eastAsia"/>
                <w:kern w:val="18"/>
                <w:sz w:val="24"/>
              </w:rPr>
              <w:t>、</w:t>
            </w:r>
            <w:r>
              <w:rPr>
                <w:kern w:val="18"/>
                <w:sz w:val="24"/>
              </w:rPr>
              <w:t>A</w:t>
            </w:r>
            <w:r>
              <w:rPr>
                <w:kern w:val="18"/>
                <w:sz w:val="24"/>
                <w:vertAlign w:val="superscript"/>
              </w:rPr>
              <w:t>2</w:t>
            </w:r>
            <w:r>
              <w:rPr>
                <w:kern w:val="18"/>
                <w:sz w:val="24"/>
              </w:rPr>
              <w:t>/O</w:t>
            </w:r>
            <w:r>
              <w:rPr>
                <w:rFonts w:hint="eastAsia"/>
                <w:kern w:val="18"/>
                <w:sz w:val="24"/>
              </w:rPr>
              <w:t>、</w:t>
            </w:r>
            <w:r>
              <w:rPr>
                <w:kern w:val="18"/>
                <w:sz w:val="24"/>
              </w:rPr>
              <w:t>SBR</w:t>
            </w:r>
            <w:r>
              <w:rPr>
                <w:rFonts w:hint="eastAsia"/>
                <w:kern w:val="18"/>
                <w:sz w:val="24"/>
              </w:rPr>
              <w:t>、活性污泥法、生物接触氧化、其他）、深度处理（超滤</w:t>
            </w:r>
            <w:r>
              <w:rPr>
                <w:kern w:val="18"/>
                <w:sz w:val="24"/>
              </w:rPr>
              <w:t>/</w:t>
            </w:r>
            <w:r>
              <w:rPr>
                <w:rFonts w:hint="eastAsia"/>
                <w:kern w:val="18"/>
                <w:sz w:val="24"/>
              </w:rPr>
              <w:t>纳滤、反渗透、吸附过滤、蒸发结晶、其他）、其他</w:t>
            </w:r>
            <w:r>
              <w:rPr>
                <w:kern w:val="18"/>
                <w:sz w:val="24"/>
              </w:rPr>
              <w:t>。</w:t>
            </w:r>
            <w:r>
              <w:rPr>
                <w:rFonts w:hint="eastAsia"/>
                <w:kern w:val="18"/>
                <w:sz w:val="24"/>
              </w:rPr>
              <w:t>本项目</w:t>
            </w:r>
            <w:r>
              <w:rPr>
                <w:rStyle w:val="115"/>
                <w:rFonts w:hint="default"/>
                <w:color w:val="auto"/>
              </w:rPr>
              <w:t>厂区电解清洗废水采用工艺属于“</w:t>
            </w:r>
            <w:r>
              <w:rPr>
                <w:rFonts w:hint="eastAsia"/>
                <w:kern w:val="18"/>
                <w:sz w:val="24"/>
              </w:rPr>
              <w:t>蒸发结晶</w:t>
            </w:r>
            <w:r>
              <w:rPr>
                <w:rStyle w:val="115"/>
                <w:rFonts w:hint="default"/>
                <w:color w:val="auto"/>
              </w:rPr>
              <w:t>”工艺，属于可行性技</w:t>
            </w:r>
            <w:r>
              <w:rPr>
                <w:kern w:val="18"/>
                <w:sz w:val="24"/>
              </w:rPr>
              <w:t>术</w:t>
            </w:r>
            <w:r>
              <w:rPr>
                <w:rFonts w:hint="eastAsia"/>
                <w:kern w:val="18"/>
                <w:sz w:val="24"/>
              </w:rPr>
              <w:t>。</w:t>
            </w:r>
          </w:p>
          <w:p w14:paraId="594A9735">
            <w:pPr>
              <w:pStyle w:val="111"/>
              <w:rPr>
                <w:rFonts w:hint="default"/>
                <w:color w:val="auto"/>
              </w:rPr>
            </w:pPr>
            <w:r>
              <w:rPr>
                <w:color w:val="auto"/>
              </w:rPr>
              <w:t>同时类比建设单位总公司杨凌美畅新材料股份有限公司《钨丝生产线扩建项目》，采用与本项目相同的“蒸发+冷凝”工艺，回收废水中钨酸钠作为一般固废外售，冷凝水满足纳管标准。</w:t>
            </w:r>
          </w:p>
          <w:p w14:paraId="1D97BA7A">
            <w:pPr>
              <w:pStyle w:val="111"/>
              <w:ind w:firstLine="482"/>
              <w:rPr>
                <w:rFonts w:hint="default"/>
                <w:b/>
                <w:bCs/>
                <w:color w:val="auto"/>
              </w:rPr>
            </w:pPr>
            <w:r>
              <w:rPr>
                <w:b/>
                <w:bCs/>
                <w:color w:val="auto"/>
              </w:rPr>
              <w:t>（3）污水处理厂接纳污水的可行性分析</w:t>
            </w:r>
          </w:p>
          <w:p w14:paraId="60D99536">
            <w:pPr>
              <w:pStyle w:val="111"/>
              <w:rPr>
                <w:rFonts w:hint="default"/>
                <w:color w:val="auto"/>
              </w:rPr>
            </w:pPr>
            <w:r>
              <w:rPr>
                <w:color w:val="auto"/>
              </w:rPr>
              <w:t>①五丈原污水处理厂概况</w:t>
            </w:r>
          </w:p>
          <w:p w14:paraId="163E2FFB">
            <w:pPr>
              <w:pStyle w:val="111"/>
              <w:rPr>
                <w:rFonts w:hint="default"/>
                <w:color w:val="auto"/>
              </w:rPr>
            </w:pPr>
            <w:r>
              <w:rPr>
                <w:color w:val="auto"/>
              </w:rPr>
              <w:t>五丈原污水处理厂位于宝鸡蔡家坡渭河南岸五丈原片区，该项目已于2017年6月26日取得了宝鸡市环境保护局岐山分局的批复，批复文号宝环岐函〔2017〕85号。污水处理厂北临滨河南路南侧50m绿化带，南临德馨路北侧20m绿化带，东临华明村耕地，西临规划兴业路，主要服务陕西省宝鸡市蔡家坡经济技术开发区渭河南岸区域。</w:t>
            </w:r>
          </w:p>
          <w:p w14:paraId="6AC37138">
            <w:pPr>
              <w:pStyle w:val="111"/>
              <w:rPr>
                <w:rFonts w:hint="default"/>
                <w:color w:val="auto"/>
              </w:rPr>
            </w:pPr>
            <w:r>
              <w:rPr>
                <w:color w:val="auto"/>
              </w:rPr>
              <w:t>②接管可行性分析</w:t>
            </w:r>
          </w:p>
          <w:p w14:paraId="66DB64A8">
            <w:pPr>
              <w:pStyle w:val="111"/>
              <w:rPr>
                <w:rFonts w:hint="default"/>
                <w:color w:val="auto"/>
              </w:rPr>
            </w:pPr>
            <w:r>
              <w:rPr>
                <w:color w:val="auto"/>
              </w:rPr>
              <w:t>五丈原污水处理厂与本项目直线距离4.86km，设计总处理能力为6.0万m³/d，一期设计处理能力为2.0万m³/d，工艺采用改良A2/O水处理工艺，出水标准执行《城镇污水处理厂污染物排放标准》及中一级A标准，目前已投运。配套收水管网分A、B两段，总长度14034m，目前本项目南侧站前大道管网已铺设到位。因此本项目产生的污水纳入园区污水管网是可行的。</w:t>
            </w:r>
          </w:p>
          <w:p w14:paraId="09B16FC7">
            <w:pPr>
              <w:pStyle w:val="111"/>
              <w:rPr>
                <w:rFonts w:hint="default"/>
                <w:color w:val="auto"/>
              </w:rPr>
            </w:pPr>
            <w:r>
              <w:rPr>
                <w:color w:val="auto"/>
              </w:rPr>
              <w:t>③水质、水量可行性分析</w:t>
            </w:r>
          </w:p>
          <w:p w14:paraId="7719EA99">
            <w:pPr>
              <w:pStyle w:val="111"/>
              <w:rPr>
                <w:rFonts w:hint="default"/>
                <w:color w:val="auto"/>
              </w:rPr>
            </w:pPr>
            <w:r>
              <w:rPr>
                <w:color w:val="auto"/>
              </w:rPr>
              <w:t>企业排放废水经厂区内的污水处理站处理后浓度满足《污水综合排放标准》</w:t>
            </w:r>
          </w:p>
          <w:p w14:paraId="3849F076">
            <w:pPr>
              <w:pStyle w:val="111"/>
              <w:ind w:firstLine="0" w:firstLineChars="0"/>
              <w:rPr>
                <w:rFonts w:hint="default"/>
                <w:color w:val="auto"/>
              </w:rPr>
            </w:pPr>
            <w:r>
              <w:rPr>
                <w:color w:val="auto"/>
              </w:rPr>
              <w:t>（GB8978-1996）表4中的三级标准及《污水排入城镇下水道水质标准》（GB/T31962-2015）B级标准，符合污水处理厂进水要求，根据初步设计资料，该污水处理厂设计收集五丈原社区及周边村庄生活污水，法士特、陕汽、通力等企业生产废水，初步核算废水量为1.6万~1.8万m</w:t>
            </w:r>
            <w:r>
              <w:rPr>
                <w:color w:val="auto"/>
                <w:vertAlign w:val="superscript"/>
              </w:rPr>
              <w:t>3</w:t>
            </w:r>
            <w:r>
              <w:rPr>
                <w:color w:val="auto"/>
              </w:rPr>
              <w:t>/d。本项目外排废水量</w:t>
            </w:r>
            <w:r>
              <w:rPr>
                <w:rFonts w:hint="eastAsia"/>
                <w:color w:val="auto"/>
                <w:lang w:val="en-US" w:eastAsia="zh-CN"/>
              </w:rPr>
              <w:t>1.67</w:t>
            </w:r>
            <w:r>
              <w:rPr>
                <w:color w:val="auto"/>
              </w:rPr>
              <w:t>m</w:t>
            </w:r>
            <w:r>
              <w:rPr>
                <w:color w:val="auto"/>
                <w:vertAlign w:val="superscript"/>
              </w:rPr>
              <w:t>3</w:t>
            </w:r>
            <w:r>
              <w:rPr>
                <w:color w:val="auto"/>
              </w:rPr>
              <w:t>/d，所以五丈原污水处理厂剩余处理能力足够消纳本项目污水排放量，且排水量不会对该污水处理厂产生水量冲击。</w:t>
            </w:r>
          </w:p>
          <w:p w14:paraId="079AA288">
            <w:pPr>
              <w:pStyle w:val="111"/>
              <w:rPr>
                <w:rFonts w:hint="default"/>
                <w:color w:val="auto"/>
              </w:rPr>
            </w:pPr>
            <w:r>
              <w:rPr>
                <w:color w:val="auto"/>
              </w:rPr>
              <w:t>根据项目现场踏勘，项目所在区属于污水处理厂收水范围，且项目地污水管网已经铺设到位，因此，本项目生活污水经化粪池处理后排入五丈原污水处理厂措施可行。五丈原污水处理厂已于2021年10月20日正式运行，故依托可行。</w:t>
            </w:r>
          </w:p>
          <w:p w14:paraId="5259EFB5">
            <w:pPr>
              <w:pStyle w:val="111"/>
              <w:rPr>
                <w:rFonts w:hint="default"/>
                <w:color w:val="auto"/>
              </w:rPr>
            </w:pPr>
            <w:r>
              <w:rPr>
                <w:rFonts w:hint="default"/>
                <w:color w:val="auto"/>
              </w:rPr>
              <w:t>综上所述，采取上述保障措施后，本项目污水对地表水体影响较小，污水处理措施在经济、技术角度上合理可行。</w:t>
            </w:r>
          </w:p>
          <w:p w14:paraId="5F4DC459">
            <w:pPr>
              <w:pStyle w:val="111"/>
              <w:wordWrap w:val="0"/>
              <w:ind w:firstLine="482"/>
              <w:rPr>
                <w:rFonts w:hint="default"/>
                <w:b/>
                <w:bCs/>
                <w:color w:val="auto"/>
              </w:rPr>
            </w:pPr>
            <w:r>
              <w:rPr>
                <w:rFonts w:hint="eastAsia"/>
                <w:b/>
                <w:bCs/>
                <w:color w:val="auto"/>
                <w:lang w:eastAsia="zh-CN"/>
              </w:rPr>
              <w:t>3.</w:t>
            </w:r>
            <w:r>
              <w:rPr>
                <w:rFonts w:hint="default"/>
                <w:b/>
                <w:bCs/>
                <w:color w:val="auto"/>
              </w:rPr>
              <w:t>监测计划</w:t>
            </w:r>
          </w:p>
          <w:p w14:paraId="4572831E">
            <w:pPr>
              <w:pStyle w:val="111"/>
              <w:wordWrap w:val="0"/>
              <w:rPr>
                <w:rFonts w:hint="default"/>
                <w:color w:val="auto"/>
              </w:rPr>
            </w:pPr>
            <w:r>
              <w:rPr>
                <w:rFonts w:hint="default"/>
                <w:color w:val="auto"/>
              </w:rPr>
              <w:t>根据排污许可技术指南，生活污水化粪池预处理后排入污水管网，生活污水设置单独的污水排放口，可不检测。生产废水经污水处理设施处理后进入污水管网。参考</w:t>
            </w:r>
            <w:r>
              <w:rPr>
                <w:color w:val="auto"/>
              </w:rPr>
              <w:t>《</w:t>
            </w:r>
            <w:r>
              <w:rPr>
                <w:rFonts w:hint="default"/>
                <w:color w:val="auto"/>
              </w:rPr>
              <w:t>排污许可证申请与核发技术规范总则</w:t>
            </w:r>
            <w:r>
              <w:rPr>
                <w:color w:val="auto"/>
              </w:rPr>
              <w:t>》（</w:t>
            </w:r>
            <w:r>
              <w:rPr>
                <w:rFonts w:hint="default"/>
                <w:color w:val="auto"/>
              </w:rPr>
              <w:t>HJ942-2018</w:t>
            </w:r>
            <w:r>
              <w:rPr>
                <w:color w:val="auto"/>
              </w:rPr>
              <w:t>）、《</w:t>
            </w:r>
            <w:r>
              <w:rPr>
                <w:rFonts w:hint="default"/>
                <w:color w:val="auto"/>
              </w:rPr>
              <w:t>排污许可证申请与核发技术规范工业炉窑</w:t>
            </w:r>
            <w:r>
              <w:rPr>
                <w:color w:val="auto"/>
              </w:rPr>
              <w:t>》（</w:t>
            </w:r>
            <w:r>
              <w:rPr>
                <w:rFonts w:hint="default"/>
                <w:color w:val="auto"/>
              </w:rPr>
              <w:t>HJ1121-2020</w:t>
            </w:r>
            <w:r>
              <w:rPr>
                <w:color w:val="auto"/>
              </w:rPr>
              <w:t>），</w:t>
            </w:r>
            <w:r>
              <w:rPr>
                <w:rFonts w:hint="default"/>
                <w:color w:val="auto"/>
              </w:rPr>
              <w:t>本评价建议环境监测计划见表4-</w:t>
            </w:r>
            <w:r>
              <w:rPr>
                <w:rFonts w:hint="eastAsia"/>
                <w:color w:val="auto"/>
                <w:lang w:val="en-US" w:eastAsia="zh-CN"/>
              </w:rPr>
              <w:t>6</w:t>
            </w:r>
            <w:r>
              <w:rPr>
                <w:rFonts w:hint="default"/>
                <w:color w:val="auto"/>
              </w:rPr>
              <w:t>。</w:t>
            </w:r>
          </w:p>
          <w:p w14:paraId="551CE83E">
            <w:pPr>
              <w:pStyle w:val="57"/>
              <w:wordWrap w:val="0"/>
              <w:rPr>
                <w:lang w:val="en-US"/>
              </w:rPr>
            </w:pPr>
            <w:r>
              <w:rPr>
                <w:rFonts w:hint="eastAsia"/>
                <w:lang w:val="en-US"/>
              </w:rPr>
              <w:t>表4-</w:t>
            </w:r>
            <w:r>
              <w:rPr>
                <w:rFonts w:hint="eastAsia"/>
                <w:lang w:val="en-US" w:eastAsia="zh-CN"/>
              </w:rPr>
              <w:t>6</w:t>
            </w:r>
            <w:r>
              <w:rPr>
                <w:rFonts w:hint="eastAsia"/>
                <w:lang w:val="en-US"/>
              </w:rPr>
              <w:t>废水监测计划</w:t>
            </w:r>
          </w:p>
          <w:tbl>
            <w:tblPr>
              <w:tblStyle w:val="35"/>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113"/>
              <w:gridCol w:w="1700"/>
              <w:gridCol w:w="1175"/>
              <w:gridCol w:w="1382"/>
              <w:gridCol w:w="2048"/>
              <w:gridCol w:w="1142"/>
            </w:tblGrid>
            <w:tr w14:paraId="0B746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3" w:type="dxa"/>
                  <w:tcBorders>
                    <w:tl2br w:val="nil"/>
                    <w:tr2bl w:val="nil"/>
                  </w:tcBorders>
                  <w:vAlign w:val="center"/>
                </w:tcPr>
                <w:p w14:paraId="51068444">
                  <w:pPr>
                    <w:pStyle w:val="57"/>
                    <w:rPr>
                      <w:b w:val="0"/>
                      <w:bCs/>
                    </w:rPr>
                  </w:pPr>
                  <w:r>
                    <w:rPr>
                      <w:b w:val="0"/>
                      <w:bCs/>
                    </w:rPr>
                    <w:t>序号</w:t>
                  </w:r>
                </w:p>
              </w:tc>
              <w:tc>
                <w:tcPr>
                  <w:tcW w:w="1113" w:type="dxa"/>
                  <w:tcBorders>
                    <w:tl2br w:val="nil"/>
                    <w:tr2bl w:val="nil"/>
                  </w:tcBorders>
                  <w:vAlign w:val="center"/>
                </w:tcPr>
                <w:p w14:paraId="020CF435">
                  <w:pPr>
                    <w:pStyle w:val="57"/>
                    <w:rPr>
                      <w:b w:val="0"/>
                      <w:bCs/>
                    </w:rPr>
                  </w:pPr>
                  <w:r>
                    <w:rPr>
                      <w:b w:val="0"/>
                      <w:bCs/>
                    </w:rPr>
                    <w:t>监测项目</w:t>
                  </w:r>
                </w:p>
              </w:tc>
              <w:tc>
                <w:tcPr>
                  <w:tcW w:w="1700" w:type="dxa"/>
                  <w:tcBorders>
                    <w:tl2br w:val="nil"/>
                    <w:tr2bl w:val="nil"/>
                  </w:tcBorders>
                  <w:vAlign w:val="center"/>
                </w:tcPr>
                <w:p w14:paraId="46013E04">
                  <w:pPr>
                    <w:pStyle w:val="57"/>
                    <w:rPr>
                      <w:b w:val="0"/>
                      <w:bCs/>
                    </w:rPr>
                  </w:pPr>
                  <w:r>
                    <w:rPr>
                      <w:b w:val="0"/>
                      <w:bCs/>
                    </w:rPr>
                    <w:t>监测内容</w:t>
                  </w:r>
                </w:p>
              </w:tc>
              <w:tc>
                <w:tcPr>
                  <w:tcW w:w="1175" w:type="dxa"/>
                  <w:tcBorders>
                    <w:tl2br w:val="nil"/>
                    <w:tr2bl w:val="nil"/>
                  </w:tcBorders>
                  <w:vAlign w:val="center"/>
                </w:tcPr>
                <w:p w14:paraId="38B4F21A">
                  <w:pPr>
                    <w:pStyle w:val="57"/>
                    <w:rPr>
                      <w:b w:val="0"/>
                      <w:bCs/>
                    </w:rPr>
                  </w:pPr>
                  <w:r>
                    <w:rPr>
                      <w:b w:val="0"/>
                      <w:bCs/>
                    </w:rPr>
                    <w:t>检测频次</w:t>
                  </w:r>
                </w:p>
              </w:tc>
              <w:tc>
                <w:tcPr>
                  <w:tcW w:w="1382" w:type="dxa"/>
                  <w:tcBorders>
                    <w:tl2br w:val="nil"/>
                    <w:tr2bl w:val="nil"/>
                  </w:tcBorders>
                  <w:vAlign w:val="center"/>
                </w:tcPr>
                <w:p w14:paraId="10B8A757">
                  <w:pPr>
                    <w:pStyle w:val="57"/>
                    <w:rPr>
                      <w:b w:val="0"/>
                      <w:bCs/>
                    </w:rPr>
                  </w:pPr>
                  <w:r>
                    <w:rPr>
                      <w:b w:val="0"/>
                      <w:bCs/>
                    </w:rPr>
                    <w:t>监测点</w:t>
                  </w:r>
                  <w:r>
                    <w:rPr>
                      <w:rFonts w:hint="eastAsia"/>
                      <w:b w:val="0"/>
                      <w:bCs/>
                    </w:rPr>
                    <w:t>位</w:t>
                  </w:r>
                </w:p>
              </w:tc>
              <w:tc>
                <w:tcPr>
                  <w:tcW w:w="2048" w:type="dxa"/>
                  <w:tcBorders>
                    <w:tl2br w:val="nil"/>
                    <w:tr2bl w:val="nil"/>
                  </w:tcBorders>
                  <w:vAlign w:val="center"/>
                </w:tcPr>
                <w:p w14:paraId="16F86A8F">
                  <w:pPr>
                    <w:pStyle w:val="57"/>
                    <w:rPr>
                      <w:b w:val="0"/>
                      <w:bCs/>
                      <w:lang w:val="en-US"/>
                    </w:rPr>
                  </w:pPr>
                  <w:r>
                    <w:rPr>
                      <w:rFonts w:hint="eastAsia"/>
                      <w:b w:val="0"/>
                      <w:bCs/>
                      <w:lang w:val="en-US"/>
                    </w:rPr>
                    <w:t>执行标准</w:t>
                  </w:r>
                </w:p>
              </w:tc>
              <w:tc>
                <w:tcPr>
                  <w:tcW w:w="1142" w:type="dxa"/>
                  <w:tcBorders>
                    <w:tl2br w:val="nil"/>
                    <w:tr2bl w:val="nil"/>
                  </w:tcBorders>
                  <w:vAlign w:val="center"/>
                </w:tcPr>
                <w:p w14:paraId="531C9B08">
                  <w:pPr>
                    <w:pStyle w:val="57"/>
                    <w:rPr>
                      <w:b w:val="0"/>
                      <w:bCs/>
                    </w:rPr>
                  </w:pPr>
                  <w:r>
                    <w:rPr>
                      <w:b w:val="0"/>
                      <w:bCs/>
                    </w:rPr>
                    <w:t>监测单位</w:t>
                  </w:r>
                </w:p>
              </w:tc>
            </w:tr>
            <w:tr w14:paraId="6E984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3" w:type="dxa"/>
                  <w:tcBorders>
                    <w:tl2br w:val="nil"/>
                    <w:tr2bl w:val="nil"/>
                  </w:tcBorders>
                  <w:vAlign w:val="center"/>
                </w:tcPr>
                <w:p w14:paraId="0C7D02B4">
                  <w:pPr>
                    <w:pStyle w:val="57"/>
                    <w:rPr>
                      <w:b w:val="0"/>
                      <w:bCs/>
                      <w:lang w:val="en-US"/>
                    </w:rPr>
                  </w:pPr>
                  <w:r>
                    <w:rPr>
                      <w:rFonts w:hint="eastAsia"/>
                      <w:b w:val="0"/>
                      <w:bCs/>
                      <w:lang w:val="en-US"/>
                    </w:rPr>
                    <w:t>1</w:t>
                  </w:r>
                </w:p>
              </w:tc>
              <w:tc>
                <w:tcPr>
                  <w:tcW w:w="1113" w:type="dxa"/>
                  <w:tcBorders>
                    <w:tl2br w:val="nil"/>
                    <w:tr2bl w:val="nil"/>
                  </w:tcBorders>
                  <w:vAlign w:val="center"/>
                </w:tcPr>
                <w:p w14:paraId="32DD7E05">
                  <w:pPr>
                    <w:pStyle w:val="57"/>
                    <w:rPr>
                      <w:b w:val="0"/>
                      <w:bCs/>
                    </w:rPr>
                  </w:pPr>
                  <w:r>
                    <w:rPr>
                      <w:rFonts w:hint="eastAsia"/>
                      <w:b w:val="0"/>
                      <w:bCs/>
                      <w:lang w:val="en-US"/>
                    </w:rPr>
                    <w:t>生产废水</w:t>
                  </w:r>
                </w:p>
              </w:tc>
              <w:tc>
                <w:tcPr>
                  <w:tcW w:w="1700" w:type="dxa"/>
                  <w:tcBorders>
                    <w:tl2br w:val="nil"/>
                    <w:tr2bl w:val="nil"/>
                  </w:tcBorders>
                  <w:vAlign w:val="center"/>
                </w:tcPr>
                <w:p w14:paraId="76385C5B">
                  <w:pPr>
                    <w:pStyle w:val="57"/>
                    <w:rPr>
                      <w:b w:val="0"/>
                      <w:bCs/>
                      <w:lang w:val="en-US"/>
                    </w:rPr>
                  </w:pPr>
                  <w:r>
                    <w:rPr>
                      <w:rFonts w:hint="eastAsia"/>
                      <w:b w:val="0"/>
                      <w:bCs/>
                    </w:rPr>
                    <w:t>pH、COD、SS、石油类</w:t>
                  </w:r>
                </w:p>
              </w:tc>
              <w:tc>
                <w:tcPr>
                  <w:tcW w:w="1175" w:type="dxa"/>
                  <w:tcBorders>
                    <w:tl2br w:val="nil"/>
                    <w:tr2bl w:val="nil"/>
                  </w:tcBorders>
                  <w:vAlign w:val="center"/>
                </w:tcPr>
                <w:p w14:paraId="6B3C0764">
                  <w:pPr>
                    <w:pStyle w:val="57"/>
                    <w:rPr>
                      <w:b w:val="0"/>
                      <w:bCs/>
                    </w:rPr>
                  </w:pPr>
                  <w:r>
                    <w:rPr>
                      <w:rFonts w:hint="eastAsia"/>
                      <w:b w:val="0"/>
                      <w:bCs/>
                      <w:lang w:val="en-US"/>
                    </w:rPr>
                    <w:t>1次/</w:t>
                  </w:r>
                  <w:r>
                    <w:rPr>
                      <w:b w:val="0"/>
                      <w:bCs/>
                    </w:rPr>
                    <w:t>年</w:t>
                  </w:r>
                </w:p>
              </w:tc>
              <w:tc>
                <w:tcPr>
                  <w:tcW w:w="1382" w:type="dxa"/>
                  <w:tcBorders>
                    <w:tl2br w:val="nil"/>
                    <w:tr2bl w:val="nil"/>
                  </w:tcBorders>
                  <w:vAlign w:val="center"/>
                </w:tcPr>
                <w:p w14:paraId="78F47CBD">
                  <w:pPr>
                    <w:pStyle w:val="57"/>
                    <w:rPr>
                      <w:b w:val="0"/>
                      <w:bCs/>
                      <w:lang w:val="en-US"/>
                    </w:rPr>
                  </w:pPr>
                  <w:r>
                    <w:rPr>
                      <w:b w:val="0"/>
                      <w:bCs/>
                      <w:lang w:val="en-US"/>
                    </w:rPr>
                    <w:t>DW001</w:t>
                  </w:r>
                </w:p>
                <w:p w14:paraId="566250C6">
                  <w:pPr>
                    <w:pStyle w:val="57"/>
                    <w:rPr>
                      <w:b w:val="0"/>
                      <w:bCs/>
                      <w:lang w:val="en-US"/>
                    </w:rPr>
                  </w:pPr>
                  <w:r>
                    <w:rPr>
                      <w:b w:val="0"/>
                      <w:bCs/>
                      <w:lang w:val="en-US"/>
                    </w:rPr>
                    <w:t>2-8车间排放口</w:t>
                  </w:r>
                </w:p>
              </w:tc>
              <w:tc>
                <w:tcPr>
                  <w:tcW w:w="2048" w:type="dxa"/>
                  <w:tcBorders>
                    <w:tl2br w:val="nil"/>
                    <w:tr2bl w:val="nil"/>
                  </w:tcBorders>
                  <w:vAlign w:val="center"/>
                </w:tcPr>
                <w:p w14:paraId="14C1AE59">
                  <w:pPr>
                    <w:pStyle w:val="57"/>
                    <w:rPr>
                      <w:b w:val="0"/>
                      <w:bCs/>
                    </w:rPr>
                  </w:pPr>
                  <w:r>
                    <w:rPr>
                      <w:rFonts w:hint="eastAsia"/>
                      <w:b w:val="0"/>
                      <w:bCs/>
                    </w:rPr>
                    <w:t>《污水综合排放标准》（GB8978-1996）中三级标准</w:t>
                  </w:r>
                </w:p>
              </w:tc>
              <w:tc>
                <w:tcPr>
                  <w:tcW w:w="1142" w:type="dxa"/>
                  <w:tcBorders>
                    <w:tl2br w:val="nil"/>
                    <w:tr2bl w:val="nil"/>
                  </w:tcBorders>
                  <w:vAlign w:val="center"/>
                </w:tcPr>
                <w:p w14:paraId="654A4DD1">
                  <w:pPr>
                    <w:pStyle w:val="57"/>
                    <w:rPr>
                      <w:b w:val="0"/>
                      <w:bCs/>
                    </w:rPr>
                  </w:pPr>
                  <w:r>
                    <w:rPr>
                      <w:b w:val="0"/>
                      <w:bCs/>
                    </w:rPr>
                    <w:t>委托检测</w:t>
                  </w:r>
                </w:p>
              </w:tc>
            </w:tr>
          </w:tbl>
          <w:p w14:paraId="621CD2F4">
            <w:pPr>
              <w:pStyle w:val="29"/>
              <w:wordWrap w:val="0"/>
              <w:ind w:left="0" w:leftChars="0" w:firstLine="0" w:firstLineChars="0"/>
              <w:rPr>
                <w:b/>
                <w:bCs/>
                <w:szCs w:val="24"/>
              </w:rPr>
            </w:pPr>
            <w:r>
              <w:rPr>
                <w:rFonts w:hint="eastAsia"/>
                <w:b/>
                <w:bCs/>
                <w:szCs w:val="24"/>
              </w:rPr>
              <w:t>三、噪声</w:t>
            </w:r>
          </w:p>
          <w:p w14:paraId="06D5C890">
            <w:pPr>
              <w:pStyle w:val="111"/>
              <w:ind w:firstLine="482"/>
              <w:rPr>
                <w:rFonts w:hint="default"/>
                <w:b/>
                <w:bCs/>
                <w:color w:val="auto"/>
              </w:rPr>
            </w:pPr>
            <w:r>
              <w:rPr>
                <w:rFonts w:hint="eastAsia"/>
                <w:b/>
                <w:bCs/>
                <w:color w:val="auto"/>
                <w:lang w:eastAsia="zh-CN"/>
              </w:rPr>
              <w:t>1.</w:t>
            </w:r>
            <w:r>
              <w:rPr>
                <w:b/>
                <w:bCs/>
                <w:color w:val="auto"/>
              </w:rPr>
              <w:t>噪声源强</w:t>
            </w:r>
          </w:p>
          <w:p w14:paraId="527C01B2">
            <w:pPr>
              <w:pStyle w:val="111"/>
              <w:rPr>
                <w:rFonts w:hint="default"/>
                <w:color w:val="auto"/>
              </w:rPr>
            </w:pPr>
            <w:r>
              <w:rPr>
                <w:color w:val="auto"/>
              </w:rPr>
              <w:t>本项目运营期主要噪声源为本次扩建新增设备运行过程中产生的机械噪声。根据《环境影响评价技术导则声环境》（HJ2.4—2021）中附录D的推荐表格进行声源调查，以2-8车间西南角为坐标原点建立坐标系，主要声源声级值详见下表。</w:t>
            </w:r>
          </w:p>
          <w:p w14:paraId="7A59EB24">
            <w:pPr>
              <w:pStyle w:val="57"/>
            </w:pPr>
            <w:r>
              <w:t>表4-</w:t>
            </w:r>
            <w:r>
              <w:rPr>
                <w:rFonts w:hint="eastAsia"/>
                <w:lang w:val="en-US" w:eastAsia="zh-CN"/>
              </w:rPr>
              <w:t>7</w:t>
            </w:r>
            <w:r>
              <w:t>噪声源声级值（室内声源）</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529"/>
              <w:gridCol w:w="873"/>
              <w:gridCol w:w="934"/>
              <w:gridCol w:w="559"/>
              <w:gridCol w:w="485"/>
              <w:gridCol w:w="383"/>
              <w:gridCol w:w="452"/>
              <w:gridCol w:w="804"/>
              <w:gridCol w:w="868"/>
              <w:gridCol w:w="708"/>
              <w:gridCol w:w="850"/>
              <w:gridCol w:w="1087"/>
              <w:gridCol w:w="470"/>
            </w:tblGrid>
            <w:tr w14:paraId="0C350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9" w:type="pct"/>
                  <w:vMerge w:val="restart"/>
                  <w:vAlign w:val="center"/>
                </w:tcPr>
                <w:p w14:paraId="669ED058">
                  <w:pPr>
                    <w:wordWrap w:val="0"/>
                    <w:jc w:val="center"/>
                    <w:rPr>
                      <w:b/>
                      <w:szCs w:val="21"/>
                    </w:rPr>
                  </w:pPr>
                  <w:r>
                    <w:rPr>
                      <w:rFonts w:hint="eastAsia"/>
                      <w:b/>
                      <w:szCs w:val="21"/>
                    </w:rPr>
                    <w:t>序号</w:t>
                  </w:r>
                </w:p>
              </w:tc>
              <w:tc>
                <w:tcPr>
                  <w:tcW w:w="278" w:type="pct"/>
                  <w:vMerge w:val="restart"/>
                  <w:vAlign w:val="center"/>
                </w:tcPr>
                <w:p w14:paraId="75AB9B01">
                  <w:pPr>
                    <w:wordWrap w:val="0"/>
                    <w:jc w:val="center"/>
                    <w:rPr>
                      <w:b/>
                      <w:szCs w:val="21"/>
                    </w:rPr>
                  </w:pPr>
                  <w:r>
                    <w:rPr>
                      <w:rFonts w:hint="eastAsia"/>
                      <w:b/>
                      <w:szCs w:val="21"/>
                    </w:rPr>
                    <w:t>建筑物名称</w:t>
                  </w:r>
                </w:p>
              </w:tc>
              <w:tc>
                <w:tcPr>
                  <w:tcW w:w="458" w:type="pct"/>
                  <w:vMerge w:val="restart"/>
                  <w:vAlign w:val="center"/>
                </w:tcPr>
                <w:p w14:paraId="536669CD">
                  <w:pPr>
                    <w:wordWrap w:val="0"/>
                    <w:jc w:val="center"/>
                    <w:rPr>
                      <w:b/>
                      <w:szCs w:val="21"/>
                    </w:rPr>
                  </w:pPr>
                  <w:r>
                    <w:rPr>
                      <w:rFonts w:hint="eastAsia"/>
                      <w:b/>
                      <w:szCs w:val="21"/>
                    </w:rPr>
                    <w:t>声源名称</w:t>
                  </w:r>
                </w:p>
              </w:tc>
              <w:tc>
                <w:tcPr>
                  <w:tcW w:w="490" w:type="pct"/>
                  <w:vAlign w:val="center"/>
                </w:tcPr>
                <w:p w14:paraId="1AF5C1CE">
                  <w:pPr>
                    <w:wordWrap w:val="0"/>
                    <w:jc w:val="center"/>
                    <w:rPr>
                      <w:b/>
                      <w:szCs w:val="21"/>
                    </w:rPr>
                  </w:pPr>
                  <w:r>
                    <w:rPr>
                      <w:rFonts w:hint="eastAsia"/>
                      <w:b/>
                      <w:szCs w:val="21"/>
                    </w:rPr>
                    <w:t>声源源强</w:t>
                  </w:r>
                </w:p>
              </w:tc>
              <w:tc>
                <w:tcPr>
                  <w:tcW w:w="294" w:type="pct"/>
                  <w:vMerge w:val="restart"/>
                  <w:vAlign w:val="center"/>
                </w:tcPr>
                <w:p w14:paraId="6118B7A1">
                  <w:pPr>
                    <w:wordWrap w:val="0"/>
                    <w:jc w:val="center"/>
                    <w:rPr>
                      <w:b/>
                      <w:szCs w:val="21"/>
                    </w:rPr>
                  </w:pPr>
                  <w:r>
                    <w:rPr>
                      <w:rFonts w:hint="eastAsia"/>
                      <w:b/>
                      <w:szCs w:val="21"/>
                    </w:rPr>
                    <w:t>声源控制措施</w:t>
                  </w:r>
                </w:p>
              </w:tc>
              <w:tc>
                <w:tcPr>
                  <w:tcW w:w="693" w:type="pct"/>
                  <w:gridSpan w:val="3"/>
                  <w:vAlign w:val="center"/>
                </w:tcPr>
                <w:p w14:paraId="0C497362">
                  <w:pPr>
                    <w:wordWrap w:val="0"/>
                    <w:jc w:val="center"/>
                    <w:rPr>
                      <w:b/>
                      <w:szCs w:val="21"/>
                    </w:rPr>
                  </w:pPr>
                  <w:r>
                    <w:rPr>
                      <w:rFonts w:hint="eastAsia"/>
                      <w:b/>
                      <w:szCs w:val="21"/>
                    </w:rPr>
                    <w:t>空间相对位置/m</w:t>
                  </w:r>
                </w:p>
              </w:tc>
              <w:tc>
                <w:tcPr>
                  <w:tcW w:w="422" w:type="pct"/>
                  <w:vMerge w:val="restart"/>
                  <w:vAlign w:val="center"/>
                </w:tcPr>
                <w:p w14:paraId="78DC2C8C">
                  <w:pPr>
                    <w:wordWrap w:val="0"/>
                    <w:jc w:val="center"/>
                    <w:rPr>
                      <w:b/>
                      <w:szCs w:val="21"/>
                    </w:rPr>
                  </w:pPr>
                  <w:r>
                    <w:rPr>
                      <w:rFonts w:hint="eastAsia"/>
                      <w:b/>
                      <w:szCs w:val="21"/>
                    </w:rPr>
                    <w:t>距室内边界距离/m</w:t>
                  </w:r>
                </w:p>
              </w:tc>
              <w:tc>
                <w:tcPr>
                  <w:tcW w:w="455" w:type="pct"/>
                  <w:vMerge w:val="restart"/>
                  <w:vAlign w:val="center"/>
                </w:tcPr>
                <w:p w14:paraId="31A5EEAC">
                  <w:pPr>
                    <w:wordWrap w:val="0"/>
                    <w:jc w:val="center"/>
                    <w:rPr>
                      <w:b/>
                      <w:szCs w:val="21"/>
                    </w:rPr>
                  </w:pPr>
                  <w:r>
                    <w:rPr>
                      <w:rFonts w:hint="eastAsia"/>
                      <w:b/>
                      <w:szCs w:val="21"/>
                    </w:rPr>
                    <w:t>室内边界声级/dB（A）</w:t>
                  </w:r>
                </w:p>
              </w:tc>
              <w:tc>
                <w:tcPr>
                  <w:tcW w:w="372" w:type="pct"/>
                  <w:vMerge w:val="restart"/>
                  <w:vAlign w:val="center"/>
                </w:tcPr>
                <w:p w14:paraId="45C2010B">
                  <w:pPr>
                    <w:wordWrap w:val="0"/>
                    <w:jc w:val="center"/>
                    <w:rPr>
                      <w:b/>
                      <w:szCs w:val="21"/>
                    </w:rPr>
                  </w:pPr>
                  <w:r>
                    <w:rPr>
                      <w:rFonts w:hint="eastAsia"/>
                      <w:b/>
                      <w:szCs w:val="21"/>
                    </w:rPr>
                    <w:t>运行时段</w:t>
                  </w:r>
                </w:p>
              </w:tc>
              <w:tc>
                <w:tcPr>
                  <w:tcW w:w="446" w:type="pct"/>
                  <w:vMerge w:val="restart"/>
                  <w:vAlign w:val="center"/>
                </w:tcPr>
                <w:p w14:paraId="3EAEE48E">
                  <w:pPr>
                    <w:wordWrap w:val="0"/>
                    <w:jc w:val="center"/>
                    <w:rPr>
                      <w:b/>
                      <w:szCs w:val="21"/>
                    </w:rPr>
                  </w:pPr>
                  <w:r>
                    <w:rPr>
                      <w:rFonts w:hint="eastAsia"/>
                      <w:b/>
                      <w:szCs w:val="21"/>
                    </w:rPr>
                    <w:t>建筑物插入损失/dB（A）</w:t>
                  </w:r>
                </w:p>
              </w:tc>
              <w:tc>
                <w:tcPr>
                  <w:tcW w:w="570" w:type="pct"/>
                  <w:vMerge w:val="restart"/>
                  <w:vAlign w:val="center"/>
                </w:tcPr>
                <w:p w14:paraId="5682E218">
                  <w:pPr>
                    <w:wordWrap w:val="0"/>
                    <w:jc w:val="center"/>
                    <w:rPr>
                      <w:b/>
                      <w:szCs w:val="21"/>
                    </w:rPr>
                  </w:pPr>
                  <w:r>
                    <w:rPr>
                      <w:rFonts w:hint="eastAsia"/>
                      <w:b/>
                      <w:szCs w:val="21"/>
                    </w:rPr>
                    <w:t>建筑物外噪声声压级/dB（A）</w:t>
                  </w:r>
                </w:p>
              </w:tc>
              <w:tc>
                <w:tcPr>
                  <w:tcW w:w="247" w:type="pct"/>
                  <w:vMerge w:val="restart"/>
                  <w:vAlign w:val="center"/>
                </w:tcPr>
                <w:p w14:paraId="762889A2">
                  <w:pPr>
                    <w:wordWrap w:val="0"/>
                    <w:jc w:val="center"/>
                    <w:rPr>
                      <w:b/>
                      <w:szCs w:val="21"/>
                    </w:rPr>
                  </w:pPr>
                  <w:r>
                    <w:rPr>
                      <w:rFonts w:hint="eastAsia"/>
                      <w:b/>
                      <w:szCs w:val="21"/>
                    </w:rPr>
                    <w:t>建筑物外距离</w:t>
                  </w:r>
                </w:p>
              </w:tc>
            </w:tr>
            <w:tr w14:paraId="1BB2F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9" w:type="pct"/>
                  <w:vMerge w:val="continue"/>
                  <w:tcMar>
                    <w:top w:w="0" w:type="dxa"/>
                    <w:left w:w="0" w:type="dxa"/>
                    <w:bottom w:w="0" w:type="dxa"/>
                    <w:right w:w="0" w:type="dxa"/>
                  </w:tcMar>
                  <w:vAlign w:val="center"/>
                </w:tcPr>
                <w:p w14:paraId="68675A7D">
                  <w:pPr>
                    <w:wordWrap w:val="0"/>
                    <w:jc w:val="center"/>
                    <w:rPr>
                      <w:bCs/>
                      <w:szCs w:val="21"/>
                    </w:rPr>
                  </w:pPr>
                </w:p>
              </w:tc>
              <w:tc>
                <w:tcPr>
                  <w:tcW w:w="278" w:type="pct"/>
                  <w:vMerge w:val="continue"/>
                  <w:tcMar>
                    <w:top w:w="0" w:type="dxa"/>
                    <w:left w:w="0" w:type="dxa"/>
                    <w:bottom w:w="0" w:type="dxa"/>
                    <w:right w:w="0" w:type="dxa"/>
                  </w:tcMar>
                  <w:vAlign w:val="center"/>
                </w:tcPr>
                <w:p w14:paraId="60075A5B">
                  <w:pPr>
                    <w:wordWrap w:val="0"/>
                    <w:jc w:val="center"/>
                    <w:rPr>
                      <w:bCs/>
                      <w:szCs w:val="21"/>
                    </w:rPr>
                  </w:pPr>
                </w:p>
              </w:tc>
              <w:tc>
                <w:tcPr>
                  <w:tcW w:w="458" w:type="pct"/>
                  <w:vMerge w:val="continue"/>
                  <w:tcMar>
                    <w:top w:w="0" w:type="dxa"/>
                    <w:left w:w="0" w:type="dxa"/>
                    <w:bottom w:w="0" w:type="dxa"/>
                    <w:right w:w="0" w:type="dxa"/>
                  </w:tcMar>
                  <w:vAlign w:val="center"/>
                </w:tcPr>
                <w:p w14:paraId="152232F2">
                  <w:pPr>
                    <w:wordWrap w:val="0"/>
                    <w:jc w:val="center"/>
                    <w:rPr>
                      <w:bCs/>
                      <w:szCs w:val="21"/>
                    </w:rPr>
                  </w:pPr>
                </w:p>
              </w:tc>
              <w:tc>
                <w:tcPr>
                  <w:tcW w:w="490" w:type="pct"/>
                  <w:tcMar>
                    <w:top w:w="0" w:type="dxa"/>
                    <w:left w:w="0" w:type="dxa"/>
                    <w:bottom w:w="0" w:type="dxa"/>
                    <w:right w:w="0" w:type="dxa"/>
                  </w:tcMar>
                  <w:vAlign w:val="center"/>
                </w:tcPr>
                <w:p w14:paraId="5C09383E">
                  <w:pPr>
                    <w:wordWrap w:val="0"/>
                    <w:jc w:val="center"/>
                    <w:rPr>
                      <w:b/>
                      <w:szCs w:val="21"/>
                    </w:rPr>
                  </w:pPr>
                  <w:r>
                    <w:rPr>
                      <w:rFonts w:hint="eastAsia"/>
                      <w:b/>
                      <w:szCs w:val="21"/>
                    </w:rPr>
                    <w:t>声功率级/dB（A）</w:t>
                  </w:r>
                </w:p>
              </w:tc>
              <w:tc>
                <w:tcPr>
                  <w:tcW w:w="294" w:type="pct"/>
                  <w:vMerge w:val="continue"/>
                  <w:tcMar>
                    <w:top w:w="0" w:type="dxa"/>
                    <w:left w:w="0" w:type="dxa"/>
                    <w:bottom w:w="0" w:type="dxa"/>
                    <w:right w:w="0" w:type="dxa"/>
                  </w:tcMar>
                  <w:vAlign w:val="center"/>
                </w:tcPr>
                <w:p w14:paraId="68BF838E">
                  <w:pPr>
                    <w:wordWrap w:val="0"/>
                    <w:jc w:val="center"/>
                    <w:rPr>
                      <w:b/>
                      <w:szCs w:val="21"/>
                    </w:rPr>
                  </w:pPr>
                </w:p>
              </w:tc>
              <w:tc>
                <w:tcPr>
                  <w:tcW w:w="255" w:type="pct"/>
                  <w:tcMar>
                    <w:top w:w="0" w:type="dxa"/>
                    <w:left w:w="0" w:type="dxa"/>
                    <w:bottom w:w="0" w:type="dxa"/>
                    <w:right w:w="0" w:type="dxa"/>
                  </w:tcMar>
                  <w:vAlign w:val="center"/>
                </w:tcPr>
                <w:p w14:paraId="1626C10B">
                  <w:pPr>
                    <w:wordWrap w:val="0"/>
                    <w:jc w:val="center"/>
                    <w:rPr>
                      <w:b/>
                      <w:szCs w:val="21"/>
                    </w:rPr>
                  </w:pPr>
                  <w:r>
                    <w:rPr>
                      <w:rFonts w:hint="eastAsia"/>
                      <w:b/>
                      <w:szCs w:val="21"/>
                    </w:rPr>
                    <w:t>X</w:t>
                  </w:r>
                </w:p>
              </w:tc>
              <w:tc>
                <w:tcPr>
                  <w:tcW w:w="201" w:type="pct"/>
                  <w:tcMar>
                    <w:top w:w="0" w:type="dxa"/>
                    <w:left w:w="0" w:type="dxa"/>
                    <w:bottom w:w="0" w:type="dxa"/>
                    <w:right w:w="0" w:type="dxa"/>
                  </w:tcMar>
                  <w:vAlign w:val="center"/>
                </w:tcPr>
                <w:p w14:paraId="67C89065">
                  <w:pPr>
                    <w:wordWrap w:val="0"/>
                    <w:jc w:val="center"/>
                    <w:rPr>
                      <w:b/>
                      <w:szCs w:val="21"/>
                    </w:rPr>
                  </w:pPr>
                  <w:r>
                    <w:rPr>
                      <w:rFonts w:hint="eastAsia"/>
                      <w:b/>
                      <w:szCs w:val="21"/>
                    </w:rPr>
                    <w:t>Y</w:t>
                  </w:r>
                </w:p>
              </w:tc>
              <w:tc>
                <w:tcPr>
                  <w:tcW w:w="236" w:type="pct"/>
                  <w:tcMar>
                    <w:top w:w="0" w:type="dxa"/>
                    <w:left w:w="0" w:type="dxa"/>
                    <w:bottom w:w="0" w:type="dxa"/>
                    <w:right w:w="0" w:type="dxa"/>
                  </w:tcMar>
                  <w:vAlign w:val="center"/>
                </w:tcPr>
                <w:p w14:paraId="145864E3">
                  <w:pPr>
                    <w:wordWrap w:val="0"/>
                    <w:jc w:val="center"/>
                    <w:rPr>
                      <w:b/>
                      <w:szCs w:val="21"/>
                    </w:rPr>
                  </w:pPr>
                  <w:r>
                    <w:rPr>
                      <w:rFonts w:hint="eastAsia"/>
                      <w:b/>
                      <w:szCs w:val="21"/>
                    </w:rPr>
                    <w:t>Z</w:t>
                  </w:r>
                </w:p>
              </w:tc>
              <w:tc>
                <w:tcPr>
                  <w:tcW w:w="422" w:type="pct"/>
                  <w:vMerge w:val="continue"/>
                  <w:tcMar>
                    <w:top w:w="0" w:type="dxa"/>
                    <w:left w:w="0" w:type="dxa"/>
                    <w:bottom w:w="0" w:type="dxa"/>
                    <w:right w:w="0" w:type="dxa"/>
                  </w:tcMar>
                  <w:vAlign w:val="center"/>
                </w:tcPr>
                <w:p w14:paraId="1E23050D">
                  <w:pPr>
                    <w:wordWrap w:val="0"/>
                    <w:jc w:val="center"/>
                    <w:rPr>
                      <w:bCs/>
                      <w:szCs w:val="21"/>
                    </w:rPr>
                  </w:pPr>
                </w:p>
              </w:tc>
              <w:tc>
                <w:tcPr>
                  <w:tcW w:w="455" w:type="pct"/>
                  <w:vMerge w:val="continue"/>
                  <w:tcMar>
                    <w:top w:w="0" w:type="dxa"/>
                    <w:left w:w="0" w:type="dxa"/>
                    <w:bottom w:w="0" w:type="dxa"/>
                    <w:right w:w="0" w:type="dxa"/>
                  </w:tcMar>
                  <w:vAlign w:val="center"/>
                </w:tcPr>
                <w:p w14:paraId="40857A1F">
                  <w:pPr>
                    <w:wordWrap w:val="0"/>
                    <w:jc w:val="center"/>
                    <w:rPr>
                      <w:bCs/>
                      <w:szCs w:val="21"/>
                    </w:rPr>
                  </w:pPr>
                </w:p>
              </w:tc>
              <w:tc>
                <w:tcPr>
                  <w:tcW w:w="372" w:type="pct"/>
                  <w:vMerge w:val="continue"/>
                  <w:tcMar>
                    <w:top w:w="0" w:type="dxa"/>
                    <w:left w:w="0" w:type="dxa"/>
                    <w:bottom w:w="0" w:type="dxa"/>
                    <w:right w:w="0" w:type="dxa"/>
                  </w:tcMar>
                  <w:vAlign w:val="center"/>
                </w:tcPr>
                <w:p w14:paraId="5BAACC27">
                  <w:pPr>
                    <w:wordWrap w:val="0"/>
                    <w:jc w:val="center"/>
                    <w:rPr>
                      <w:bCs/>
                      <w:szCs w:val="21"/>
                    </w:rPr>
                  </w:pPr>
                </w:p>
              </w:tc>
              <w:tc>
                <w:tcPr>
                  <w:tcW w:w="446" w:type="pct"/>
                  <w:vMerge w:val="continue"/>
                  <w:tcMar>
                    <w:top w:w="0" w:type="dxa"/>
                    <w:left w:w="0" w:type="dxa"/>
                    <w:bottom w:w="0" w:type="dxa"/>
                    <w:right w:w="0" w:type="dxa"/>
                  </w:tcMar>
                  <w:vAlign w:val="center"/>
                </w:tcPr>
                <w:p w14:paraId="4266ECA7">
                  <w:pPr>
                    <w:wordWrap w:val="0"/>
                    <w:jc w:val="center"/>
                    <w:rPr>
                      <w:bCs/>
                      <w:szCs w:val="21"/>
                    </w:rPr>
                  </w:pPr>
                </w:p>
              </w:tc>
              <w:tc>
                <w:tcPr>
                  <w:tcW w:w="570" w:type="pct"/>
                  <w:vMerge w:val="continue"/>
                  <w:tcMar>
                    <w:top w:w="0" w:type="dxa"/>
                    <w:left w:w="0" w:type="dxa"/>
                    <w:bottom w:w="0" w:type="dxa"/>
                    <w:right w:w="0" w:type="dxa"/>
                  </w:tcMar>
                  <w:vAlign w:val="center"/>
                </w:tcPr>
                <w:p w14:paraId="01919F82">
                  <w:pPr>
                    <w:wordWrap w:val="0"/>
                    <w:jc w:val="center"/>
                    <w:rPr>
                      <w:bCs/>
                      <w:szCs w:val="21"/>
                    </w:rPr>
                  </w:pPr>
                </w:p>
              </w:tc>
              <w:tc>
                <w:tcPr>
                  <w:tcW w:w="247" w:type="pct"/>
                  <w:vMerge w:val="continue"/>
                  <w:tcMar>
                    <w:top w:w="0" w:type="dxa"/>
                    <w:left w:w="0" w:type="dxa"/>
                    <w:bottom w:w="0" w:type="dxa"/>
                    <w:right w:w="0" w:type="dxa"/>
                  </w:tcMar>
                  <w:vAlign w:val="center"/>
                </w:tcPr>
                <w:p w14:paraId="4AA0F3BA">
                  <w:pPr>
                    <w:wordWrap w:val="0"/>
                    <w:jc w:val="center"/>
                    <w:rPr>
                      <w:bCs/>
                      <w:szCs w:val="21"/>
                    </w:rPr>
                  </w:pPr>
                </w:p>
              </w:tc>
            </w:tr>
            <w:tr w14:paraId="182F3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9" w:type="pct"/>
                  <w:tcMar>
                    <w:top w:w="0" w:type="dxa"/>
                    <w:left w:w="0" w:type="dxa"/>
                    <w:bottom w:w="0" w:type="dxa"/>
                    <w:right w:w="0" w:type="dxa"/>
                  </w:tcMar>
                  <w:vAlign w:val="center"/>
                </w:tcPr>
                <w:p w14:paraId="3B5D6DB7">
                  <w:pPr>
                    <w:pStyle w:val="57"/>
                    <w:wordWrap w:val="0"/>
                    <w:rPr>
                      <w:b w:val="0"/>
                      <w:bCs/>
                      <w:lang w:val="en-US"/>
                    </w:rPr>
                  </w:pPr>
                  <w:r>
                    <w:rPr>
                      <w:rFonts w:hint="eastAsia"/>
                      <w:b w:val="0"/>
                      <w:bCs/>
                      <w:lang w:val="en-US"/>
                    </w:rPr>
                    <w:t>1</w:t>
                  </w:r>
                </w:p>
              </w:tc>
              <w:tc>
                <w:tcPr>
                  <w:tcW w:w="278" w:type="pct"/>
                  <w:vMerge w:val="restart"/>
                  <w:tcMar>
                    <w:top w:w="0" w:type="dxa"/>
                    <w:left w:w="0" w:type="dxa"/>
                    <w:bottom w:w="0" w:type="dxa"/>
                    <w:right w:w="0" w:type="dxa"/>
                  </w:tcMar>
                  <w:vAlign w:val="center"/>
                </w:tcPr>
                <w:p w14:paraId="0A46D5CF">
                  <w:pPr>
                    <w:pStyle w:val="57"/>
                    <w:wordWrap w:val="0"/>
                    <w:rPr>
                      <w:b w:val="0"/>
                      <w:bCs/>
                      <w:lang w:val="en-US"/>
                    </w:rPr>
                  </w:pPr>
                  <w:r>
                    <w:rPr>
                      <w:rFonts w:hint="eastAsia"/>
                      <w:bCs/>
                    </w:rPr>
                    <w:t>2-8#厂房</w:t>
                  </w:r>
                </w:p>
              </w:tc>
              <w:tc>
                <w:tcPr>
                  <w:tcW w:w="458" w:type="pct"/>
                  <w:tcMar>
                    <w:top w:w="0" w:type="dxa"/>
                    <w:left w:w="0" w:type="dxa"/>
                    <w:bottom w:w="0" w:type="dxa"/>
                    <w:right w:w="0" w:type="dxa"/>
                  </w:tcMar>
                  <w:vAlign w:val="center"/>
                </w:tcPr>
                <w:p w14:paraId="5A850EE2">
                  <w:pPr>
                    <w:pStyle w:val="57"/>
                    <w:wordWrap w:val="0"/>
                    <w:rPr>
                      <w:b w:val="0"/>
                      <w:bCs/>
                      <w:lang w:val="en-US"/>
                    </w:rPr>
                  </w:pPr>
                  <w:r>
                    <w:rPr>
                      <w:rFonts w:hint="eastAsia"/>
                      <w:b w:val="0"/>
                      <w:bCs/>
                    </w:rPr>
                    <w:t>电解清洗设备</w:t>
                  </w:r>
                </w:p>
              </w:tc>
              <w:tc>
                <w:tcPr>
                  <w:tcW w:w="490" w:type="pct"/>
                  <w:tcMar>
                    <w:top w:w="0" w:type="dxa"/>
                    <w:left w:w="0" w:type="dxa"/>
                    <w:bottom w:w="0" w:type="dxa"/>
                    <w:right w:w="0" w:type="dxa"/>
                  </w:tcMar>
                  <w:vAlign w:val="center"/>
                </w:tcPr>
                <w:p w14:paraId="3D98E625">
                  <w:pPr>
                    <w:wordWrap w:val="0"/>
                    <w:jc w:val="center"/>
                    <w:rPr>
                      <w:b w:val="0"/>
                      <w:bCs/>
                      <w:szCs w:val="21"/>
                    </w:rPr>
                  </w:pPr>
                  <w:r>
                    <w:rPr>
                      <w:rFonts w:hint="eastAsia"/>
                      <w:b w:val="0"/>
                      <w:bCs/>
                      <w:szCs w:val="21"/>
                    </w:rPr>
                    <w:t>65</w:t>
                  </w:r>
                </w:p>
              </w:tc>
              <w:tc>
                <w:tcPr>
                  <w:tcW w:w="294" w:type="pct"/>
                  <w:vMerge w:val="restart"/>
                  <w:tcMar>
                    <w:top w:w="0" w:type="dxa"/>
                    <w:left w:w="0" w:type="dxa"/>
                    <w:bottom w:w="0" w:type="dxa"/>
                    <w:right w:w="0" w:type="dxa"/>
                  </w:tcMar>
                  <w:vAlign w:val="center"/>
                </w:tcPr>
                <w:p w14:paraId="2DC1DE74">
                  <w:pPr>
                    <w:wordWrap w:val="0"/>
                    <w:jc w:val="center"/>
                    <w:rPr>
                      <w:bCs/>
                      <w:szCs w:val="21"/>
                    </w:rPr>
                  </w:pPr>
                  <w:r>
                    <w:rPr>
                      <w:rFonts w:hint="eastAsia"/>
                      <w:bCs/>
                      <w:szCs w:val="21"/>
                    </w:rPr>
                    <w:t>基础减振、厂房隔声</w:t>
                  </w:r>
                </w:p>
              </w:tc>
              <w:tc>
                <w:tcPr>
                  <w:tcW w:w="255" w:type="pct"/>
                  <w:shd w:val="clear" w:color="auto" w:fill="auto"/>
                  <w:tcMar>
                    <w:top w:w="0" w:type="dxa"/>
                    <w:left w:w="0" w:type="dxa"/>
                    <w:bottom w:w="0" w:type="dxa"/>
                    <w:right w:w="0" w:type="dxa"/>
                  </w:tcMar>
                  <w:vAlign w:val="center"/>
                </w:tcPr>
                <w:p w14:paraId="017FC6C9">
                  <w:pPr>
                    <w:wordWrap w:val="0"/>
                    <w:jc w:val="center"/>
                    <w:rPr>
                      <w:bCs/>
                      <w:szCs w:val="21"/>
                    </w:rPr>
                  </w:pPr>
                  <w:r>
                    <w:rPr>
                      <w:rFonts w:hint="eastAsia"/>
                      <w:bCs/>
                      <w:szCs w:val="21"/>
                    </w:rPr>
                    <w:t>80</w:t>
                  </w:r>
                </w:p>
              </w:tc>
              <w:tc>
                <w:tcPr>
                  <w:tcW w:w="201" w:type="pct"/>
                  <w:shd w:val="clear" w:color="auto" w:fill="auto"/>
                  <w:tcMar>
                    <w:top w:w="0" w:type="dxa"/>
                    <w:left w:w="0" w:type="dxa"/>
                    <w:bottom w:w="0" w:type="dxa"/>
                    <w:right w:w="0" w:type="dxa"/>
                  </w:tcMar>
                  <w:vAlign w:val="center"/>
                </w:tcPr>
                <w:p w14:paraId="1DF9BACE">
                  <w:pPr>
                    <w:wordWrap w:val="0"/>
                    <w:jc w:val="center"/>
                    <w:rPr>
                      <w:bCs/>
                      <w:szCs w:val="21"/>
                    </w:rPr>
                  </w:pPr>
                  <w:r>
                    <w:rPr>
                      <w:rFonts w:hint="eastAsia"/>
                      <w:bCs/>
                      <w:szCs w:val="21"/>
                    </w:rPr>
                    <w:t>10</w:t>
                  </w:r>
                </w:p>
              </w:tc>
              <w:tc>
                <w:tcPr>
                  <w:tcW w:w="236" w:type="pct"/>
                  <w:shd w:val="clear" w:color="auto" w:fill="auto"/>
                  <w:tcMar>
                    <w:top w:w="0" w:type="dxa"/>
                    <w:left w:w="0" w:type="dxa"/>
                    <w:bottom w:w="0" w:type="dxa"/>
                    <w:right w:w="0" w:type="dxa"/>
                  </w:tcMar>
                  <w:vAlign w:val="center"/>
                </w:tcPr>
                <w:p w14:paraId="108023A4">
                  <w:pPr>
                    <w:wordWrap w:val="0"/>
                    <w:jc w:val="center"/>
                    <w:rPr>
                      <w:bCs/>
                      <w:szCs w:val="21"/>
                    </w:rPr>
                  </w:pPr>
                  <w:r>
                    <w:rPr>
                      <w:rFonts w:hint="eastAsia"/>
                      <w:bCs/>
                      <w:szCs w:val="21"/>
                    </w:rPr>
                    <w:t>13.5</w:t>
                  </w:r>
                </w:p>
              </w:tc>
              <w:tc>
                <w:tcPr>
                  <w:tcW w:w="422" w:type="pct"/>
                  <w:shd w:val="clear" w:color="auto" w:fill="auto"/>
                  <w:tcMar>
                    <w:top w:w="0" w:type="dxa"/>
                    <w:left w:w="0" w:type="dxa"/>
                    <w:bottom w:w="0" w:type="dxa"/>
                    <w:right w:w="0" w:type="dxa"/>
                  </w:tcMar>
                  <w:vAlign w:val="center"/>
                </w:tcPr>
                <w:p w14:paraId="1EE40F67">
                  <w:pPr>
                    <w:wordWrap w:val="0"/>
                    <w:jc w:val="center"/>
                    <w:rPr>
                      <w:bCs/>
                      <w:szCs w:val="21"/>
                    </w:rPr>
                  </w:pPr>
                  <w:r>
                    <w:rPr>
                      <w:rFonts w:hint="eastAsia"/>
                      <w:bCs/>
                      <w:szCs w:val="21"/>
                    </w:rPr>
                    <w:t>5</w:t>
                  </w:r>
                </w:p>
              </w:tc>
              <w:tc>
                <w:tcPr>
                  <w:tcW w:w="455" w:type="pct"/>
                  <w:shd w:val="clear" w:color="auto" w:fill="auto"/>
                  <w:tcMar>
                    <w:top w:w="0" w:type="dxa"/>
                    <w:left w:w="0" w:type="dxa"/>
                    <w:bottom w:w="0" w:type="dxa"/>
                    <w:right w:w="0" w:type="dxa"/>
                  </w:tcMar>
                  <w:vAlign w:val="center"/>
                </w:tcPr>
                <w:p w14:paraId="2E2FA2D2">
                  <w:pPr>
                    <w:wordWrap w:val="0"/>
                    <w:jc w:val="center"/>
                    <w:rPr>
                      <w:bCs/>
                      <w:szCs w:val="21"/>
                    </w:rPr>
                  </w:pPr>
                  <w:r>
                    <w:rPr>
                      <w:rFonts w:hint="eastAsia"/>
                      <w:bCs/>
                      <w:szCs w:val="21"/>
                    </w:rPr>
                    <w:t>51</w:t>
                  </w:r>
                </w:p>
              </w:tc>
              <w:tc>
                <w:tcPr>
                  <w:tcW w:w="372" w:type="pct"/>
                  <w:shd w:val="clear" w:color="auto" w:fill="auto"/>
                  <w:tcMar>
                    <w:top w:w="0" w:type="dxa"/>
                    <w:left w:w="0" w:type="dxa"/>
                    <w:bottom w:w="0" w:type="dxa"/>
                    <w:right w:w="0" w:type="dxa"/>
                  </w:tcMar>
                  <w:vAlign w:val="center"/>
                </w:tcPr>
                <w:p w14:paraId="74861D8D">
                  <w:pPr>
                    <w:wordWrap w:val="0"/>
                    <w:jc w:val="center"/>
                    <w:rPr>
                      <w:bCs/>
                      <w:szCs w:val="21"/>
                    </w:rPr>
                  </w:pPr>
                  <w:r>
                    <w:rPr>
                      <w:rFonts w:hint="eastAsia"/>
                      <w:bCs/>
                      <w:szCs w:val="21"/>
                    </w:rPr>
                    <w:t>24h/d</w:t>
                  </w:r>
                </w:p>
              </w:tc>
              <w:tc>
                <w:tcPr>
                  <w:tcW w:w="446" w:type="pct"/>
                  <w:shd w:val="clear" w:color="auto" w:fill="auto"/>
                  <w:tcMar>
                    <w:top w:w="0" w:type="dxa"/>
                    <w:left w:w="0" w:type="dxa"/>
                    <w:bottom w:w="0" w:type="dxa"/>
                    <w:right w:w="0" w:type="dxa"/>
                  </w:tcMar>
                  <w:vAlign w:val="center"/>
                </w:tcPr>
                <w:p w14:paraId="5828A8D0">
                  <w:pPr>
                    <w:wordWrap w:val="0"/>
                    <w:jc w:val="center"/>
                    <w:rPr>
                      <w:bCs/>
                      <w:szCs w:val="21"/>
                    </w:rPr>
                  </w:pPr>
                  <w:r>
                    <w:rPr>
                      <w:rFonts w:hint="eastAsia"/>
                      <w:bCs/>
                      <w:szCs w:val="21"/>
                    </w:rPr>
                    <w:t>20</w:t>
                  </w:r>
                </w:p>
              </w:tc>
              <w:tc>
                <w:tcPr>
                  <w:tcW w:w="570" w:type="pct"/>
                  <w:shd w:val="clear" w:color="auto" w:fill="auto"/>
                  <w:tcMar>
                    <w:top w:w="0" w:type="dxa"/>
                    <w:left w:w="0" w:type="dxa"/>
                    <w:bottom w:w="0" w:type="dxa"/>
                    <w:right w:w="0" w:type="dxa"/>
                  </w:tcMar>
                  <w:vAlign w:val="center"/>
                </w:tcPr>
                <w:p w14:paraId="2AE11C17">
                  <w:pPr>
                    <w:pStyle w:val="57"/>
                    <w:rPr>
                      <w:b w:val="0"/>
                      <w:bCs/>
                    </w:rPr>
                  </w:pPr>
                  <w:r>
                    <w:rPr>
                      <w:rFonts w:hint="eastAsia"/>
                      <w:b w:val="0"/>
                      <w:bCs/>
                      <w:lang w:val="en-US"/>
                    </w:rPr>
                    <w:t>31</w:t>
                  </w:r>
                </w:p>
              </w:tc>
              <w:tc>
                <w:tcPr>
                  <w:tcW w:w="247" w:type="pct"/>
                  <w:shd w:val="clear" w:color="auto" w:fill="auto"/>
                  <w:tcMar>
                    <w:top w:w="0" w:type="dxa"/>
                    <w:left w:w="0" w:type="dxa"/>
                    <w:bottom w:w="0" w:type="dxa"/>
                    <w:right w:w="0" w:type="dxa"/>
                  </w:tcMar>
                  <w:vAlign w:val="center"/>
                </w:tcPr>
                <w:p w14:paraId="18FF60BF">
                  <w:pPr>
                    <w:wordWrap w:val="0"/>
                    <w:jc w:val="center"/>
                    <w:rPr>
                      <w:bCs/>
                      <w:szCs w:val="21"/>
                    </w:rPr>
                  </w:pPr>
                  <w:r>
                    <w:rPr>
                      <w:rFonts w:hint="eastAsia"/>
                      <w:bCs/>
                      <w:szCs w:val="21"/>
                    </w:rPr>
                    <w:t>1</w:t>
                  </w:r>
                </w:p>
              </w:tc>
            </w:tr>
            <w:tr w14:paraId="6C2B0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9" w:type="pct"/>
                  <w:tcMar>
                    <w:top w:w="0" w:type="dxa"/>
                    <w:left w:w="0" w:type="dxa"/>
                    <w:bottom w:w="0" w:type="dxa"/>
                    <w:right w:w="0" w:type="dxa"/>
                  </w:tcMar>
                  <w:vAlign w:val="center"/>
                </w:tcPr>
                <w:p w14:paraId="655D5E5A">
                  <w:pPr>
                    <w:pStyle w:val="57"/>
                    <w:wordWrap w:val="0"/>
                    <w:rPr>
                      <w:b w:val="0"/>
                      <w:bCs/>
                      <w:lang w:val="en-US"/>
                    </w:rPr>
                  </w:pPr>
                  <w:r>
                    <w:rPr>
                      <w:rFonts w:hint="eastAsia"/>
                      <w:b w:val="0"/>
                      <w:bCs/>
                      <w:lang w:val="en-US"/>
                    </w:rPr>
                    <w:t>2</w:t>
                  </w:r>
                </w:p>
              </w:tc>
              <w:tc>
                <w:tcPr>
                  <w:tcW w:w="278" w:type="pct"/>
                  <w:vMerge w:val="continue"/>
                  <w:tcMar>
                    <w:top w:w="0" w:type="dxa"/>
                    <w:left w:w="0" w:type="dxa"/>
                    <w:bottom w:w="0" w:type="dxa"/>
                    <w:right w:w="0" w:type="dxa"/>
                  </w:tcMar>
                  <w:vAlign w:val="center"/>
                </w:tcPr>
                <w:p w14:paraId="49F9951C">
                  <w:pPr>
                    <w:wordWrap w:val="0"/>
                    <w:jc w:val="center"/>
                    <w:rPr>
                      <w:bCs/>
                    </w:rPr>
                  </w:pPr>
                </w:p>
              </w:tc>
              <w:tc>
                <w:tcPr>
                  <w:tcW w:w="458" w:type="pct"/>
                  <w:tcMar>
                    <w:top w:w="0" w:type="dxa"/>
                    <w:left w:w="0" w:type="dxa"/>
                    <w:bottom w:w="0" w:type="dxa"/>
                    <w:right w:w="0" w:type="dxa"/>
                  </w:tcMar>
                  <w:vAlign w:val="center"/>
                </w:tcPr>
                <w:p w14:paraId="06DA3B07">
                  <w:pPr>
                    <w:pStyle w:val="57"/>
                    <w:wordWrap w:val="0"/>
                    <w:rPr>
                      <w:b w:val="0"/>
                      <w:bCs/>
                      <w:lang w:val="en-US"/>
                    </w:rPr>
                  </w:pPr>
                  <w:r>
                    <w:rPr>
                      <w:rFonts w:hint="eastAsia"/>
                      <w:b w:val="0"/>
                      <w:bCs/>
                      <w:lang w:val="en-US"/>
                    </w:rPr>
                    <w:t>循环泵</w:t>
                  </w:r>
                </w:p>
              </w:tc>
              <w:tc>
                <w:tcPr>
                  <w:tcW w:w="490" w:type="pct"/>
                  <w:tcMar>
                    <w:top w:w="0" w:type="dxa"/>
                    <w:left w:w="0" w:type="dxa"/>
                    <w:bottom w:w="0" w:type="dxa"/>
                    <w:right w:w="0" w:type="dxa"/>
                  </w:tcMar>
                  <w:vAlign w:val="center"/>
                </w:tcPr>
                <w:p w14:paraId="7D172593">
                  <w:pPr>
                    <w:wordWrap w:val="0"/>
                    <w:jc w:val="center"/>
                    <w:rPr>
                      <w:bCs/>
                      <w:szCs w:val="21"/>
                    </w:rPr>
                  </w:pPr>
                  <w:r>
                    <w:rPr>
                      <w:rFonts w:hint="eastAsia"/>
                      <w:bCs/>
                      <w:szCs w:val="21"/>
                    </w:rPr>
                    <w:t>70</w:t>
                  </w:r>
                </w:p>
              </w:tc>
              <w:tc>
                <w:tcPr>
                  <w:tcW w:w="294" w:type="pct"/>
                  <w:vMerge w:val="continue"/>
                  <w:tcMar>
                    <w:top w:w="0" w:type="dxa"/>
                    <w:left w:w="0" w:type="dxa"/>
                    <w:bottom w:w="0" w:type="dxa"/>
                    <w:right w:w="0" w:type="dxa"/>
                  </w:tcMar>
                  <w:vAlign w:val="center"/>
                </w:tcPr>
                <w:p w14:paraId="7C0974C8">
                  <w:pPr>
                    <w:wordWrap w:val="0"/>
                    <w:jc w:val="center"/>
                    <w:rPr>
                      <w:bCs/>
                      <w:szCs w:val="21"/>
                    </w:rPr>
                  </w:pPr>
                </w:p>
              </w:tc>
              <w:tc>
                <w:tcPr>
                  <w:tcW w:w="255" w:type="pct"/>
                  <w:shd w:val="clear" w:color="auto" w:fill="auto"/>
                  <w:tcMar>
                    <w:top w:w="0" w:type="dxa"/>
                    <w:left w:w="0" w:type="dxa"/>
                    <w:bottom w:w="0" w:type="dxa"/>
                    <w:right w:w="0" w:type="dxa"/>
                  </w:tcMar>
                  <w:vAlign w:val="center"/>
                </w:tcPr>
                <w:p w14:paraId="11D20A94">
                  <w:pPr>
                    <w:wordWrap w:val="0"/>
                    <w:jc w:val="center"/>
                    <w:rPr>
                      <w:bCs/>
                      <w:szCs w:val="21"/>
                    </w:rPr>
                  </w:pPr>
                  <w:r>
                    <w:rPr>
                      <w:rFonts w:hint="eastAsia"/>
                      <w:bCs/>
                      <w:szCs w:val="21"/>
                    </w:rPr>
                    <w:t>80</w:t>
                  </w:r>
                </w:p>
              </w:tc>
              <w:tc>
                <w:tcPr>
                  <w:tcW w:w="201" w:type="pct"/>
                  <w:shd w:val="clear" w:color="auto" w:fill="auto"/>
                  <w:tcMar>
                    <w:top w:w="0" w:type="dxa"/>
                    <w:left w:w="0" w:type="dxa"/>
                    <w:bottom w:w="0" w:type="dxa"/>
                    <w:right w:w="0" w:type="dxa"/>
                  </w:tcMar>
                  <w:vAlign w:val="center"/>
                </w:tcPr>
                <w:p w14:paraId="41EC9539">
                  <w:pPr>
                    <w:wordWrap w:val="0"/>
                    <w:jc w:val="center"/>
                    <w:rPr>
                      <w:bCs/>
                      <w:szCs w:val="21"/>
                    </w:rPr>
                  </w:pPr>
                  <w:r>
                    <w:rPr>
                      <w:rFonts w:hint="eastAsia"/>
                      <w:bCs/>
                      <w:szCs w:val="21"/>
                    </w:rPr>
                    <w:t>10</w:t>
                  </w:r>
                </w:p>
              </w:tc>
              <w:tc>
                <w:tcPr>
                  <w:tcW w:w="236" w:type="pct"/>
                  <w:shd w:val="clear" w:color="auto" w:fill="auto"/>
                  <w:tcMar>
                    <w:top w:w="0" w:type="dxa"/>
                    <w:left w:w="0" w:type="dxa"/>
                    <w:bottom w:w="0" w:type="dxa"/>
                    <w:right w:w="0" w:type="dxa"/>
                  </w:tcMar>
                  <w:vAlign w:val="center"/>
                </w:tcPr>
                <w:p w14:paraId="2C259429">
                  <w:pPr>
                    <w:wordWrap w:val="0"/>
                    <w:jc w:val="center"/>
                    <w:rPr>
                      <w:bCs/>
                      <w:szCs w:val="21"/>
                    </w:rPr>
                  </w:pPr>
                  <w:r>
                    <w:rPr>
                      <w:rFonts w:hint="eastAsia"/>
                      <w:bCs/>
                      <w:szCs w:val="21"/>
                    </w:rPr>
                    <w:t>11.5</w:t>
                  </w:r>
                </w:p>
              </w:tc>
              <w:tc>
                <w:tcPr>
                  <w:tcW w:w="422" w:type="pct"/>
                  <w:shd w:val="clear" w:color="auto" w:fill="auto"/>
                  <w:tcMar>
                    <w:top w:w="0" w:type="dxa"/>
                    <w:left w:w="0" w:type="dxa"/>
                    <w:bottom w:w="0" w:type="dxa"/>
                    <w:right w:w="0" w:type="dxa"/>
                  </w:tcMar>
                  <w:vAlign w:val="center"/>
                </w:tcPr>
                <w:p w14:paraId="38B1A450">
                  <w:pPr>
                    <w:wordWrap w:val="0"/>
                    <w:jc w:val="center"/>
                    <w:rPr>
                      <w:bCs/>
                      <w:szCs w:val="21"/>
                    </w:rPr>
                  </w:pPr>
                  <w:r>
                    <w:rPr>
                      <w:rFonts w:hint="eastAsia"/>
                      <w:bCs/>
                      <w:szCs w:val="21"/>
                    </w:rPr>
                    <w:t>5</w:t>
                  </w:r>
                </w:p>
              </w:tc>
              <w:tc>
                <w:tcPr>
                  <w:tcW w:w="455" w:type="pct"/>
                  <w:shd w:val="clear" w:color="auto" w:fill="auto"/>
                  <w:tcMar>
                    <w:top w:w="0" w:type="dxa"/>
                    <w:left w:w="0" w:type="dxa"/>
                    <w:bottom w:w="0" w:type="dxa"/>
                    <w:right w:w="0" w:type="dxa"/>
                  </w:tcMar>
                  <w:vAlign w:val="center"/>
                </w:tcPr>
                <w:p w14:paraId="11F96C7A">
                  <w:pPr>
                    <w:wordWrap w:val="0"/>
                    <w:jc w:val="center"/>
                    <w:rPr>
                      <w:bCs/>
                      <w:szCs w:val="21"/>
                    </w:rPr>
                  </w:pPr>
                  <w:r>
                    <w:rPr>
                      <w:rFonts w:hint="eastAsia"/>
                      <w:bCs/>
                      <w:szCs w:val="21"/>
                    </w:rPr>
                    <w:t>56</w:t>
                  </w:r>
                </w:p>
              </w:tc>
              <w:tc>
                <w:tcPr>
                  <w:tcW w:w="372" w:type="pct"/>
                  <w:shd w:val="clear" w:color="auto" w:fill="auto"/>
                  <w:tcMar>
                    <w:top w:w="0" w:type="dxa"/>
                    <w:left w:w="0" w:type="dxa"/>
                    <w:bottom w:w="0" w:type="dxa"/>
                    <w:right w:w="0" w:type="dxa"/>
                  </w:tcMar>
                  <w:vAlign w:val="center"/>
                </w:tcPr>
                <w:p w14:paraId="28C34EE0">
                  <w:pPr>
                    <w:wordWrap w:val="0"/>
                    <w:jc w:val="center"/>
                    <w:rPr>
                      <w:bCs/>
                      <w:szCs w:val="21"/>
                    </w:rPr>
                  </w:pPr>
                  <w:r>
                    <w:rPr>
                      <w:rFonts w:hint="eastAsia"/>
                      <w:bCs/>
                      <w:szCs w:val="21"/>
                    </w:rPr>
                    <w:t>24h/d</w:t>
                  </w:r>
                </w:p>
              </w:tc>
              <w:tc>
                <w:tcPr>
                  <w:tcW w:w="446" w:type="pct"/>
                  <w:shd w:val="clear" w:color="auto" w:fill="auto"/>
                  <w:tcMar>
                    <w:top w:w="0" w:type="dxa"/>
                    <w:left w:w="0" w:type="dxa"/>
                    <w:bottom w:w="0" w:type="dxa"/>
                    <w:right w:w="0" w:type="dxa"/>
                  </w:tcMar>
                  <w:vAlign w:val="center"/>
                </w:tcPr>
                <w:p w14:paraId="67B5B6F2">
                  <w:pPr>
                    <w:wordWrap w:val="0"/>
                    <w:jc w:val="center"/>
                    <w:rPr>
                      <w:bCs/>
                      <w:szCs w:val="21"/>
                    </w:rPr>
                  </w:pPr>
                  <w:r>
                    <w:rPr>
                      <w:rFonts w:hint="eastAsia"/>
                      <w:bCs/>
                      <w:szCs w:val="21"/>
                    </w:rPr>
                    <w:t>20</w:t>
                  </w:r>
                </w:p>
              </w:tc>
              <w:tc>
                <w:tcPr>
                  <w:tcW w:w="570" w:type="pct"/>
                  <w:shd w:val="clear" w:color="auto" w:fill="auto"/>
                  <w:tcMar>
                    <w:top w:w="0" w:type="dxa"/>
                    <w:left w:w="0" w:type="dxa"/>
                    <w:bottom w:w="0" w:type="dxa"/>
                    <w:right w:w="0" w:type="dxa"/>
                  </w:tcMar>
                  <w:vAlign w:val="center"/>
                </w:tcPr>
                <w:p w14:paraId="41385E5F">
                  <w:pPr>
                    <w:pStyle w:val="57"/>
                    <w:rPr>
                      <w:b w:val="0"/>
                      <w:bCs/>
                      <w:lang w:val="en-US"/>
                    </w:rPr>
                  </w:pPr>
                  <w:r>
                    <w:rPr>
                      <w:rFonts w:hint="eastAsia"/>
                      <w:b w:val="0"/>
                      <w:bCs/>
                      <w:lang w:val="en-US"/>
                    </w:rPr>
                    <w:t>46</w:t>
                  </w:r>
                </w:p>
              </w:tc>
              <w:tc>
                <w:tcPr>
                  <w:tcW w:w="247" w:type="pct"/>
                  <w:shd w:val="clear" w:color="auto" w:fill="auto"/>
                  <w:tcMar>
                    <w:top w:w="0" w:type="dxa"/>
                    <w:left w:w="0" w:type="dxa"/>
                    <w:bottom w:w="0" w:type="dxa"/>
                    <w:right w:w="0" w:type="dxa"/>
                  </w:tcMar>
                  <w:vAlign w:val="center"/>
                </w:tcPr>
                <w:p w14:paraId="2A89310A">
                  <w:pPr>
                    <w:wordWrap w:val="0"/>
                    <w:jc w:val="center"/>
                    <w:rPr>
                      <w:bCs/>
                      <w:szCs w:val="21"/>
                    </w:rPr>
                  </w:pPr>
                  <w:r>
                    <w:rPr>
                      <w:rFonts w:hint="eastAsia"/>
                      <w:bCs/>
                      <w:szCs w:val="21"/>
                    </w:rPr>
                    <w:t>1</w:t>
                  </w:r>
                </w:p>
              </w:tc>
            </w:tr>
            <w:tr w14:paraId="2A0B2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9" w:type="pct"/>
                  <w:tcMar>
                    <w:top w:w="0" w:type="dxa"/>
                    <w:left w:w="0" w:type="dxa"/>
                    <w:bottom w:w="0" w:type="dxa"/>
                    <w:right w:w="0" w:type="dxa"/>
                  </w:tcMar>
                  <w:vAlign w:val="center"/>
                </w:tcPr>
                <w:p w14:paraId="4AC0EC0C">
                  <w:pPr>
                    <w:pStyle w:val="57"/>
                    <w:wordWrap w:val="0"/>
                    <w:rPr>
                      <w:b w:val="0"/>
                      <w:bCs/>
                      <w:lang w:val="en-US"/>
                    </w:rPr>
                  </w:pPr>
                  <w:r>
                    <w:rPr>
                      <w:rFonts w:hint="eastAsia"/>
                      <w:b w:val="0"/>
                      <w:bCs/>
                      <w:lang w:val="en-US"/>
                    </w:rPr>
                    <w:t>3</w:t>
                  </w:r>
                </w:p>
              </w:tc>
              <w:tc>
                <w:tcPr>
                  <w:tcW w:w="278" w:type="pct"/>
                  <w:vMerge w:val="continue"/>
                  <w:tcMar>
                    <w:top w:w="0" w:type="dxa"/>
                    <w:left w:w="0" w:type="dxa"/>
                    <w:bottom w:w="0" w:type="dxa"/>
                    <w:right w:w="0" w:type="dxa"/>
                  </w:tcMar>
                  <w:vAlign w:val="center"/>
                </w:tcPr>
                <w:p w14:paraId="662C6AE3">
                  <w:pPr>
                    <w:wordWrap w:val="0"/>
                    <w:jc w:val="center"/>
                    <w:rPr>
                      <w:bCs/>
                    </w:rPr>
                  </w:pPr>
                </w:p>
              </w:tc>
              <w:tc>
                <w:tcPr>
                  <w:tcW w:w="458" w:type="pct"/>
                  <w:tcMar>
                    <w:top w:w="0" w:type="dxa"/>
                    <w:left w:w="0" w:type="dxa"/>
                    <w:bottom w:w="0" w:type="dxa"/>
                    <w:right w:w="0" w:type="dxa"/>
                  </w:tcMar>
                  <w:vAlign w:val="center"/>
                </w:tcPr>
                <w:p w14:paraId="510D8132">
                  <w:pPr>
                    <w:pStyle w:val="57"/>
                    <w:wordWrap w:val="0"/>
                    <w:rPr>
                      <w:b w:val="0"/>
                      <w:bCs/>
                      <w:lang w:val="en-US"/>
                    </w:rPr>
                  </w:pPr>
                  <w:r>
                    <w:rPr>
                      <w:rFonts w:hint="eastAsia"/>
                      <w:b w:val="0"/>
                      <w:bCs/>
                      <w:lang w:val="en-US"/>
                    </w:rPr>
                    <w:t>蒸发干化设备</w:t>
                  </w:r>
                </w:p>
              </w:tc>
              <w:tc>
                <w:tcPr>
                  <w:tcW w:w="490" w:type="pct"/>
                  <w:tcMar>
                    <w:top w:w="0" w:type="dxa"/>
                    <w:left w:w="0" w:type="dxa"/>
                    <w:bottom w:w="0" w:type="dxa"/>
                    <w:right w:w="0" w:type="dxa"/>
                  </w:tcMar>
                  <w:vAlign w:val="center"/>
                </w:tcPr>
                <w:p w14:paraId="0E22493D">
                  <w:pPr>
                    <w:wordWrap w:val="0"/>
                    <w:jc w:val="center"/>
                    <w:rPr>
                      <w:bCs/>
                      <w:szCs w:val="21"/>
                    </w:rPr>
                  </w:pPr>
                  <w:r>
                    <w:rPr>
                      <w:rFonts w:hint="eastAsia"/>
                      <w:bCs/>
                      <w:szCs w:val="21"/>
                    </w:rPr>
                    <w:t>70</w:t>
                  </w:r>
                </w:p>
              </w:tc>
              <w:tc>
                <w:tcPr>
                  <w:tcW w:w="294" w:type="pct"/>
                  <w:vMerge w:val="continue"/>
                  <w:tcMar>
                    <w:top w:w="0" w:type="dxa"/>
                    <w:left w:w="0" w:type="dxa"/>
                    <w:bottom w:w="0" w:type="dxa"/>
                    <w:right w:w="0" w:type="dxa"/>
                  </w:tcMar>
                  <w:vAlign w:val="center"/>
                </w:tcPr>
                <w:p w14:paraId="5460561E">
                  <w:pPr>
                    <w:wordWrap w:val="0"/>
                    <w:jc w:val="center"/>
                    <w:rPr>
                      <w:bCs/>
                      <w:szCs w:val="21"/>
                    </w:rPr>
                  </w:pPr>
                </w:p>
              </w:tc>
              <w:tc>
                <w:tcPr>
                  <w:tcW w:w="255" w:type="pct"/>
                  <w:shd w:val="clear" w:color="auto" w:fill="auto"/>
                  <w:tcMar>
                    <w:top w:w="0" w:type="dxa"/>
                    <w:left w:w="0" w:type="dxa"/>
                    <w:bottom w:w="0" w:type="dxa"/>
                    <w:right w:w="0" w:type="dxa"/>
                  </w:tcMar>
                  <w:vAlign w:val="center"/>
                </w:tcPr>
                <w:p w14:paraId="0ED49624">
                  <w:pPr>
                    <w:wordWrap w:val="0"/>
                    <w:jc w:val="center"/>
                    <w:rPr>
                      <w:bCs/>
                      <w:szCs w:val="21"/>
                    </w:rPr>
                  </w:pPr>
                  <w:r>
                    <w:rPr>
                      <w:rFonts w:hint="eastAsia"/>
                      <w:bCs/>
                      <w:szCs w:val="21"/>
                    </w:rPr>
                    <w:t>80</w:t>
                  </w:r>
                </w:p>
              </w:tc>
              <w:tc>
                <w:tcPr>
                  <w:tcW w:w="201" w:type="pct"/>
                  <w:shd w:val="clear" w:color="auto" w:fill="auto"/>
                  <w:tcMar>
                    <w:top w:w="0" w:type="dxa"/>
                    <w:left w:w="0" w:type="dxa"/>
                    <w:bottom w:w="0" w:type="dxa"/>
                    <w:right w:w="0" w:type="dxa"/>
                  </w:tcMar>
                  <w:vAlign w:val="center"/>
                </w:tcPr>
                <w:p w14:paraId="0C90A35F">
                  <w:pPr>
                    <w:wordWrap w:val="0"/>
                    <w:jc w:val="center"/>
                    <w:rPr>
                      <w:bCs/>
                      <w:szCs w:val="21"/>
                    </w:rPr>
                  </w:pPr>
                  <w:r>
                    <w:rPr>
                      <w:rFonts w:hint="eastAsia"/>
                      <w:bCs/>
                      <w:szCs w:val="21"/>
                    </w:rPr>
                    <w:t>10</w:t>
                  </w:r>
                </w:p>
              </w:tc>
              <w:tc>
                <w:tcPr>
                  <w:tcW w:w="236" w:type="pct"/>
                  <w:shd w:val="clear" w:color="auto" w:fill="auto"/>
                  <w:tcMar>
                    <w:top w:w="0" w:type="dxa"/>
                    <w:left w:w="0" w:type="dxa"/>
                    <w:bottom w:w="0" w:type="dxa"/>
                    <w:right w:w="0" w:type="dxa"/>
                  </w:tcMar>
                  <w:vAlign w:val="center"/>
                </w:tcPr>
                <w:p w14:paraId="23D82125">
                  <w:pPr>
                    <w:wordWrap w:val="0"/>
                    <w:jc w:val="center"/>
                    <w:rPr>
                      <w:bCs/>
                      <w:szCs w:val="21"/>
                    </w:rPr>
                  </w:pPr>
                  <w:r>
                    <w:rPr>
                      <w:rFonts w:hint="eastAsia"/>
                      <w:bCs/>
                      <w:szCs w:val="21"/>
                    </w:rPr>
                    <w:t>17.5</w:t>
                  </w:r>
                </w:p>
              </w:tc>
              <w:tc>
                <w:tcPr>
                  <w:tcW w:w="422" w:type="pct"/>
                  <w:shd w:val="clear" w:color="auto" w:fill="auto"/>
                  <w:tcMar>
                    <w:top w:w="0" w:type="dxa"/>
                    <w:left w:w="0" w:type="dxa"/>
                    <w:bottom w:w="0" w:type="dxa"/>
                    <w:right w:w="0" w:type="dxa"/>
                  </w:tcMar>
                  <w:vAlign w:val="center"/>
                </w:tcPr>
                <w:p w14:paraId="357C53AC">
                  <w:pPr>
                    <w:wordWrap w:val="0"/>
                    <w:jc w:val="center"/>
                    <w:rPr>
                      <w:bCs/>
                      <w:szCs w:val="21"/>
                    </w:rPr>
                  </w:pPr>
                  <w:r>
                    <w:rPr>
                      <w:rFonts w:hint="eastAsia"/>
                      <w:bCs/>
                      <w:szCs w:val="21"/>
                    </w:rPr>
                    <w:t>5</w:t>
                  </w:r>
                </w:p>
              </w:tc>
              <w:tc>
                <w:tcPr>
                  <w:tcW w:w="455" w:type="pct"/>
                  <w:shd w:val="clear" w:color="auto" w:fill="auto"/>
                  <w:tcMar>
                    <w:top w:w="0" w:type="dxa"/>
                    <w:left w:w="0" w:type="dxa"/>
                    <w:bottom w:w="0" w:type="dxa"/>
                    <w:right w:w="0" w:type="dxa"/>
                  </w:tcMar>
                  <w:vAlign w:val="center"/>
                </w:tcPr>
                <w:p w14:paraId="7DA2AF0B">
                  <w:pPr>
                    <w:wordWrap w:val="0"/>
                    <w:jc w:val="center"/>
                    <w:rPr>
                      <w:bCs/>
                      <w:szCs w:val="21"/>
                    </w:rPr>
                  </w:pPr>
                  <w:r>
                    <w:rPr>
                      <w:rFonts w:hint="eastAsia"/>
                      <w:bCs/>
                      <w:szCs w:val="21"/>
                    </w:rPr>
                    <w:t>56</w:t>
                  </w:r>
                </w:p>
              </w:tc>
              <w:tc>
                <w:tcPr>
                  <w:tcW w:w="372" w:type="pct"/>
                  <w:shd w:val="clear" w:color="auto" w:fill="auto"/>
                  <w:tcMar>
                    <w:top w:w="0" w:type="dxa"/>
                    <w:left w:w="0" w:type="dxa"/>
                    <w:bottom w:w="0" w:type="dxa"/>
                    <w:right w:w="0" w:type="dxa"/>
                  </w:tcMar>
                  <w:vAlign w:val="center"/>
                </w:tcPr>
                <w:p w14:paraId="652236B9">
                  <w:pPr>
                    <w:wordWrap w:val="0"/>
                    <w:jc w:val="center"/>
                    <w:rPr>
                      <w:bCs/>
                      <w:szCs w:val="21"/>
                    </w:rPr>
                  </w:pPr>
                  <w:r>
                    <w:rPr>
                      <w:rFonts w:hint="eastAsia"/>
                      <w:bCs/>
                      <w:szCs w:val="21"/>
                    </w:rPr>
                    <w:t>8h/d</w:t>
                  </w:r>
                </w:p>
              </w:tc>
              <w:tc>
                <w:tcPr>
                  <w:tcW w:w="446" w:type="pct"/>
                  <w:shd w:val="clear" w:color="auto" w:fill="auto"/>
                  <w:tcMar>
                    <w:top w:w="0" w:type="dxa"/>
                    <w:left w:w="0" w:type="dxa"/>
                    <w:bottom w:w="0" w:type="dxa"/>
                    <w:right w:w="0" w:type="dxa"/>
                  </w:tcMar>
                  <w:vAlign w:val="center"/>
                </w:tcPr>
                <w:p w14:paraId="6C9A4F9D">
                  <w:pPr>
                    <w:wordWrap w:val="0"/>
                    <w:jc w:val="center"/>
                    <w:rPr>
                      <w:bCs/>
                      <w:szCs w:val="21"/>
                    </w:rPr>
                  </w:pPr>
                  <w:r>
                    <w:rPr>
                      <w:rFonts w:hint="eastAsia"/>
                      <w:bCs/>
                      <w:szCs w:val="21"/>
                    </w:rPr>
                    <w:t>20</w:t>
                  </w:r>
                </w:p>
              </w:tc>
              <w:tc>
                <w:tcPr>
                  <w:tcW w:w="570" w:type="pct"/>
                  <w:shd w:val="clear" w:color="auto" w:fill="auto"/>
                  <w:tcMar>
                    <w:top w:w="0" w:type="dxa"/>
                    <w:left w:w="0" w:type="dxa"/>
                    <w:bottom w:w="0" w:type="dxa"/>
                    <w:right w:w="0" w:type="dxa"/>
                  </w:tcMar>
                  <w:vAlign w:val="center"/>
                </w:tcPr>
                <w:p w14:paraId="76ED3643">
                  <w:pPr>
                    <w:pStyle w:val="57"/>
                    <w:rPr>
                      <w:b w:val="0"/>
                      <w:bCs/>
                      <w:lang w:val="en-US"/>
                    </w:rPr>
                  </w:pPr>
                  <w:r>
                    <w:rPr>
                      <w:rFonts w:hint="eastAsia"/>
                      <w:b w:val="0"/>
                      <w:bCs/>
                      <w:lang w:val="en-US"/>
                    </w:rPr>
                    <w:t>46</w:t>
                  </w:r>
                </w:p>
              </w:tc>
              <w:tc>
                <w:tcPr>
                  <w:tcW w:w="247" w:type="pct"/>
                  <w:shd w:val="clear" w:color="auto" w:fill="auto"/>
                  <w:tcMar>
                    <w:top w:w="0" w:type="dxa"/>
                    <w:left w:w="0" w:type="dxa"/>
                    <w:bottom w:w="0" w:type="dxa"/>
                    <w:right w:w="0" w:type="dxa"/>
                  </w:tcMar>
                  <w:vAlign w:val="center"/>
                </w:tcPr>
                <w:p w14:paraId="0547AED7">
                  <w:pPr>
                    <w:wordWrap w:val="0"/>
                    <w:jc w:val="center"/>
                    <w:rPr>
                      <w:bCs/>
                      <w:szCs w:val="21"/>
                    </w:rPr>
                  </w:pPr>
                  <w:r>
                    <w:rPr>
                      <w:rFonts w:hint="eastAsia"/>
                      <w:bCs/>
                      <w:szCs w:val="21"/>
                    </w:rPr>
                    <w:t>1</w:t>
                  </w:r>
                </w:p>
              </w:tc>
            </w:tr>
          </w:tbl>
          <w:p w14:paraId="5E21D93D">
            <w:pPr>
              <w:pStyle w:val="57"/>
              <w:wordWrap w:val="0"/>
              <w:rPr>
                <w:lang w:val="en-US"/>
              </w:rPr>
            </w:pPr>
            <w:r>
              <w:rPr>
                <w:lang w:val="en-US"/>
              </w:rPr>
              <w:t>表4-</w:t>
            </w:r>
            <w:r>
              <w:rPr>
                <w:rFonts w:hint="eastAsia"/>
                <w:lang w:val="en-US" w:eastAsia="zh-CN"/>
              </w:rPr>
              <w:t>8</w:t>
            </w:r>
            <w:r>
              <w:rPr>
                <w:lang w:val="en-US"/>
              </w:rPr>
              <w:t>工业企业噪声源强调查清单（室</w:t>
            </w:r>
            <w:r>
              <w:rPr>
                <w:rFonts w:hint="eastAsia"/>
                <w:lang w:val="en-US"/>
              </w:rPr>
              <w:t>外</w:t>
            </w:r>
            <w:r>
              <w:rPr>
                <w:lang w:val="en-US"/>
              </w:rPr>
              <w:t>声源）</w:t>
            </w:r>
          </w:p>
          <w:tbl>
            <w:tblPr>
              <w:tblStyle w:val="35"/>
              <w:tblW w:w="94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787"/>
              <w:gridCol w:w="1419"/>
              <w:gridCol w:w="645"/>
              <w:gridCol w:w="646"/>
              <w:gridCol w:w="739"/>
              <w:gridCol w:w="2018"/>
              <w:gridCol w:w="1748"/>
              <w:gridCol w:w="875"/>
            </w:tblGrid>
            <w:tr w14:paraId="3AB15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exact"/>
                <w:jc w:val="center"/>
              </w:trPr>
              <w:tc>
                <w:tcPr>
                  <w:tcW w:w="560" w:type="dxa"/>
                  <w:vMerge w:val="restart"/>
                  <w:vAlign w:val="center"/>
                </w:tcPr>
                <w:p w14:paraId="5397D060">
                  <w:pPr>
                    <w:wordWrap w:val="0"/>
                    <w:jc w:val="center"/>
                    <w:rPr>
                      <w:rFonts w:eastAsiaTheme="minorEastAsia"/>
                      <w:b/>
                      <w:szCs w:val="21"/>
                    </w:rPr>
                  </w:pPr>
                  <w:r>
                    <w:rPr>
                      <w:rFonts w:eastAsiaTheme="minorEastAsia"/>
                      <w:b/>
                      <w:szCs w:val="21"/>
                    </w:rPr>
                    <w:t>序号</w:t>
                  </w:r>
                </w:p>
              </w:tc>
              <w:tc>
                <w:tcPr>
                  <w:tcW w:w="2206" w:type="dxa"/>
                  <w:gridSpan w:val="2"/>
                  <w:vMerge w:val="restart"/>
                  <w:vAlign w:val="center"/>
                </w:tcPr>
                <w:p w14:paraId="0221DD34">
                  <w:pPr>
                    <w:wordWrap w:val="0"/>
                    <w:jc w:val="center"/>
                    <w:rPr>
                      <w:rFonts w:eastAsiaTheme="minorEastAsia"/>
                      <w:b/>
                      <w:szCs w:val="21"/>
                    </w:rPr>
                  </w:pPr>
                  <w:r>
                    <w:rPr>
                      <w:rFonts w:eastAsiaTheme="minorEastAsia"/>
                      <w:b/>
                      <w:szCs w:val="21"/>
                    </w:rPr>
                    <w:t>声源名称</w:t>
                  </w:r>
                </w:p>
              </w:tc>
              <w:tc>
                <w:tcPr>
                  <w:tcW w:w="2030" w:type="dxa"/>
                  <w:gridSpan w:val="3"/>
                  <w:vAlign w:val="center"/>
                </w:tcPr>
                <w:p w14:paraId="682FBDB3">
                  <w:pPr>
                    <w:wordWrap w:val="0"/>
                    <w:jc w:val="center"/>
                    <w:rPr>
                      <w:rFonts w:eastAsiaTheme="minorEastAsia"/>
                      <w:b/>
                      <w:szCs w:val="21"/>
                    </w:rPr>
                  </w:pPr>
                  <w:r>
                    <w:rPr>
                      <w:rFonts w:eastAsiaTheme="minorEastAsia"/>
                      <w:b/>
                      <w:szCs w:val="21"/>
                    </w:rPr>
                    <w:t>空间相对位置/m</w:t>
                  </w:r>
                </w:p>
              </w:tc>
              <w:tc>
                <w:tcPr>
                  <w:tcW w:w="2018" w:type="dxa"/>
                  <w:vAlign w:val="center"/>
                </w:tcPr>
                <w:p w14:paraId="0A8D6382">
                  <w:pPr>
                    <w:wordWrap w:val="0"/>
                    <w:jc w:val="center"/>
                    <w:rPr>
                      <w:rFonts w:eastAsiaTheme="minorEastAsia"/>
                      <w:b/>
                      <w:szCs w:val="21"/>
                    </w:rPr>
                  </w:pPr>
                  <w:r>
                    <w:rPr>
                      <w:rFonts w:eastAsiaTheme="minorEastAsia"/>
                      <w:b/>
                      <w:szCs w:val="21"/>
                    </w:rPr>
                    <w:t>声源源强</w:t>
                  </w:r>
                </w:p>
              </w:tc>
              <w:tc>
                <w:tcPr>
                  <w:tcW w:w="1748" w:type="dxa"/>
                  <w:vMerge w:val="restart"/>
                  <w:vAlign w:val="center"/>
                </w:tcPr>
                <w:p w14:paraId="6D2F36C9">
                  <w:pPr>
                    <w:wordWrap w:val="0"/>
                    <w:jc w:val="center"/>
                    <w:rPr>
                      <w:rFonts w:eastAsiaTheme="minorEastAsia"/>
                      <w:szCs w:val="21"/>
                    </w:rPr>
                  </w:pPr>
                  <w:r>
                    <w:rPr>
                      <w:rFonts w:eastAsiaTheme="minorEastAsia"/>
                      <w:b/>
                      <w:szCs w:val="21"/>
                    </w:rPr>
                    <w:t>声源控制措施</w:t>
                  </w:r>
                </w:p>
              </w:tc>
              <w:tc>
                <w:tcPr>
                  <w:tcW w:w="875" w:type="dxa"/>
                  <w:vMerge w:val="restart"/>
                  <w:vAlign w:val="center"/>
                </w:tcPr>
                <w:p w14:paraId="47559E93">
                  <w:pPr>
                    <w:wordWrap w:val="0"/>
                    <w:jc w:val="center"/>
                    <w:rPr>
                      <w:rFonts w:eastAsiaTheme="minorEastAsia"/>
                      <w:szCs w:val="21"/>
                    </w:rPr>
                  </w:pPr>
                  <w:r>
                    <w:rPr>
                      <w:rFonts w:eastAsiaTheme="minorEastAsia"/>
                      <w:b/>
                      <w:szCs w:val="21"/>
                    </w:rPr>
                    <w:t>运行时段</w:t>
                  </w:r>
                </w:p>
              </w:tc>
            </w:tr>
            <w:tr w14:paraId="2F3AB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560" w:type="dxa"/>
                  <w:vMerge w:val="continue"/>
                  <w:shd w:val="clear" w:color="auto" w:fill="FFFFFF"/>
                  <w:vAlign w:val="center"/>
                </w:tcPr>
                <w:p w14:paraId="40E6C617">
                  <w:pPr>
                    <w:wordWrap w:val="0"/>
                    <w:jc w:val="center"/>
                    <w:rPr>
                      <w:rFonts w:eastAsiaTheme="minorEastAsia"/>
                      <w:b/>
                      <w:szCs w:val="21"/>
                    </w:rPr>
                  </w:pPr>
                </w:p>
              </w:tc>
              <w:tc>
                <w:tcPr>
                  <w:tcW w:w="2206" w:type="dxa"/>
                  <w:gridSpan w:val="2"/>
                  <w:vMerge w:val="continue"/>
                  <w:shd w:val="clear" w:color="auto" w:fill="FFFFFF"/>
                  <w:vAlign w:val="center"/>
                </w:tcPr>
                <w:p w14:paraId="704A2690">
                  <w:pPr>
                    <w:wordWrap w:val="0"/>
                    <w:jc w:val="center"/>
                    <w:rPr>
                      <w:rFonts w:eastAsiaTheme="minorEastAsia"/>
                      <w:b/>
                      <w:szCs w:val="21"/>
                    </w:rPr>
                  </w:pPr>
                </w:p>
              </w:tc>
              <w:tc>
                <w:tcPr>
                  <w:tcW w:w="645" w:type="dxa"/>
                  <w:shd w:val="clear" w:color="auto" w:fill="FFFFFF"/>
                  <w:vAlign w:val="center"/>
                </w:tcPr>
                <w:p w14:paraId="67B643B8">
                  <w:pPr>
                    <w:wordWrap w:val="0"/>
                    <w:jc w:val="center"/>
                    <w:rPr>
                      <w:rFonts w:eastAsiaTheme="minorEastAsia"/>
                      <w:b/>
                      <w:szCs w:val="21"/>
                    </w:rPr>
                  </w:pPr>
                  <w:r>
                    <w:rPr>
                      <w:rFonts w:eastAsiaTheme="minorEastAsia"/>
                      <w:b/>
                      <w:szCs w:val="21"/>
                    </w:rPr>
                    <w:t>X</w:t>
                  </w:r>
                </w:p>
              </w:tc>
              <w:tc>
                <w:tcPr>
                  <w:tcW w:w="646" w:type="dxa"/>
                  <w:shd w:val="clear" w:color="auto" w:fill="FFFFFF"/>
                  <w:vAlign w:val="center"/>
                </w:tcPr>
                <w:p w14:paraId="5650C8C7">
                  <w:pPr>
                    <w:wordWrap w:val="0"/>
                    <w:jc w:val="center"/>
                    <w:rPr>
                      <w:rFonts w:eastAsiaTheme="minorEastAsia"/>
                      <w:b/>
                      <w:szCs w:val="21"/>
                    </w:rPr>
                  </w:pPr>
                  <w:r>
                    <w:rPr>
                      <w:rFonts w:eastAsiaTheme="minorEastAsia"/>
                      <w:b/>
                      <w:szCs w:val="21"/>
                    </w:rPr>
                    <w:t>Y</w:t>
                  </w:r>
                </w:p>
              </w:tc>
              <w:tc>
                <w:tcPr>
                  <w:tcW w:w="739" w:type="dxa"/>
                  <w:shd w:val="clear" w:color="auto" w:fill="FFFFFF"/>
                  <w:vAlign w:val="center"/>
                </w:tcPr>
                <w:p w14:paraId="74335973">
                  <w:pPr>
                    <w:wordWrap w:val="0"/>
                    <w:jc w:val="center"/>
                    <w:rPr>
                      <w:rFonts w:eastAsiaTheme="minorEastAsia"/>
                      <w:b/>
                      <w:szCs w:val="21"/>
                    </w:rPr>
                  </w:pPr>
                  <w:r>
                    <w:rPr>
                      <w:rFonts w:eastAsiaTheme="minorEastAsia"/>
                      <w:b/>
                      <w:szCs w:val="21"/>
                    </w:rPr>
                    <w:t>Z</w:t>
                  </w:r>
                </w:p>
              </w:tc>
              <w:tc>
                <w:tcPr>
                  <w:tcW w:w="2018" w:type="dxa"/>
                  <w:shd w:val="clear" w:color="auto" w:fill="FFFFFF"/>
                  <w:vAlign w:val="center"/>
                </w:tcPr>
                <w:p w14:paraId="70FB84D7">
                  <w:pPr>
                    <w:wordWrap w:val="0"/>
                    <w:jc w:val="center"/>
                    <w:rPr>
                      <w:rFonts w:eastAsiaTheme="minorEastAsia"/>
                      <w:b/>
                      <w:szCs w:val="21"/>
                    </w:rPr>
                  </w:pPr>
                  <w:r>
                    <w:rPr>
                      <w:rFonts w:eastAsiaTheme="minorEastAsia"/>
                      <w:b/>
                      <w:szCs w:val="21"/>
                    </w:rPr>
                    <w:t>声功率级/dB</w:t>
                  </w:r>
                  <w:r>
                    <w:rPr>
                      <w:rFonts w:hint="eastAsia" w:eastAsiaTheme="minorEastAsia"/>
                      <w:b/>
                      <w:szCs w:val="21"/>
                    </w:rPr>
                    <w:t>（</w:t>
                  </w:r>
                  <w:r>
                    <w:rPr>
                      <w:rFonts w:eastAsiaTheme="minorEastAsia"/>
                      <w:b/>
                      <w:szCs w:val="21"/>
                    </w:rPr>
                    <w:t>A</w:t>
                  </w:r>
                  <w:r>
                    <w:rPr>
                      <w:rFonts w:hint="eastAsia" w:eastAsiaTheme="minorEastAsia"/>
                      <w:b/>
                      <w:szCs w:val="21"/>
                    </w:rPr>
                    <w:t>）</w:t>
                  </w:r>
                </w:p>
              </w:tc>
              <w:tc>
                <w:tcPr>
                  <w:tcW w:w="1748" w:type="dxa"/>
                  <w:vMerge w:val="continue"/>
                  <w:shd w:val="clear" w:color="auto" w:fill="FFFFFF"/>
                  <w:vAlign w:val="center"/>
                </w:tcPr>
                <w:p w14:paraId="7C2413E1">
                  <w:pPr>
                    <w:wordWrap w:val="0"/>
                    <w:jc w:val="center"/>
                    <w:rPr>
                      <w:rFonts w:eastAsiaTheme="minorEastAsia"/>
                      <w:szCs w:val="21"/>
                    </w:rPr>
                  </w:pPr>
                </w:p>
              </w:tc>
              <w:tc>
                <w:tcPr>
                  <w:tcW w:w="875" w:type="dxa"/>
                  <w:vMerge w:val="continue"/>
                  <w:shd w:val="clear" w:color="auto" w:fill="FFFFFF"/>
                  <w:vAlign w:val="center"/>
                </w:tcPr>
                <w:p w14:paraId="0F1B8E9C">
                  <w:pPr>
                    <w:wordWrap w:val="0"/>
                    <w:jc w:val="center"/>
                    <w:rPr>
                      <w:rFonts w:eastAsiaTheme="minorEastAsia"/>
                      <w:szCs w:val="21"/>
                    </w:rPr>
                  </w:pPr>
                </w:p>
              </w:tc>
            </w:tr>
            <w:tr w14:paraId="1A914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560" w:type="dxa"/>
                  <w:shd w:val="clear" w:color="auto" w:fill="FFFFFF"/>
                  <w:vAlign w:val="center"/>
                </w:tcPr>
                <w:p w14:paraId="79B7F8CD">
                  <w:pPr>
                    <w:wordWrap w:val="0"/>
                    <w:jc w:val="center"/>
                    <w:rPr>
                      <w:rFonts w:eastAsiaTheme="minorEastAsia"/>
                      <w:szCs w:val="21"/>
                    </w:rPr>
                  </w:pPr>
                  <w:r>
                    <w:rPr>
                      <w:rFonts w:hint="eastAsia" w:eastAsiaTheme="minorEastAsia"/>
                      <w:szCs w:val="21"/>
                    </w:rPr>
                    <w:t>1</w:t>
                  </w:r>
                </w:p>
              </w:tc>
              <w:tc>
                <w:tcPr>
                  <w:tcW w:w="787" w:type="dxa"/>
                  <w:shd w:val="clear" w:color="auto" w:fill="FFFFFF"/>
                  <w:vAlign w:val="center"/>
                </w:tcPr>
                <w:p w14:paraId="21D0BBFF">
                  <w:pPr>
                    <w:wordWrap w:val="0"/>
                    <w:jc w:val="center"/>
                    <w:rPr>
                      <w:bCs/>
                      <w:szCs w:val="21"/>
                    </w:rPr>
                  </w:pPr>
                  <w:r>
                    <w:rPr>
                      <w:rFonts w:hint="eastAsia"/>
                      <w:bCs/>
                    </w:rPr>
                    <w:t>2-8#厂房</w:t>
                  </w:r>
                </w:p>
              </w:tc>
              <w:tc>
                <w:tcPr>
                  <w:tcW w:w="1419" w:type="dxa"/>
                  <w:shd w:val="clear" w:color="auto" w:fill="FFFFFF"/>
                  <w:vAlign w:val="center"/>
                </w:tcPr>
                <w:p w14:paraId="5FC8F249">
                  <w:pPr>
                    <w:wordWrap w:val="0"/>
                    <w:jc w:val="center"/>
                    <w:rPr>
                      <w:bCs/>
                      <w:szCs w:val="21"/>
                    </w:rPr>
                  </w:pPr>
                  <w:r>
                    <w:rPr>
                      <w:rFonts w:hint="eastAsia"/>
                      <w:bCs/>
                      <w:szCs w:val="21"/>
                    </w:rPr>
                    <w:t>环保风机</w:t>
                  </w:r>
                </w:p>
                <w:p w14:paraId="3B03D3C1">
                  <w:pPr>
                    <w:wordWrap w:val="0"/>
                    <w:jc w:val="center"/>
                    <w:rPr>
                      <w:rFonts w:hint="eastAsia" w:eastAsia="宋体"/>
                      <w:bCs/>
                      <w:szCs w:val="21"/>
                      <w:lang w:eastAsia="zh-CN"/>
                    </w:rPr>
                  </w:pPr>
                  <w:r>
                    <w:rPr>
                      <w:rFonts w:hint="eastAsia"/>
                      <w:bCs/>
                      <w:szCs w:val="21"/>
                      <w:lang w:eastAsia="zh-CN"/>
                    </w:rPr>
                    <w:t>1#</w:t>
                  </w:r>
                </w:p>
              </w:tc>
              <w:tc>
                <w:tcPr>
                  <w:tcW w:w="645" w:type="dxa"/>
                  <w:shd w:val="clear" w:color="auto" w:fill="FFFFFF"/>
                  <w:vAlign w:val="center"/>
                </w:tcPr>
                <w:p w14:paraId="1CDF68E9">
                  <w:pPr>
                    <w:wordWrap w:val="0"/>
                    <w:jc w:val="center"/>
                    <w:rPr>
                      <w:bCs/>
                      <w:szCs w:val="21"/>
                    </w:rPr>
                  </w:pPr>
                  <w:r>
                    <w:rPr>
                      <w:rFonts w:hint="eastAsia"/>
                      <w:bCs/>
                      <w:szCs w:val="21"/>
                    </w:rPr>
                    <w:t>70</w:t>
                  </w:r>
                </w:p>
              </w:tc>
              <w:tc>
                <w:tcPr>
                  <w:tcW w:w="646" w:type="dxa"/>
                  <w:shd w:val="clear" w:color="auto" w:fill="FFFFFF"/>
                  <w:vAlign w:val="center"/>
                </w:tcPr>
                <w:p w14:paraId="41C8654C">
                  <w:pPr>
                    <w:wordWrap w:val="0"/>
                    <w:jc w:val="center"/>
                    <w:rPr>
                      <w:bCs/>
                      <w:szCs w:val="21"/>
                    </w:rPr>
                  </w:pPr>
                  <w:r>
                    <w:rPr>
                      <w:rFonts w:hint="eastAsia"/>
                      <w:bCs/>
                      <w:szCs w:val="21"/>
                    </w:rPr>
                    <w:t>80</w:t>
                  </w:r>
                </w:p>
              </w:tc>
              <w:tc>
                <w:tcPr>
                  <w:tcW w:w="739" w:type="dxa"/>
                  <w:shd w:val="clear" w:color="auto" w:fill="FFFFFF"/>
                  <w:vAlign w:val="center"/>
                </w:tcPr>
                <w:p w14:paraId="3FE2E65B">
                  <w:pPr>
                    <w:wordWrap w:val="0"/>
                    <w:jc w:val="center"/>
                    <w:rPr>
                      <w:bCs/>
                      <w:szCs w:val="21"/>
                    </w:rPr>
                  </w:pPr>
                  <w:r>
                    <w:rPr>
                      <w:rFonts w:hint="eastAsia"/>
                      <w:bCs/>
                      <w:szCs w:val="21"/>
                    </w:rPr>
                    <w:t>25.2</w:t>
                  </w:r>
                </w:p>
              </w:tc>
              <w:tc>
                <w:tcPr>
                  <w:tcW w:w="2018" w:type="dxa"/>
                  <w:shd w:val="clear" w:color="auto" w:fill="FFFFFF"/>
                  <w:vAlign w:val="center"/>
                </w:tcPr>
                <w:p w14:paraId="7EAC116A">
                  <w:pPr>
                    <w:wordWrap w:val="0"/>
                    <w:jc w:val="center"/>
                    <w:rPr>
                      <w:bCs/>
                      <w:szCs w:val="21"/>
                    </w:rPr>
                  </w:pPr>
                  <w:r>
                    <w:rPr>
                      <w:rFonts w:hint="eastAsia"/>
                      <w:bCs/>
                      <w:szCs w:val="21"/>
                    </w:rPr>
                    <w:t>90</w:t>
                  </w:r>
                </w:p>
              </w:tc>
              <w:tc>
                <w:tcPr>
                  <w:tcW w:w="1748" w:type="dxa"/>
                  <w:shd w:val="clear" w:color="auto" w:fill="FFFFFF"/>
                  <w:vAlign w:val="center"/>
                </w:tcPr>
                <w:p w14:paraId="2A24FFFA">
                  <w:pPr>
                    <w:wordWrap w:val="0"/>
                    <w:jc w:val="center"/>
                    <w:rPr>
                      <w:rFonts w:eastAsiaTheme="minorEastAsia"/>
                      <w:szCs w:val="21"/>
                    </w:rPr>
                  </w:pPr>
                  <w:r>
                    <w:rPr>
                      <w:rFonts w:hint="eastAsia" w:eastAsiaTheme="minorEastAsia"/>
                      <w:szCs w:val="21"/>
                    </w:rPr>
                    <w:t>风机利用隔声箱封闭，内壁设置隔音棉，基础减振，挠性连接</w:t>
                  </w:r>
                </w:p>
              </w:tc>
              <w:tc>
                <w:tcPr>
                  <w:tcW w:w="875" w:type="dxa"/>
                  <w:shd w:val="clear" w:color="auto" w:fill="FFFFFF"/>
                  <w:vAlign w:val="center"/>
                </w:tcPr>
                <w:p w14:paraId="687CE605">
                  <w:pPr>
                    <w:wordWrap w:val="0"/>
                    <w:jc w:val="center"/>
                    <w:rPr>
                      <w:rFonts w:eastAsiaTheme="minorEastAsia"/>
                      <w:szCs w:val="21"/>
                    </w:rPr>
                  </w:pPr>
                  <w:r>
                    <w:rPr>
                      <w:rFonts w:hint="eastAsia"/>
                      <w:bCs/>
                      <w:szCs w:val="21"/>
                    </w:rPr>
                    <w:t>24h/d</w:t>
                  </w:r>
                </w:p>
              </w:tc>
            </w:tr>
          </w:tbl>
          <w:p w14:paraId="51DB5977">
            <w:pPr>
              <w:wordWrap w:val="0"/>
              <w:adjustRightInd w:val="0"/>
              <w:snapToGrid w:val="0"/>
              <w:spacing w:line="360" w:lineRule="auto"/>
              <w:ind w:firstLine="482" w:firstLineChars="200"/>
              <w:rPr>
                <w:b/>
                <w:sz w:val="24"/>
              </w:rPr>
            </w:pPr>
            <w:r>
              <w:rPr>
                <w:rFonts w:hint="eastAsia"/>
                <w:b/>
                <w:sz w:val="24"/>
                <w:lang w:eastAsia="zh-CN"/>
              </w:rPr>
              <w:t>2.</w:t>
            </w:r>
            <w:r>
              <w:rPr>
                <w:rFonts w:hint="eastAsia"/>
                <w:b/>
                <w:sz w:val="24"/>
              </w:rPr>
              <w:t>预测模型</w:t>
            </w:r>
          </w:p>
          <w:p w14:paraId="670400FF">
            <w:pPr>
              <w:wordWrap w:val="0"/>
              <w:adjustRightInd w:val="0"/>
              <w:snapToGrid w:val="0"/>
              <w:spacing w:line="360" w:lineRule="auto"/>
              <w:ind w:firstLine="480" w:firstLineChars="200"/>
              <w:rPr>
                <w:bCs/>
                <w:sz w:val="24"/>
              </w:rPr>
            </w:pPr>
            <w:r>
              <w:rPr>
                <w:bCs/>
                <w:sz w:val="24"/>
              </w:rPr>
              <w:t>根据项目建设内容</w:t>
            </w:r>
            <w:r>
              <w:rPr>
                <w:rFonts w:hint="eastAsia"/>
                <w:bCs/>
                <w:sz w:val="24"/>
              </w:rPr>
              <w:t>，本项目高噪声设备均位于生产车间内，本次环评参考</w:t>
            </w:r>
            <w:r>
              <w:rPr>
                <w:bCs/>
                <w:sz w:val="24"/>
              </w:rPr>
              <w:t>《环境影响评价技术导则声环境》（HJ2.4-2021）</w:t>
            </w:r>
            <w:r>
              <w:rPr>
                <w:rFonts w:hint="eastAsia"/>
                <w:bCs/>
                <w:sz w:val="24"/>
              </w:rPr>
              <w:t>附录A和附录B中预测模式对项目声环境影响进行分析，预测模型如下。</w:t>
            </w:r>
          </w:p>
          <w:p w14:paraId="1FA71D84">
            <w:pPr>
              <w:tabs>
                <w:tab w:val="left" w:pos="540"/>
              </w:tabs>
              <w:wordWrap w:val="0"/>
              <w:spacing w:line="360" w:lineRule="auto"/>
              <w:ind w:firstLine="480" w:firstLineChars="200"/>
              <w:rPr>
                <w:bCs/>
                <w:kern w:val="21"/>
                <w:sz w:val="24"/>
              </w:rPr>
            </w:pPr>
            <w:r>
              <w:rPr>
                <w:rFonts w:hint="eastAsia"/>
                <w:sz w:val="24"/>
              </w:rPr>
              <w:t>（1）附录B.</w:t>
            </w:r>
            <w:r>
              <w:rPr>
                <w:rFonts w:hint="eastAsia"/>
                <w:bCs/>
                <w:kern w:val="21"/>
                <w:sz w:val="24"/>
              </w:rPr>
              <w:t>1.3室内声源等效室外声源声功率级计算方法</w:t>
            </w:r>
          </w:p>
          <w:p w14:paraId="6924137D">
            <w:pPr>
              <w:tabs>
                <w:tab w:val="left" w:pos="540"/>
              </w:tabs>
              <w:wordWrap w:val="0"/>
              <w:spacing w:line="360" w:lineRule="auto"/>
              <w:ind w:firstLine="480" w:firstLineChars="200"/>
              <w:rPr>
                <w:sz w:val="24"/>
              </w:rPr>
            </w:pPr>
            <w:r>
              <w:rPr>
                <w:rFonts w:hint="eastAsia"/>
                <w:bCs/>
                <w:kern w:val="21"/>
                <w:sz w:val="24"/>
              </w:rPr>
              <w:t>声源位于室内，室内声源可采用等效室外声源声功率级法进行计算。设靠近开口处（或窗户）室内、室外某倍频带的声压级或A声级分别为Lp1和Lp2。若声源所在室内声场为近似扩</w:t>
            </w:r>
            <w:r>
              <w:rPr>
                <w:sz w:val="24"/>
              </w:rPr>
              <w:t>散声场，则室外的倍频带声压级可按式（B.1）近似求出</w:t>
            </w:r>
            <w:r>
              <w:rPr>
                <w:rFonts w:hint="eastAsia"/>
                <w:sz w:val="24"/>
              </w:rPr>
              <w:t>：</w:t>
            </w:r>
          </w:p>
          <w:p w14:paraId="280C87A4">
            <w:pPr>
              <w:wordWrap w:val="0"/>
              <w:spacing w:line="360" w:lineRule="auto"/>
              <w:ind w:firstLine="480" w:firstLineChars="200"/>
              <w:jc w:val="center"/>
              <w:rPr>
                <w:sz w:val="24"/>
              </w:rPr>
            </w:pPr>
            <w:r>
              <w:rPr>
                <w:rFonts w:hint="eastAsia"/>
                <w:position w:val="-14"/>
                <w:sz w:val="24"/>
              </w:rPr>
              <w:object>
                <v:shape id="_x0000_i1025" o:spt="75" type="#_x0000_t75" style="height:18.5pt;width:94.95pt;" o:ole="t" filled="f" o:preferrelative="t" stroked="f" coordsize="21600,21600">
                  <v:path/>
                  <v:fill on="f" focussize="0,0"/>
                  <v:stroke on="f"/>
                  <v:imagedata r:id="rId23" o:title=""/>
                  <o:lock v:ext="edit" aspectratio="t"/>
                  <w10:wrap type="none"/>
                  <w10:anchorlock/>
                </v:shape>
                <o:OLEObject Type="Embed" ProgID="Equation.3" ShapeID="_x0000_i1025" DrawAspect="Content" ObjectID="_1468075725" r:id="rId22">
                  <o:LockedField>false</o:LockedField>
                </o:OLEObject>
              </w:object>
            </w:r>
            <w:r>
              <w:rPr>
                <w:sz w:val="24"/>
              </w:rPr>
              <w:t>（B.1）</w:t>
            </w:r>
          </w:p>
          <w:p w14:paraId="03BC6145">
            <w:pPr>
              <w:wordWrap w:val="0"/>
              <w:spacing w:line="360" w:lineRule="auto"/>
              <w:ind w:firstLine="480" w:firstLineChars="200"/>
              <w:jc w:val="left"/>
              <w:rPr>
                <w:sz w:val="24"/>
              </w:rPr>
            </w:pPr>
            <w:r>
              <w:rPr>
                <w:sz w:val="24"/>
              </w:rPr>
              <w:t>式中：</w:t>
            </w:r>
            <w:r>
              <w:rPr>
                <w:rFonts w:hint="eastAsia"/>
                <w:position w:val="-14"/>
                <w:sz w:val="24"/>
              </w:rPr>
              <w:object>
                <v:shape id="_x0000_i1026" o:spt="75" type="#_x0000_t75" style="height:18.5pt;width:17.85pt;" o:ole="t" filled="f" o:preferrelative="t" stroked="f" coordsize="21600,21600">
                  <v:path/>
                  <v:fill on="f" focussize="0,0"/>
                  <v:stroke on="f"/>
                  <v:imagedata r:id="rId25" o:title=""/>
                  <o:lock v:ext="edit" aspectratio="t"/>
                  <w10:wrap type="none"/>
                  <w10:anchorlock/>
                </v:shape>
                <o:OLEObject Type="Embed" ProgID="Equation.3" ShapeID="_x0000_i1026" DrawAspect="Content" ObjectID="_1468075726" r:id="rId24">
                  <o:LockedField>false</o:LockedField>
                </o:OLEObject>
              </w:object>
            </w:r>
            <w:r>
              <w:rPr>
                <w:sz w:val="24"/>
              </w:rPr>
              <w:t>——靠近开口处（或窗户）室内某倍频带的声压级或A声级，dB；</w:t>
            </w:r>
          </w:p>
          <w:p w14:paraId="6CEC3A81">
            <w:pPr>
              <w:wordWrap w:val="0"/>
              <w:spacing w:line="360" w:lineRule="auto"/>
              <w:ind w:firstLine="1200" w:firstLineChars="500"/>
              <w:jc w:val="left"/>
              <w:rPr>
                <w:sz w:val="24"/>
              </w:rPr>
            </w:pPr>
            <w:r>
              <w:rPr>
                <w:rFonts w:hint="eastAsia"/>
                <w:position w:val="-14"/>
                <w:sz w:val="24"/>
              </w:rPr>
              <w:object>
                <v:shape id="_x0000_i1027" o:spt="75" type="#_x0000_t75" style="height:18.5pt;width:18.5pt;" o:ole="t" filled="f" o:preferrelative="t" stroked="f" coordsize="21600,21600">
                  <v:path/>
                  <v:fill on="f" focussize="0,0"/>
                  <v:stroke on="f"/>
                  <v:imagedata r:id="rId27" o:title=""/>
                  <o:lock v:ext="edit" aspectratio="t"/>
                  <w10:wrap type="none"/>
                  <w10:anchorlock/>
                </v:shape>
                <o:OLEObject Type="Embed" ProgID="Equation.3" ShapeID="_x0000_i1027" DrawAspect="Content" ObjectID="_1468075727" r:id="rId26">
                  <o:LockedField>false</o:LockedField>
                </o:OLEObject>
              </w:object>
            </w:r>
            <w:r>
              <w:rPr>
                <w:sz w:val="24"/>
              </w:rPr>
              <w:t>——靠近开口处（或窗户）室外某倍频带的声压级或A声级，dB；</w:t>
            </w:r>
          </w:p>
          <w:p w14:paraId="3D8D47AC">
            <w:pPr>
              <w:wordWrap w:val="0"/>
              <w:spacing w:line="360" w:lineRule="auto"/>
              <w:ind w:firstLine="1200" w:firstLineChars="500"/>
              <w:jc w:val="left"/>
              <w:rPr>
                <w:sz w:val="24"/>
              </w:rPr>
            </w:pPr>
            <w:r>
              <w:rPr>
                <w:sz w:val="24"/>
              </w:rPr>
              <w:t>TL——隔墙（或窗户）倍频带或A声级的隔声量，dB。</w:t>
            </w:r>
          </w:p>
          <w:p w14:paraId="70035F08">
            <w:pPr>
              <w:wordWrap w:val="0"/>
              <w:spacing w:line="360" w:lineRule="auto"/>
              <w:ind w:firstLine="480" w:firstLineChars="200"/>
              <w:jc w:val="left"/>
              <w:rPr>
                <w:sz w:val="24"/>
              </w:rPr>
            </w:pPr>
            <w:r>
              <w:rPr>
                <w:sz w:val="24"/>
              </w:rPr>
              <w:t>也可按式（B.2）计算某一室内声源靠近围护结构处产生的倍频带声压级或A声级：</w:t>
            </w:r>
          </w:p>
          <w:p w14:paraId="4C61B609">
            <w:pPr>
              <w:wordWrap w:val="0"/>
              <w:spacing w:line="360" w:lineRule="auto"/>
              <w:ind w:firstLine="480" w:firstLineChars="200"/>
              <w:jc w:val="center"/>
              <w:rPr>
                <w:sz w:val="24"/>
              </w:rPr>
            </w:pPr>
            <w:r>
              <w:rPr>
                <w:rFonts w:hint="eastAsia"/>
                <w:position w:val="-28"/>
                <w:sz w:val="24"/>
              </w:rPr>
              <w:object>
                <v:shape id="_x0000_i1028" o:spt="75" type="#_x0000_t75" style="height:33.75pt;width:133.15pt;" o:ole="t" filled="f" o:preferrelative="t" stroked="f" coordsize="21600,21600">
                  <v:path/>
                  <v:fill on="f" focussize="0,0"/>
                  <v:stroke on="f"/>
                  <v:imagedata r:id="rId29" o:title=""/>
                  <o:lock v:ext="edit" aspectratio="t"/>
                  <w10:wrap type="none"/>
                  <w10:anchorlock/>
                </v:shape>
                <o:OLEObject Type="Embed" ProgID="Equation.3" ShapeID="_x0000_i1028" DrawAspect="Content" ObjectID="_1468075728" r:id="rId28">
                  <o:LockedField>false</o:LockedField>
                </o:OLEObject>
              </w:object>
            </w:r>
            <w:r>
              <w:rPr>
                <w:sz w:val="24"/>
              </w:rPr>
              <w:t>（B.2）</w:t>
            </w:r>
          </w:p>
          <w:p w14:paraId="5B91421F">
            <w:pPr>
              <w:wordWrap w:val="0"/>
              <w:spacing w:line="360" w:lineRule="auto"/>
              <w:ind w:firstLine="480" w:firstLineChars="200"/>
              <w:jc w:val="left"/>
              <w:rPr>
                <w:sz w:val="24"/>
              </w:rPr>
            </w:pPr>
            <w:r>
              <w:rPr>
                <w:sz w:val="24"/>
              </w:rPr>
              <w:t>式中：</w:t>
            </w:r>
            <w:r>
              <w:rPr>
                <w:rFonts w:hint="eastAsia"/>
                <w:position w:val="-14"/>
                <w:sz w:val="24"/>
              </w:rPr>
              <w:object>
                <v:shape id="_x0000_i1029" o:spt="75" type="#_x0000_t75" style="height:18.5pt;width:17.85pt;" o:ole="t" filled="f" o:preferrelative="t" stroked="f" coordsize="21600,21600">
                  <v:path/>
                  <v:fill on="f" focussize="0,0"/>
                  <v:stroke on="f"/>
                  <v:imagedata r:id="rId25" o:title=""/>
                  <o:lock v:ext="edit" aspectratio="t"/>
                  <w10:wrap type="none"/>
                  <w10:anchorlock/>
                </v:shape>
                <o:OLEObject Type="Embed" ProgID="Equation.3" ShapeID="_x0000_i1029" DrawAspect="Content" ObjectID="_1468075729" r:id="rId30">
                  <o:LockedField>false</o:LockedField>
                </o:OLEObject>
              </w:object>
            </w:r>
            <w:r>
              <w:rPr>
                <w:sz w:val="24"/>
              </w:rPr>
              <w:t>——靠近开口处（或窗户）室内某倍频带的声压级或A声级，dB；</w:t>
            </w:r>
          </w:p>
          <w:p w14:paraId="6EA28AB5">
            <w:pPr>
              <w:wordWrap w:val="0"/>
              <w:spacing w:line="360" w:lineRule="auto"/>
              <w:ind w:firstLine="1200" w:firstLineChars="500"/>
              <w:jc w:val="left"/>
              <w:rPr>
                <w:sz w:val="24"/>
              </w:rPr>
            </w:pPr>
            <w:r>
              <w:rPr>
                <w:rFonts w:hint="eastAsia"/>
                <w:position w:val="-12"/>
                <w:sz w:val="24"/>
              </w:rPr>
              <w:object>
                <v:shape id="_x0000_i1030" o:spt="75" type="#_x0000_t75" style="height:17.85pt;width:15.3pt;" o:ole="t" filled="f" o:preferrelative="t" stroked="f" coordsize="21600,21600">
                  <v:path/>
                  <v:fill on="f" focussize="0,0"/>
                  <v:stroke on="f"/>
                  <v:imagedata r:id="rId32" o:title=""/>
                  <o:lock v:ext="edit" aspectratio="t"/>
                  <w10:wrap type="none"/>
                  <w10:anchorlock/>
                </v:shape>
                <o:OLEObject Type="Embed" ProgID="Equation.3" ShapeID="_x0000_i1030" DrawAspect="Content" ObjectID="_1468075730" r:id="rId31">
                  <o:LockedField>false</o:LockedField>
                </o:OLEObject>
              </w:object>
            </w:r>
            <w:r>
              <w:rPr>
                <w:sz w:val="24"/>
              </w:rPr>
              <w:t>——点声源声功率级（A计权或倍频带），dB；</w:t>
            </w:r>
          </w:p>
          <w:p w14:paraId="6CB02DB9">
            <w:pPr>
              <w:wordWrap w:val="0"/>
              <w:spacing w:line="360" w:lineRule="auto"/>
              <w:ind w:firstLine="1200" w:firstLineChars="500"/>
              <w:jc w:val="left"/>
              <w:rPr>
                <w:sz w:val="24"/>
              </w:rPr>
            </w:pPr>
            <w:r>
              <w:rPr>
                <w:rFonts w:hint="eastAsia"/>
                <w:position w:val="-10"/>
                <w:sz w:val="24"/>
              </w:rPr>
              <w:object>
                <v:shape id="_x0000_i1031" o:spt="75" type="#_x0000_t75" style="height:15.95pt;width:11.45pt;" o:ole="t" filled="f" o:preferrelative="t" stroked="f" coordsize="21600,21600">
                  <v:path/>
                  <v:fill on="f" focussize="0,0"/>
                  <v:stroke on="f"/>
                  <v:imagedata r:id="rId34" o:title=""/>
                  <o:lock v:ext="edit" aspectratio="t"/>
                  <w10:wrap type="none"/>
                  <w10:anchorlock/>
                </v:shape>
                <o:OLEObject Type="Embed" ProgID="Equation.3" ShapeID="_x0000_i1031" DrawAspect="Content" ObjectID="_1468075731" r:id="rId33">
                  <o:LockedField>false</o:LockedField>
                </o:OLEObject>
              </w:object>
            </w:r>
            <w:r>
              <w:rPr>
                <w:sz w:val="24"/>
              </w:rPr>
              <w:t>——指向性因数；通常对无指向性声源，当声源放在房间中心时，</w:t>
            </w:r>
            <w:r>
              <w:rPr>
                <w:rFonts w:hint="eastAsia"/>
                <w:position w:val="-10"/>
                <w:sz w:val="24"/>
              </w:rPr>
              <w:object>
                <v:shape id="_x0000_i1032" o:spt="75" type="#_x0000_t75" style="height:15.95pt;width:27.4pt;" o:ole="t" filled="f" o:preferrelative="t" stroked="f" coordsize="21600,21600">
                  <v:path/>
                  <v:fill on="f" focussize="0,0"/>
                  <v:stroke on="f"/>
                  <v:imagedata r:id="rId36" o:title=""/>
                  <o:lock v:ext="edit" aspectratio="t"/>
                  <w10:wrap type="none"/>
                  <w10:anchorlock/>
                </v:shape>
                <o:OLEObject Type="Embed" ProgID="Equation.3" ShapeID="_x0000_i1032" DrawAspect="Content" ObjectID="_1468075732" r:id="rId35">
                  <o:LockedField>false</o:LockedField>
                </o:OLEObject>
              </w:object>
            </w:r>
            <w:r>
              <w:rPr>
                <w:sz w:val="24"/>
              </w:rPr>
              <w:t>；当放在一面墙的中心时，</w:t>
            </w:r>
            <w:r>
              <w:rPr>
                <w:rFonts w:hint="eastAsia"/>
                <w:position w:val="-10"/>
                <w:sz w:val="24"/>
              </w:rPr>
              <w:object>
                <v:shape id="_x0000_i1033" o:spt="75" type="#_x0000_t75" style="height:15.95pt;width:29.95pt;" o:ole="t" filled="f" o:preferrelative="t" stroked="f" coordsize="21600,21600">
                  <v:path/>
                  <v:fill on="f" focussize="0,0"/>
                  <v:stroke on="f"/>
                  <v:imagedata r:id="rId38" o:title=""/>
                  <o:lock v:ext="edit" aspectratio="t"/>
                  <w10:wrap type="none"/>
                  <w10:anchorlock/>
                </v:shape>
                <o:OLEObject Type="Embed" ProgID="Equation.3" ShapeID="_x0000_i1033" DrawAspect="Content" ObjectID="_1468075733" r:id="rId37">
                  <o:LockedField>false</o:LockedField>
                </o:OLEObject>
              </w:object>
            </w:r>
            <w:r>
              <w:rPr>
                <w:sz w:val="24"/>
              </w:rPr>
              <w:t>；当放在两面墙夹角处时，</w:t>
            </w:r>
            <w:r>
              <w:rPr>
                <w:rFonts w:hint="eastAsia"/>
                <w:position w:val="-10"/>
                <w:sz w:val="24"/>
              </w:rPr>
              <w:object>
                <v:shape id="_x0000_i1034" o:spt="75" type="#_x0000_t75" style="height:15.95pt;width:29.95pt;" o:ole="t" filled="f" o:preferrelative="t" stroked="f" coordsize="21600,21600">
                  <v:path/>
                  <v:fill on="f" focussize="0,0"/>
                  <v:stroke on="f"/>
                  <v:imagedata r:id="rId40" o:title=""/>
                  <o:lock v:ext="edit" aspectratio="t"/>
                  <w10:wrap type="none"/>
                  <w10:anchorlock/>
                </v:shape>
                <o:OLEObject Type="Embed" ProgID="Equation.3" ShapeID="_x0000_i1034" DrawAspect="Content" ObjectID="_1468075734" r:id="rId39">
                  <o:LockedField>false</o:LockedField>
                </o:OLEObject>
              </w:object>
            </w:r>
            <w:r>
              <w:rPr>
                <w:sz w:val="24"/>
              </w:rPr>
              <w:t>；当放在三面墙夹角处时，</w:t>
            </w:r>
            <w:r>
              <w:rPr>
                <w:rFonts w:hint="eastAsia"/>
                <w:position w:val="-10"/>
                <w:sz w:val="24"/>
              </w:rPr>
              <w:object>
                <v:shape id="_x0000_i1035" o:spt="75" type="#_x0000_t75" style="height:15.95pt;width:29.95pt;" o:ole="t" filled="f" o:preferrelative="t" stroked="f" coordsize="21600,21600">
                  <v:path/>
                  <v:fill on="f" focussize="0,0"/>
                  <v:stroke on="f"/>
                  <v:imagedata r:id="rId42" o:title=""/>
                  <o:lock v:ext="edit" aspectratio="t"/>
                  <w10:wrap type="none"/>
                  <w10:anchorlock/>
                </v:shape>
                <o:OLEObject Type="Embed" ProgID="Equation.3" ShapeID="_x0000_i1035" DrawAspect="Content" ObjectID="_1468075735" r:id="rId41">
                  <o:LockedField>false</o:LockedField>
                </o:OLEObject>
              </w:object>
            </w:r>
            <w:r>
              <w:rPr>
                <w:sz w:val="24"/>
              </w:rPr>
              <w:t>；</w:t>
            </w:r>
          </w:p>
          <w:p w14:paraId="3DD708AB">
            <w:pPr>
              <w:wordWrap w:val="0"/>
              <w:spacing w:line="360" w:lineRule="auto"/>
              <w:ind w:firstLine="1200" w:firstLineChars="500"/>
              <w:jc w:val="left"/>
              <w:rPr>
                <w:sz w:val="24"/>
              </w:rPr>
            </w:pPr>
            <w:r>
              <w:rPr>
                <w:rFonts w:hint="eastAsia"/>
                <w:position w:val="-4"/>
                <w:sz w:val="24"/>
              </w:rPr>
              <w:object>
                <v:shape id="_x0000_i1036" o:spt="75" type="#_x0000_t75" style="height:13.4pt;width:11.45pt;" o:ole="t" filled="f" o:preferrelative="t" stroked="f" coordsize="21600,21600">
                  <v:path/>
                  <v:fill on="f" focussize="0,0"/>
                  <v:stroke on="f"/>
                  <v:imagedata r:id="rId44" o:title=""/>
                  <o:lock v:ext="edit" aspectratio="t"/>
                  <w10:wrap type="none"/>
                  <w10:anchorlock/>
                </v:shape>
                <o:OLEObject Type="Embed" ProgID="Equation.3" ShapeID="_x0000_i1036" DrawAspect="Content" ObjectID="_1468075736" r:id="rId43">
                  <o:LockedField>false</o:LockedField>
                </o:OLEObject>
              </w:object>
            </w:r>
            <w:r>
              <w:rPr>
                <w:sz w:val="24"/>
              </w:rPr>
              <w:t>——房间常数；</w:t>
            </w:r>
            <w:r>
              <w:rPr>
                <w:rFonts w:hint="eastAsia"/>
                <w:position w:val="-10"/>
                <w:sz w:val="24"/>
              </w:rPr>
              <w:object>
                <v:shape id="_x0000_i1037" o:spt="75" type="#_x0000_t75" style="height:16.55pt;width:73.9pt;" o:ole="t" filled="f" o:preferrelative="t" stroked="f" coordsize="21600,21600">
                  <v:path/>
                  <v:fill on="f" focussize="0,0"/>
                  <v:stroke on="f"/>
                  <v:imagedata r:id="rId46" o:title=""/>
                  <o:lock v:ext="edit" aspectratio="t"/>
                  <w10:wrap type="none"/>
                  <w10:anchorlock/>
                </v:shape>
                <o:OLEObject Type="Embed" ProgID="Equation.3" ShapeID="_x0000_i1037" DrawAspect="Content" ObjectID="_1468075737" r:id="rId45">
                  <o:LockedField>false</o:LockedField>
                </o:OLEObject>
              </w:object>
            </w:r>
            <w:r>
              <w:rPr>
                <w:sz w:val="24"/>
              </w:rPr>
              <w:t>，</w:t>
            </w:r>
            <w:r>
              <w:rPr>
                <w:rFonts w:hint="eastAsia"/>
                <w:position w:val="-6"/>
                <w:sz w:val="24"/>
              </w:rPr>
              <w:object>
                <v:shape id="_x0000_i1038" o:spt="75" type="#_x0000_t75" style="height:14pt;width:10.85pt;" o:ole="t" filled="f" o:preferrelative="t" stroked="f" coordsize="21600,21600">
                  <v:path/>
                  <v:fill on="f" focussize="0,0"/>
                  <v:stroke on="f"/>
                  <v:imagedata r:id="rId48" o:title=""/>
                  <o:lock v:ext="edit" aspectratio="t"/>
                  <w10:wrap type="none"/>
                  <w10:anchorlock/>
                </v:shape>
                <o:OLEObject Type="Embed" ProgID="Equation.3" ShapeID="_x0000_i1038" DrawAspect="Content" ObjectID="_1468075738" r:id="rId47">
                  <o:LockedField>false</o:LockedField>
                </o:OLEObject>
              </w:object>
            </w:r>
            <w:r>
              <w:rPr>
                <w:sz w:val="24"/>
              </w:rPr>
              <w:t>为房间内表面面积，</w:t>
            </w:r>
            <w:r>
              <w:rPr>
                <w:rFonts w:hint="eastAsia"/>
                <w:position w:val="-6"/>
                <w:sz w:val="24"/>
              </w:rPr>
              <w:object>
                <v:shape id="_x0000_i1039" o:spt="75" type="#_x0000_t75" style="height:15.95pt;width:16.55pt;" o:ole="t" filled="f" o:preferrelative="t" stroked="f" coordsize="21600,21600">
                  <v:path/>
                  <v:fill on="f" focussize="0,0"/>
                  <v:stroke on="f"/>
                  <v:imagedata r:id="rId50" o:title=""/>
                  <o:lock v:ext="edit" aspectratio="t"/>
                  <w10:wrap type="none"/>
                  <w10:anchorlock/>
                </v:shape>
                <o:OLEObject Type="Embed" ProgID="Equation.3" ShapeID="_x0000_i1039" DrawAspect="Content" ObjectID="_1468075739" r:id="rId49">
                  <o:LockedField>false</o:LockedField>
                </o:OLEObject>
              </w:object>
            </w:r>
            <w:r>
              <w:rPr>
                <w:sz w:val="24"/>
              </w:rPr>
              <w:t>；</w:t>
            </w:r>
            <w:r>
              <w:rPr>
                <w:rFonts w:hint="eastAsia"/>
                <w:position w:val="-6"/>
                <w:sz w:val="24"/>
              </w:rPr>
              <w:object>
                <v:shape id="_x0000_i1040" o:spt="75" type="#_x0000_t75" style="height:10.85pt;width:11.45pt;" o:ole="t" filled="f" o:preferrelative="t" stroked="f" coordsize="21600,21600">
                  <v:path/>
                  <v:fill on="f" focussize="0,0"/>
                  <v:stroke on="f"/>
                  <v:imagedata r:id="rId52" o:title=""/>
                  <o:lock v:ext="edit" aspectratio="t"/>
                  <w10:wrap type="none"/>
                  <w10:anchorlock/>
                </v:shape>
                <o:OLEObject Type="Embed" ProgID="Equation.3" ShapeID="_x0000_i1040" DrawAspect="Content" ObjectID="_1468075740" r:id="rId51">
                  <o:LockedField>false</o:LockedField>
                </o:OLEObject>
              </w:object>
            </w:r>
            <w:r>
              <w:rPr>
                <w:sz w:val="24"/>
              </w:rPr>
              <w:t>为平均吸声系数；</w:t>
            </w:r>
          </w:p>
          <w:p w14:paraId="7D7468B3">
            <w:pPr>
              <w:wordWrap w:val="0"/>
              <w:spacing w:line="360" w:lineRule="auto"/>
              <w:ind w:firstLine="1200" w:firstLineChars="500"/>
              <w:jc w:val="left"/>
              <w:rPr>
                <w:sz w:val="24"/>
              </w:rPr>
            </w:pPr>
            <w:r>
              <w:rPr>
                <w:rFonts w:hint="eastAsia"/>
                <w:position w:val="-4"/>
                <w:sz w:val="24"/>
              </w:rPr>
              <w:object>
                <v:shape id="_x0000_i1041" o:spt="75" type="#_x0000_t75" style="height:10.2pt;width:8.3pt;" o:ole="t" filled="f" o:preferrelative="t" stroked="f" coordsize="21600,21600">
                  <v:path/>
                  <v:fill on="f" focussize="0,0"/>
                  <v:stroke on="f"/>
                  <v:imagedata r:id="rId54" o:title=""/>
                  <o:lock v:ext="edit" aspectratio="t"/>
                  <w10:wrap type="none"/>
                  <w10:anchorlock/>
                </v:shape>
                <o:OLEObject Type="Embed" ProgID="Equation.3" ShapeID="_x0000_i1041" DrawAspect="Content" ObjectID="_1468075741" r:id="rId53">
                  <o:LockedField>false</o:LockedField>
                </o:OLEObject>
              </w:object>
            </w:r>
            <w:r>
              <w:rPr>
                <w:sz w:val="24"/>
              </w:rPr>
              <w:t>——声源到靠近围护结构某点处的距离，m。</w:t>
            </w:r>
          </w:p>
          <w:p w14:paraId="75E1A066">
            <w:pPr>
              <w:wordWrap w:val="0"/>
              <w:spacing w:line="360" w:lineRule="auto"/>
              <w:ind w:firstLine="480" w:firstLineChars="200"/>
              <w:jc w:val="left"/>
              <w:rPr>
                <w:sz w:val="24"/>
              </w:rPr>
            </w:pPr>
            <w:r>
              <w:rPr>
                <w:sz w:val="24"/>
              </w:rPr>
              <w:t>然后按式（B.3）计算出所有室内声源在围护结构处产生的</w:t>
            </w:r>
            <w:r>
              <w:rPr>
                <w:rFonts w:hint="eastAsia"/>
                <w:position w:val="-6"/>
                <w:sz w:val="24"/>
              </w:rPr>
              <w:object>
                <v:shape id="_x0000_i1042" o:spt="75" type="#_x0000_t75" style="height:13.4pt;width:7pt;" o:ole="t" filled="f" o:preferrelative="t" stroked="f" coordsize="21600,21600">
                  <v:path/>
                  <v:fill on="f" focussize="0,0"/>
                  <v:stroke on="f"/>
                  <v:imagedata r:id="rId56" o:title=""/>
                  <o:lock v:ext="edit" aspectratio="t"/>
                  <w10:wrap type="none"/>
                  <w10:anchorlock/>
                </v:shape>
                <o:OLEObject Type="Embed" ProgID="Equation.3" ShapeID="_x0000_i1042" DrawAspect="Content" ObjectID="_1468075742" r:id="rId55">
                  <o:LockedField>false</o:LockedField>
                </o:OLEObject>
              </w:object>
            </w:r>
            <w:r>
              <w:rPr>
                <w:sz w:val="24"/>
              </w:rPr>
              <w:t>倍频带叠加声压级：</w:t>
            </w:r>
          </w:p>
          <w:p w14:paraId="6BD34F2E">
            <w:pPr>
              <w:wordWrap w:val="0"/>
              <w:spacing w:line="360" w:lineRule="auto"/>
              <w:ind w:firstLine="480" w:firstLineChars="200"/>
              <w:jc w:val="center"/>
              <w:rPr>
                <w:sz w:val="24"/>
              </w:rPr>
            </w:pPr>
            <w:r>
              <w:rPr>
                <w:rFonts w:hint="eastAsia"/>
                <w:position w:val="-34"/>
                <w:sz w:val="24"/>
              </w:rPr>
              <w:object>
                <v:shape id="_x0000_i1043" o:spt="75" type="#_x0000_t75" style="height:40.15pt;width:130.6pt;" o:ole="t" filled="f" o:preferrelative="t" stroked="f" coordsize="21600,21600">
                  <v:path/>
                  <v:fill on="f" focussize="0,0"/>
                  <v:stroke on="f"/>
                  <v:imagedata r:id="rId58" o:title=""/>
                  <o:lock v:ext="edit" aspectratio="t"/>
                  <w10:wrap type="none"/>
                  <w10:anchorlock/>
                </v:shape>
                <o:OLEObject Type="Embed" ProgID="Equation.3" ShapeID="_x0000_i1043" DrawAspect="Content" ObjectID="_1468075743" r:id="rId57">
                  <o:LockedField>false</o:LockedField>
                </o:OLEObject>
              </w:object>
            </w:r>
            <w:r>
              <w:rPr>
                <w:sz w:val="24"/>
              </w:rPr>
              <w:t>（B.3）</w:t>
            </w:r>
          </w:p>
          <w:p w14:paraId="249187BB">
            <w:pPr>
              <w:wordWrap w:val="0"/>
              <w:spacing w:line="360" w:lineRule="auto"/>
              <w:ind w:firstLine="480" w:firstLineChars="200"/>
              <w:jc w:val="left"/>
              <w:rPr>
                <w:sz w:val="24"/>
              </w:rPr>
            </w:pPr>
            <w:r>
              <w:rPr>
                <w:sz w:val="24"/>
              </w:rPr>
              <w:t>式中：</w:t>
            </w:r>
            <w:r>
              <w:rPr>
                <w:rFonts w:hint="eastAsia"/>
                <w:position w:val="-14"/>
                <w:sz w:val="24"/>
              </w:rPr>
              <w:object>
                <v:shape id="_x0000_i1044" o:spt="75" type="#_x0000_t75" style="height:18.5pt;width:36.95pt;" o:ole="t" filled="f" o:preferrelative="t" stroked="f" coordsize="21600,21600">
                  <v:path/>
                  <v:fill on="f" focussize="0,0"/>
                  <v:stroke on="f"/>
                  <v:imagedata r:id="rId60" o:title=""/>
                  <o:lock v:ext="edit" aspectratio="t"/>
                  <w10:wrap type="none"/>
                  <w10:anchorlock/>
                </v:shape>
                <o:OLEObject Type="Embed" ProgID="Equation.3" ShapeID="_x0000_i1044" DrawAspect="Content" ObjectID="_1468075744" r:id="rId59">
                  <o:LockedField>false</o:LockedField>
                </o:OLEObject>
              </w:object>
            </w:r>
            <w:r>
              <w:rPr>
                <w:sz w:val="24"/>
              </w:rPr>
              <w:t>——靠近围护结构处室内</w:t>
            </w:r>
            <w:r>
              <w:rPr>
                <w:rFonts w:hint="eastAsia"/>
                <w:position w:val="-6"/>
                <w:sz w:val="24"/>
              </w:rPr>
              <w:object>
                <v:shape id="_x0000_i1045" o:spt="75" type="#_x0000_t75" style="height:14pt;width:14pt;" o:ole="t" filled="f" o:preferrelative="t" stroked="f" coordsize="21600,21600">
                  <v:path/>
                  <v:fill on="f" focussize="0,0"/>
                  <v:stroke on="f"/>
                  <v:imagedata r:id="rId62" o:title=""/>
                  <o:lock v:ext="edit" aspectratio="t"/>
                  <w10:wrap type="none"/>
                  <w10:anchorlock/>
                </v:shape>
                <o:OLEObject Type="Embed" ProgID="Equation.3" ShapeID="_x0000_i1045" DrawAspect="Content" ObjectID="_1468075745" r:id="rId61">
                  <o:LockedField>false</o:LockedField>
                </o:OLEObject>
              </w:object>
            </w:r>
            <w:r>
              <w:rPr>
                <w:sz w:val="24"/>
              </w:rPr>
              <w:t>个声源</w:t>
            </w:r>
            <w:r>
              <w:rPr>
                <w:rFonts w:hint="eastAsia"/>
                <w:position w:val="-6"/>
                <w:sz w:val="24"/>
              </w:rPr>
              <w:object>
                <v:shape id="_x0000_i1046" o:spt="75" type="#_x0000_t75" style="height:13.4pt;width:7pt;" o:ole="t" filled="f" o:preferrelative="t" stroked="f" coordsize="21600,21600">
                  <v:path/>
                  <v:fill on="f" focussize="0,0"/>
                  <v:stroke on="f"/>
                  <v:imagedata r:id="rId56" o:title=""/>
                  <o:lock v:ext="edit" aspectratio="t"/>
                  <w10:wrap type="none"/>
                  <w10:anchorlock/>
                </v:shape>
                <o:OLEObject Type="Embed" ProgID="Equation.3" ShapeID="_x0000_i1046" DrawAspect="Content" ObjectID="_1468075746" r:id="rId63">
                  <o:LockedField>false</o:LockedField>
                </o:OLEObject>
              </w:object>
            </w:r>
            <w:r>
              <w:rPr>
                <w:sz w:val="24"/>
              </w:rPr>
              <w:t>倍频带的叠加声压级，dB；</w:t>
            </w:r>
          </w:p>
          <w:p w14:paraId="7E10D9AF">
            <w:pPr>
              <w:wordWrap w:val="0"/>
              <w:spacing w:line="360" w:lineRule="auto"/>
              <w:ind w:firstLine="1200" w:firstLineChars="500"/>
              <w:jc w:val="left"/>
              <w:rPr>
                <w:sz w:val="24"/>
              </w:rPr>
            </w:pPr>
            <w:r>
              <w:rPr>
                <w:rFonts w:hint="eastAsia"/>
                <w:position w:val="-14"/>
                <w:sz w:val="24"/>
              </w:rPr>
              <w:object>
                <v:shape id="_x0000_i1047" o:spt="75" type="#_x0000_t75" style="height:18.5pt;width:22.95pt;" o:ole="t" filled="f" o:preferrelative="t" stroked="f" coordsize="21600,21600">
                  <v:path/>
                  <v:fill on="f" focussize="0,0"/>
                  <v:stroke on="f"/>
                  <v:imagedata r:id="rId65" o:title=""/>
                  <o:lock v:ext="edit" aspectratio="t"/>
                  <w10:wrap type="none"/>
                  <w10:anchorlock/>
                </v:shape>
                <o:OLEObject Type="Embed" ProgID="Equation.3" ShapeID="_x0000_i1047" DrawAspect="Content" ObjectID="_1468075747" r:id="rId64">
                  <o:LockedField>false</o:LockedField>
                </o:OLEObject>
              </w:object>
            </w:r>
            <w:r>
              <w:rPr>
                <w:sz w:val="24"/>
              </w:rPr>
              <w:t>——室内</w:t>
            </w:r>
            <w:r>
              <w:rPr>
                <w:rFonts w:hint="eastAsia"/>
                <w:position w:val="-10"/>
                <w:sz w:val="24"/>
              </w:rPr>
              <w:object>
                <v:shape id="_x0000_i1048" o:spt="75" type="#_x0000_t75" style="height:15.3pt;width:10.2pt;" o:ole="t" filled="f" o:preferrelative="t" stroked="f" coordsize="21600,21600">
                  <v:path/>
                  <v:fill on="f" focussize="0,0"/>
                  <v:stroke on="f"/>
                  <v:imagedata r:id="rId67" o:title=""/>
                  <o:lock v:ext="edit" aspectratio="t"/>
                  <w10:wrap type="none"/>
                  <w10:anchorlock/>
                </v:shape>
                <o:OLEObject Type="Embed" ProgID="Equation.3" ShapeID="_x0000_i1048" DrawAspect="Content" ObjectID="_1468075748" r:id="rId66">
                  <o:LockedField>false</o:LockedField>
                </o:OLEObject>
              </w:object>
            </w:r>
            <w:r>
              <w:rPr>
                <w:sz w:val="24"/>
              </w:rPr>
              <w:t>声源</w:t>
            </w:r>
            <w:r>
              <w:rPr>
                <w:rFonts w:hint="eastAsia"/>
                <w:position w:val="-6"/>
                <w:sz w:val="24"/>
              </w:rPr>
              <w:object>
                <v:shape id="_x0000_i1049" o:spt="75" type="#_x0000_t75" style="height:13.4pt;width:7pt;" o:ole="t" filled="f" o:preferrelative="t" stroked="f" coordsize="21600,21600">
                  <v:path/>
                  <v:fill on="f" focussize="0,0"/>
                  <v:stroke on="f"/>
                  <v:imagedata r:id="rId56" o:title=""/>
                  <o:lock v:ext="edit" aspectratio="t"/>
                  <w10:wrap type="none"/>
                  <w10:anchorlock/>
                </v:shape>
                <o:OLEObject Type="Embed" ProgID="Equation.3" ShapeID="_x0000_i1049" DrawAspect="Content" ObjectID="_1468075749" r:id="rId68">
                  <o:LockedField>false</o:LockedField>
                </o:OLEObject>
              </w:object>
            </w:r>
            <w:r>
              <w:rPr>
                <w:sz w:val="24"/>
              </w:rPr>
              <w:t>倍频带的声压级，dB；</w:t>
            </w:r>
          </w:p>
          <w:p w14:paraId="677C1D16">
            <w:pPr>
              <w:wordWrap w:val="0"/>
              <w:spacing w:line="360" w:lineRule="auto"/>
              <w:ind w:firstLine="1200" w:firstLineChars="500"/>
              <w:jc w:val="left"/>
              <w:rPr>
                <w:sz w:val="24"/>
              </w:rPr>
            </w:pPr>
            <w:r>
              <w:rPr>
                <w:rFonts w:hint="eastAsia"/>
                <w:position w:val="-6"/>
                <w:sz w:val="24"/>
              </w:rPr>
              <w:object>
                <v:shape id="_x0000_i1050" o:spt="75" type="#_x0000_t75" style="height:14pt;width:14pt;" o:ole="t" filled="f" o:preferrelative="t" stroked="f" coordsize="21600,21600">
                  <v:path/>
                  <v:fill on="f" focussize="0,0"/>
                  <v:stroke on="f"/>
                  <v:imagedata r:id="rId62" o:title=""/>
                  <o:lock v:ext="edit" aspectratio="t"/>
                  <w10:wrap type="none"/>
                  <w10:anchorlock/>
                </v:shape>
                <o:OLEObject Type="Embed" ProgID="Equation.3" ShapeID="_x0000_i1050" DrawAspect="Content" ObjectID="_1468075750" r:id="rId69">
                  <o:LockedField>false</o:LockedField>
                </o:OLEObject>
              </w:object>
            </w:r>
            <w:r>
              <w:rPr>
                <w:sz w:val="24"/>
              </w:rPr>
              <w:t>——室内声源总数。</w:t>
            </w:r>
          </w:p>
          <w:p w14:paraId="1F74C16A">
            <w:pPr>
              <w:wordWrap w:val="0"/>
              <w:spacing w:line="360" w:lineRule="auto"/>
              <w:ind w:firstLine="480" w:firstLineChars="200"/>
              <w:jc w:val="center"/>
              <w:rPr>
                <w:sz w:val="24"/>
              </w:rPr>
            </w:pPr>
            <w:r>
              <w:rPr>
                <w:sz w:val="24"/>
              </w:rPr>
              <w:t>在室内近似为扩散声场时，按式（B.4）计算出靠近室外围护结构处的声压级：</w:t>
            </w:r>
            <w:r>
              <w:rPr>
                <w:rFonts w:hint="eastAsia"/>
                <w:position w:val="-14"/>
                <w:sz w:val="24"/>
              </w:rPr>
              <w:object>
                <v:shape id="_x0000_i1051" o:spt="75" type="#_x0000_t75" style="height:18.5pt;width:131.9pt;" o:ole="t" filled="f" o:preferrelative="t" stroked="f" coordsize="21600,21600">
                  <v:path/>
                  <v:fill on="f" focussize="0,0"/>
                  <v:stroke on="f"/>
                  <v:imagedata r:id="rId71" o:title=""/>
                  <o:lock v:ext="edit" aspectratio="t"/>
                  <w10:wrap type="none"/>
                  <w10:anchorlock/>
                </v:shape>
                <o:OLEObject Type="Embed" ProgID="Equation.3" ShapeID="_x0000_i1051" DrawAspect="Content" ObjectID="_1468075751" r:id="rId70">
                  <o:LockedField>false</o:LockedField>
                </o:OLEObject>
              </w:object>
            </w:r>
            <w:r>
              <w:rPr>
                <w:sz w:val="24"/>
              </w:rPr>
              <w:t>（B.4）</w:t>
            </w:r>
          </w:p>
          <w:p w14:paraId="5D2CD2FA">
            <w:pPr>
              <w:wordWrap w:val="0"/>
              <w:spacing w:line="360" w:lineRule="auto"/>
              <w:ind w:firstLine="480" w:firstLineChars="200"/>
              <w:jc w:val="center"/>
              <w:rPr>
                <w:sz w:val="24"/>
              </w:rPr>
            </w:pPr>
            <w:r>
              <w:rPr>
                <w:sz w:val="24"/>
              </w:rPr>
              <w:t>式中：</w:t>
            </w:r>
            <w:r>
              <w:rPr>
                <w:rFonts w:hint="eastAsia"/>
                <w:position w:val="-14"/>
                <w:sz w:val="24"/>
              </w:rPr>
              <w:object>
                <v:shape id="_x0000_i1052" o:spt="75" type="#_x0000_t75" style="height:18.5pt;width:38.25pt;" o:ole="t" filled="f" o:preferrelative="t" stroked="f" coordsize="21600,21600">
                  <v:path/>
                  <v:fill on="f" focussize="0,0"/>
                  <v:stroke on="f"/>
                  <v:imagedata r:id="rId73" o:title=""/>
                  <o:lock v:ext="edit" aspectratio="t"/>
                  <w10:wrap type="none"/>
                  <w10:anchorlock/>
                </v:shape>
                <o:OLEObject Type="Embed" ProgID="Equation.3" ShapeID="_x0000_i1052" DrawAspect="Content" ObjectID="_1468075752" r:id="rId72">
                  <o:LockedField>false</o:LockedField>
                </o:OLEObject>
              </w:object>
            </w:r>
            <w:r>
              <w:rPr>
                <w:sz w:val="24"/>
              </w:rPr>
              <w:t>——靠近围护结构处室外</w:t>
            </w:r>
            <w:r>
              <w:rPr>
                <w:rFonts w:hint="eastAsia"/>
                <w:position w:val="-6"/>
                <w:sz w:val="24"/>
              </w:rPr>
              <w:object>
                <v:shape id="_x0000_i1053" o:spt="75" type="#_x0000_t75" style="height:14pt;width:14pt;" o:ole="t" filled="f" o:preferrelative="t" stroked="f" coordsize="21600,21600">
                  <v:path/>
                  <v:fill on="f" focussize="0,0"/>
                  <v:stroke on="f"/>
                  <v:imagedata r:id="rId62" o:title=""/>
                  <o:lock v:ext="edit" aspectratio="t"/>
                  <w10:wrap type="none"/>
                  <w10:anchorlock/>
                </v:shape>
                <o:OLEObject Type="Embed" ProgID="Equation.3" ShapeID="_x0000_i1053" DrawAspect="Content" ObjectID="_1468075753" r:id="rId74">
                  <o:LockedField>false</o:LockedField>
                </o:OLEObject>
              </w:object>
            </w:r>
            <w:r>
              <w:rPr>
                <w:sz w:val="24"/>
              </w:rPr>
              <w:t>个声源</w:t>
            </w:r>
            <w:r>
              <w:rPr>
                <w:rFonts w:hint="eastAsia"/>
                <w:position w:val="-6"/>
                <w:sz w:val="24"/>
              </w:rPr>
              <w:object>
                <v:shape id="_x0000_i1054" o:spt="75" type="#_x0000_t75" style="height:13.4pt;width:7pt;" o:ole="t" filled="f" o:preferrelative="t" stroked="f" coordsize="21600,21600">
                  <v:path/>
                  <v:fill on="f" focussize="0,0"/>
                  <v:stroke on="f"/>
                  <v:imagedata r:id="rId56" o:title=""/>
                  <o:lock v:ext="edit" aspectratio="t"/>
                  <w10:wrap type="none"/>
                  <w10:anchorlock/>
                </v:shape>
                <o:OLEObject Type="Embed" ProgID="Equation.3" ShapeID="_x0000_i1054" DrawAspect="Content" ObjectID="_1468075754" r:id="rId75">
                  <o:LockedField>false</o:LockedField>
                </o:OLEObject>
              </w:object>
            </w:r>
            <w:r>
              <w:rPr>
                <w:sz w:val="24"/>
              </w:rPr>
              <w:t>倍频带的叠加声压级，dB；</w:t>
            </w:r>
            <w:r>
              <w:rPr>
                <w:rFonts w:hint="eastAsia"/>
                <w:position w:val="-14"/>
                <w:sz w:val="24"/>
              </w:rPr>
              <w:object>
                <v:shape id="_x0000_i1055" o:spt="75" type="#_x0000_t75" style="height:18.5pt;width:36.95pt;" o:ole="t" filled="f" o:preferrelative="t" stroked="f" coordsize="21600,21600">
                  <v:path/>
                  <v:fill on="f" focussize="0,0"/>
                  <v:stroke on="f"/>
                  <v:imagedata r:id="rId77" o:title=""/>
                  <o:lock v:ext="edit" aspectratio="t"/>
                  <w10:wrap type="none"/>
                  <w10:anchorlock/>
                </v:shape>
                <o:OLEObject Type="Embed" ProgID="Equation.3" ShapeID="_x0000_i1055" DrawAspect="Content" ObjectID="_1468075755" r:id="rId76">
                  <o:LockedField>false</o:LockedField>
                </o:OLEObject>
              </w:object>
            </w:r>
            <w:r>
              <w:rPr>
                <w:sz w:val="24"/>
              </w:rPr>
              <w:t>——靠近围护结构处室内</w:t>
            </w:r>
            <w:r>
              <w:rPr>
                <w:rFonts w:hint="eastAsia"/>
                <w:position w:val="-6"/>
                <w:sz w:val="24"/>
              </w:rPr>
              <w:object>
                <v:shape id="_x0000_i1056" o:spt="75" type="#_x0000_t75" style="height:14pt;width:14pt;" o:ole="t" filled="f" o:preferrelative="t" stroked="f" coordsize="21600,21600">
                  <v:path/>
                  <v:fill on="f" focussize="0,0"/>
                  <v:stroke on="f"/>
                  <v:imagedata r:id="rId62" o:title=""/>
                  <o:lock v:ext="edit" aspectratio="t"/>
                  <w10:wrap type="none"/>
                  <w10:anchorlock/>
                </v:shape>
                <o:OLEObject Type="Embed" ProgID="Equation.3" ShapeID="_x0000_i1056" DrawAspect="Content" ObjectID="_1468075756" r:id="rId78">
                  <o:LockedField>false</o:LockedField>
                </o:OLEObject>
              </w:object>
            </w:r>
            <w:r>
              <w:rPr>
                <w:sz w:val="24"/>
              </w:rPr>
              <w:t>个声源</w:t>
            </w:r>
            <w:r>
              <w:rPr>
                <w:rFonts w:hint="eastAsia"/>
                <w:position w:val="-6"/>
                <w:sz w:val="24"/>
              </w:rPr>
              <w:object>
                <v:shape id="_x0000_i1057" o:spt="75" type="#_x0000_t75" style="height:13.4pt;width:7pt;" o:ole="t" filled="f" o:preferrelative="t" stroked="f" coordsize="21600,21600">
                  <v:path/>
                  <v:fill on="f" focussize="0,0"/>
                  <v:stroke on="f"/>
                  <v:imagedata r:id="rId56" o:title=""/>
                  <o:lock v:ext="edit" aspectratio="t"/>
                  <w10:wrap type="none"/>
                  <w10:anchorlock/>
                </v:shape>
                <o:OLEObject Type="Embed" ProgID="Equation.3" ShapeID="_x0000_i1057" DrawAspect="Content" ObjectID="_1468075757" r:id="rId79">
                  <o:LockedField>false</o:LockedField>
                </o:OLEObject>
              </w:object>
            </w:r>
            <w:r>
              <w:rPr>
                <w:sz w:val="24"/>
              </w:rPr>
              <w:t>倍频带的叠加声压级，dB；</w:t>
            </w:r>
          </w:p>
          <w:p w14:paraId="1BA6A800">
            <w:pPr>
              <w:wordWrap w:val="0"/>
              <w:spacing w:line="360" w:lineRule="auto"/>
              <w:ind w:firstLine="1200" w:firstLineChars="500"/>
              <w:jc w:val="left"/>
              <w:rPr>
                <w:sz w:val="24"/>
              </w:rPr>
            </w:pPr>
            <w:r>
              <w:rPr>
                <w:rFonts w:hint="eastAsia"/>
                <w:position w:val="-12"/>
                <w:sz w:val="24"/>
              </w:rPr>
              <w:object>
                <v:shape id="_x0000_i1058" o:spt="75" type="#_x0000_t75" style="height:17.85pt;width:17.85pt;" o:ole="t" filled="f" o:preferrelative="t" stroked="f" coordsize="21600,21600">
                  <v:path/>
                  <v:fill on="f" focussize="0,0"/>
                  <v:stroke on="f"/>
                  <v:imagedata r:id="rId81" o:title=""/>
                  <o:lock v:ext="edit" aspectratio="t"/>
                  <w10:wrap type="none"/>
                  <w10:anchorlock/>
                </v:shape>
                <o:OLEObject Type="Embed" ProgID="Equation.3" ShapeID="_x0000_i1058" DrawAspect="Content" ObjectID="_1468075758" r:id="rId80">
                  <o:LockedField>false</o:LockedField>
                </o:OLEObject>
              </w:object>
            </w:r>
            <w:r>
              <w:rPr>
                <w:sz w:val="24"/>
              </w:rPr>
              <w:t>——围护结构</w:t>
            </w:r>
            <w:r>
              <w:rPr>
                <w:rFonts w:hint="eastAsia"/>
                <w:position w:val="-6"/>
                <w:sz w:val="24"/>
              </w:rPr>
              <w:object>
                <v:shape id="_x0000_i1059" o:spt="75" type="#_x0000_t75" style="height:13.4pt;width:7pt;" o:ole="t" filled="f" o:preferrelative="t" stroked="f" coordsize="21600,21600">
                  <v:path/>
                  <v:fill on="f" focussize="0,0"/>
                  <v:stroke on="f"/>
                  <v:imagedata r:id="rId56" o:title=""/>
                  <o:lock v:ext="edit" aspectratio="t"/>
                  <w10:wrap type="none"/>
                  <w10:anchorlock/>
                </v:shape>
                <o:OLEObject Type="Embed" ProgID="Equation.3" ShapeID="_x0000_i1059" DrawAspect="Content" ObjectID="_1468075759" r:id="rId82">
                  <o:LockedField>false</o:LockedField>
                </o:OLEObject>
              </w:object>
            </w:r>
            <w:r>
              <w:rPr>
                <w:sz w:val="24"/>
              </w:rPr>
              <w:t>倍频带的隔声量，dB。</w:t>
            </w:r>
          </w:p>
          <w:p w14:paraId="6387C00B">
            <w:pPr>
              <w:wordWrap w:val="0"/>
              <w:spacing w:line="360" w:lineRule="auto"/>
              <w:ind w:firstLine="480" w:firstLineChars="200"/>
              <w:jc w:val="left"/>
              <w:rPr>
                <w:sz w:val="24"/>
              </w:rPr>
            </w:pPr>
            <w:r>
              <w:rPr>
                <w:sz w:val="24"/>
              </w:rPr>
              <w:t>然后按式（B.5）将室外声源的声压级和透过面积换算成等效的室外声源，计算出中心位置位于透声面积（</w:t>
            </w:r>
            <w:r>
              <w:rPr>
                <w:rFonts w:hint="eastAsia"/>
                <w:position w:val="-6"/>
                <w:sz w:val="24"/>
              </w:rPr>
              <w:object>
                <v:shape id="_x0000_i1060" o:spt="75" type="#_x0000_t75" style="height:14pt;width:10.85pt;" o:ole="t" filled="f" o:preferrelative="t" stroked="f" coordsize="21600,21600">
                  <v:path/>
                  <v:fill on="f" focussize="0,0"/>
                  <v:stroke on="f"/>
                  <v:imagedata r:id="rId84" o:title=""/>
                  <o:lock v:ext="edit" aspectratio="t"/>
                  <w10:wrap type="none"/>
                  <w10:anchorlock/>
                </v:shape>
                <o:OLEObject Type="Embed" ProgID="Equation.3" ShapeID="_x0000_i1060" DrawAspect="Content" ObjectID="_1468075760" r:id="rId83">
                  <o:LockedField>false</o:LockedField>
                </o:OLEObject>
              </w:object>
            </w:r>
            <w:r>
              <w:rPr>
                <w:sz w:val="24"/>
              </w:rPr>
              <w:t>）处的等效声源的倍频带声功率级。</w:t>
            </w:r>
          </w:p>
          <w:p w14:paraId="69DF611A">
            <w:pPr>
              <w:wordWrap w:val="0"/>
              <w:spacing w:line="360" w:lineRule="auto"/>
              <w:ind w:firstLine="480" w:firstLineChars="200"/>
              <w:jc w:val="center"/>
              <w:rPr>
                <w:sz w:val="24"/>
              </w:rPr>
            </w:pPr>
            <w:r>
              <w:rPr>
                <w:rFonts w:hint="eastAsia"/>
                <w:position w:val="-14"/>
                <w:sz w:val="24"/>
              </w:rPr>
              <w:object>
                <v:shape id="_x0000_i1061" o:spt="75" type="#_x0000_t75" style="height:18.5pt;width:101.3pt;" o:ole="t" filled="f" o:preferrelative="t" stroked="f" coordsize="21600,21600">
                  <v:path/>
                  <v:fill on="f" focussize="0,0"/>
                  <v:stroke on="f"/>
                  <v:imagedata r:id="rId86" o:title=""/>
                  <o:lock v:ext="edit" aspectratio="t"/>
                  <w10:wrap type="none"/>
                  <w10:anchorlock/>
                </v:shape>
                <o:OLEObject Type="Embed" ProgID="Equation.3" ShapeID="_x0000_i1061" DrawAspect="Content" ObjectID="_1468075761" r:id="rId85">
                  <o:LockedField>false</o:LockedField>
                </o:OLEObject>
              </w:object>
            </w:r>
            <w:r>
              <w:rPr>
                <w:sz w:val="24"/>
              </w:rPr>
              <w:t>（B.5）</w:t>
            </w:r>
          </w:p>
          <w:p w14:paraId="399D0CFE">
            <w:pPr>
              <w:wordWrap w:val="0"/>
              <w:spacing w:line="360" w:lineRule="auto"/>
              <w:ind w:firstLine="480" w:firstLineChars="200"/>
              <w:jc w:val="left"/>
              <w:rPr>
                <w:sz w:val="24"/>
              </w:rPr>
            </w:pPr>
            <w:r>
              <w:rPr>
                <w:sz w:val="24"/>
              </w:rPr>
              <w:t>式中：</w:t>
            </w:r>
            <w:r>
              <w:rPr>
                <w:rFonts w:hint="eastAsia"/>
                <w:position w:val="-12"/>
                <w:sz w:val="24"/>
              </w:rPr>
              <w:object>
                <v:shape id="_x0000_i1062" o:spt="75" type="#_x0000_t75" style="height:17.85pt;width:15.3pt;" o:ole="t" filled="f" o:preferrelative="t" stroked="f" coordsize="21600,21600">
                  <v:path/>
                  <v:fill on="f" focussize="0,0"/>
                  <v:stroke on="f"/>
                  <v:imagedata r:id="rId88" o:title=""/>
                  <o:lock v:ext="edit" aspectratio="t"/>
                  <w10:wrap type="none"/>
                  <w10:anchorlock/>
                </v:shape>
                <o:OLEObject Type="Embed" ProgID="Equation.3" ShapeID="_x0000_i1062" DrawAspect="Content" ObjectID="_1468075762" r:id="rId87">
                  <o:LockedField>false</o:LockedField>
                </o:OLEObject>
              </w:object>
            </w:r>
            <w:r>
              <w:rPr>
                <w:sz w:val="24"/>
              </w:rPr>
              <w:t>——中心位置位于透声面积（</w:t>
            </w:r>
            <w:r>
              <w:rPr>
                <w:rFonts w:hint="eastAsia"/>
                <w:position w:val="-6"/>
                <w:sz w:val="24"/>
              </w:rPr>
              <w:object>
                <v:shape id="_x0000_i1063" o:spt="75" type="#_x0000_t75" style="height:14pt;width:10.85pt;" o:ole="t" filled="f" o:preferrelative="t" stroked="f" coordsize="21600,21600">
                  <v:path/>
                  <v:fill on="f" focussize="0,0"/>
                  <v:stroke on="f"/>
                  <v:imagedata r:id="rId84" o:title=""/>
                  <o:lock v:ext="edit" aspectratio="t"/>
                  <w10:wrap type="none"/>
                  <w10:anchorlock/>
                </v:shape>
                <o:OLEObject Type="Embed" ProgID="Equation.3" ShapeID="_x0000_i1063" DrawAspect="Content" ObjectID="_1468075763" r:id="rId89">
                  <o:LockedField>false</o:LockedField>
                </o:OLEObject>
              </w:object>
            </w:r>
            <w:r>
              <w:rPr>
                <w:sz w:val="24"/>
              </w:rPr>
              <w:t>）处的等效声源的倍频带声功率级，dB；</w:t>
            </w:r>
          </w:p>
          <w:p w14:paraId="5908515A">
            <w:pPr>
              <w:wordWrap w:val="0"/>
              <w:spacing w:line="360" w:lineRule="auto"/>
              <w:ind w:firstLine="1200" w:firstLineChars="500"/>
              <w:jc w:val="left"/>
              <w:rPr>
                <w:sz w:val="24"/>
              </w:rPr>
            </w:pPr>
            <w:r>
              <w:rPr>
                <w:rFonts w:hint="eastAsia"/>
                <w:position w:val="-14"/>
                <w:sz w:val="24"/>
              </w:rPr>
              <w:object>
                <v:shape id="_x0000_i1064" o:spt="75" type="#_x0000_t75" style="height:18.5pt;width:34.4pt;" o:ole="t" filled="f" o:preferrelative="t" stroked="f" coordsize="21600,21600">
                  <v:path/>
                  <v:fill on="f" focussize="0,0"/>
                  <v:stroke on="f"/>
                  <v:imagedata r:id="rId91" o:title=""/>
                  <o:lock v:ext="edit" aspectratio="t"/>
                  <w10:wrap type="none"/>
                  <w10:anchorlock/>
                </v:shape>
                <o:OLEObject Type="Embed" ProgID="Equation.3" ShapeID="_x0000_i1064" DrawAspect="Content" ObjectID="_1468075764" r:id="rId90">
                  <o:LockedField>false</o:LockedField>
                </o:OLEObject>
              </w:object>
            </w:r>
            <w:r>
              <w:rPr>
                <w:sz w:val="24"/>
              </w:rPr>
              <w:t>——靠近围护结构处室外声源的声压级，dB；</w:t>
            </w:r>
          </w:p>
          <w:p w14:paraId="2F25C4CF">
            <w:pPr>
              <w:wordWrap w:val="0"/>
              <w:spacing w:line="360" w:lineRule="auto"/>
              <w:ind w:firstLine="1200" w:firstLineChars="500"/>
              <w:jc w:val="left"/>
              <w:rPr>
                <w:sz w:val="24"/>
              </w:rPr>
            </w:pPr>
            <w:r>
              <w:rPr>
                <w:rFonts w:hint="eastAsia"/>
                <w:position w:val="-6"/>
                <w:sz w:val="24"/>
              </w:rPr>
              <w:object>
                <v:shape id="_x0000_i1065" o:spt="75" type="#_x0000_t75" style="height:14pt;width:10.85pt;" o:ole="t" filled="f" o:preferrelative="t" stroked="f" coordsize="21600,21600">
                  <v:path/>
                  <v:fill on="f" focussize="0,0"/>
                  <v:stroke on="f"/>
                  <v:imagedata r:id="rId84" o:title=""/>
                  <o:lock v:ext="edit" aspectratio="t"/>
                  <w10:wrap type="none"/>
                  <w10:anchorlock/>
                </v:shape>
                <o:OLEObject Type="Embed" ProgID="Equation.3" ShapeID="_x0000_i1065" DrawAspect="Content" ObjectID="_1468075765" r:id="rId92">
                  <o:LockedField>false</o:LockedField>
                </o:OLEObject>
              </w:object>
            </w:r>
            <w:r>
              <w:rPr>
                <w:sz w:val="24"/>
              </w:rPr>
              <w:t>——透声面积，</w:t>
            </w:r>
            <w:r>
              <w:rPr>
                <w:rFonts w:hint="eastAsia"/>
                <w:position w:val="-6"/>
                <w:sz w:val="24"/>
              </w:rPr>
              <w:object>
                <v:shape id="_x0000_i1066" o:spt="75" type="#_x0000_t75" style="height:15.95pt;width:16.55pt;" o:ole="t" filled="f" o:preferrelative="t" stroked="f" coordsize="21600,21600">
                  <v:path/>
                  <v:fill on="f" focussize="0,0"/>
                  <v:stroke on="f"/>
                  <v:imagedata r:id="rId50" o:title=""/>
                  <o:lock v:ext="edit" aspectratio="t"/>
                  <w10:wrap type="none"/>
                  <w10:anchorlock/>
                </v:shape>
                <o:OLEObject Type="Embed" ProgID="Equation.3" ShapeID="_x0000_i1066" DrawAspect="Content" ObjectID="_1468075766" r:id="rId93">
                  <o:LockedField>false</o:LockedField>
                </o:OLEObject>
              </w:object>
            </w:r>
            <w:r>
              <w:rPr>
                <w:sz w:val="24"/>
              </w:rPr>
              <w:t>。</w:t>
            </w:r>
          </w:p>
          <w:p w14:paraId="56FC0E3E">
            <w:pPr>
              <w:wordWrap w:val="0"/>
              <w:spacing w:line="360" w:lineRule="auto"/>
              <w:ind w:firstLine="480" w:firstLineChars="200"/>
              <w:jc w:val="left"/>
              <w:rPr>
                <w:sz w:val="24"/>
              </w:rPr>
            </w:pPr>
            <w:r>
              <w:rPr>
                <w:sz w:val="24"/>
              </w:rPr>
              <w:t>然后按室外声源预测方法计算预测点处的A声级。</w:t>
            </w:r>
          </w:p>
          <w:p w14:paraId="1EBB4095">
            <w:pPr>
              <w:wordWrap w:val="0"/>
              <w:spacing w:line="360" w:lineRule="auto"/>
              <w:ind w:firstLine="480" w:firstLineChars="200"/>
              <w:jc w:val="left"/>
              <w:rPr>
                <w:sz w:val="24"/>
              </w:rPr>
            </w:pPr>
            <w:r>
              <w:rPr>
                <w:rFonts w:hint="eastAsia"/>
                <w:sz w:val="24"/>
              </w:rPr>
              <w:t>（2）附录A.3.1.3面声源的几何发散衰减</w:t>
            </w:r>
          </w:p>
          <w:p w14:paraId="10A968BA">
            <w:pPr>
              <w:wordWrap w:val="0"/>
              <w:spacing w:line="360" w:lineRule="auto"/>
              <w:ind w:firstLine="480" w:firstLineChars="200"/>
              <w:jc w:val="left"/>
              <w:rPr>
                <w:sz w:val="24"/>
              </w:rPr>
            </w:pPr>
            <w:r>
              <w:rPr>
                <w:rFonts w:hint="eastAsia"/>
                <w:sz w:val="24"/>
              </w:rPr>
              <w:t>一个大型机器设备的振动表面，车间透声的墙壁，均可以认为是面声源。如果已知面声源单位面积的声功率为W，各面积元噪声的位相是随机的，面声源可看作由无数点声源连续分布组合而成，其合成声级可按能量叠加法求出。</w:t>
            </w:r>
          </w:p>
          <w:p w14:paraId="4E235DD1">
            <w:pPr>
              <w:wordWrap w:val="0"/>
              <w:spacing w:line="360" w:lineRule="auto"/>
              <w:ind w:firstLine="480" w:firstLineChars="200"/>
              <w:jc w:val="left"/>
              <w:rPr>
                <w:sz w:val="24"/>
              </w:rPr>
            </w:pPr>
            <w:r>
              <w:rPr>
                <w:rFonts w:hint="eastAsia"/>
                <w:sz w:val="24"/>
              </w:rPr>
              <w:t>当预测点和面声源中心距离r处于以下条件时，可按下述方法近似计算：</w:t>
            </w:r>
          </w:p>
          <w:p w14:paraId="3DD3083F">
            <w:pPr>
              <w:wordWrap w:val="0"/>
              <w:spacing w:line="360" w:lineRule="auto"/>
              <w:ind w:firstLine="480" w:firstLineChars="200"/>
              <w:jc w:val="left"/>
              <w:rPr>
                <w:sz w:val="24"/>
              </w:rPr>
            </w:pPr>
            <w:r>
              <w:rPr>
                <w:rFonts w:hint="eastAsia"/>
                <w:sz w:val="24"/>
              </w:rPr>
              <w:t>①</w:t>
            </w:r>
            <w:r>
              <w:rPr>
                <w:rFonts w:hint="eastAsia"/>
                <w:position w:val="-6"/>
                <w:sz w:val="24"/>
              </w:rPr>
              <w:object>
                <v:shape id="_x0000_i1067" o:spt="75" type="#_x0000_t75" style="height:14pt;width:42.05pt;" o:ole="t" filled="f" o:preferrelative="t" stroked="f" coordsize="21600,21600">
                  <v:path/>
                  <v:fill on="f" focussize="0,0"/>
                  <v:stroke on="f"/>
                  <v:imagedata r:id="rId95" o:title=""/>
                  <o:lock v:ext="edit" aspectratio="t"/>
                  <w10:wrap type="none"/>
                  <w10:anchorlock/>
                </v:shape>
                <o:OLEObject Type="Embed" ProgID="Equation.3" ShapeID="_x0000_i1067" DrawAspect="Content" ObjectID="_1468075767" r:id="rId94">
                  <o:LockedField>false</o:LockedField>
                </o:OLEObject>
              </w:object>
            </w:r>
            <w:r>
              <w:rPr>
                <w:rFonts w:hint="eastAsia"/>
                <w:sz w:val="24"/>
              </w:rPr>
              <w:t>时，几乎不衰减（</w:t>
            </w:r>
            <w:r>
              <w:rPr>
                <w:rFonts w:hint="eastAsia"/>
                <w:position w:val="-12"/>
                <w:sz w:val="24"/>
              </w:rPr>
              <w:object>
                <v:shape id="_x0000_i1068" o:spt="75" type="#_x0000_t75" style="height:17.85pt;width:38.85pt;" o:ole="t" filled="f" o:preferrelative="t" stroked="f" coordsize="21600,21600">
                  <v:path/>
                  <v:fill on="f" focussize="0,0"/>
                  <v:stroke on="f"/>
                  <v:imagedata r:id="rId97" o:title=""/>
                  <o:lock v:ext="edit" aspectratio="t"/>
                  <w10:wrap type="none"/>
                  <w10:anchorlock/>
                </v:shape>
                <o:OLEObject Type="Embed" ProgID="Equation.3" ShapeID="_x0000_i1068" DrawAspect="Content" ObjectID="_1468075768" r:id="rId96">
                  <o:LockedField>false</o:LockedField>
                </o:OLEObject>
              </w:object>
            </w:r>
            <w:r>
              <w:rPr>
                <w:rFonts w:hint="eastAsia"/>
                <w:sz w:val="24"/>
              </w:rPr>
              <w:t>）；</w:t>
            </w:r>
          </w:p>
          <w:p w14:paraId="63F03340">
            <w:pPr>
              <w:wordWrap w:val="0"/>
              <w:spacing w:line="360" w:lineRule="auto"/>
              <w:ind w:firstLine="480" w:firstLineChars="200"/>
              <w:jc w:val="left"/>
              <w:rPr>
                <w:sz w:val="24"/>
              </w:rPr>
            </w:pPr>
            <w:r>
              <w:rPr>
                <w:rFonts w:hint="eastAsia"/>
                <w:sz w:val="24"/>
              </w:rPr>
              <w:t>②</w:t>
            </w:r>
            <w:r>
              <w:rPr>
                <w:rFonts w:hint="eastAsia"/>
                <w:position w:val="-6"/>
                <w:sz w:val="24"/>
              </w:rPr>
              <w:object>
                <v:shape id="_x0000_i1069" o:spt="75" type="#_x0000_t75" style="height:14pt;width:73.25pt;" o:ole="t" filled="f" o:preferrelative="t" stroked="f" coordsize="21600,21600">
                  <v:path/>
                  <v:fill on="f" focussize="0,0"/>
                  <v:stroke on="f"/>
                  <v:imagedata r:id="rId99" o:title=""/>
                  <o:lock v:ext="edit" aspectratio="t"/>
                  <w10:wrap type="none"/>
                  <w10:anchorlock/>
                </v:shape>
                <o:OLEObject Type="Embed" ProgID="Equation.3" ShapeID="_x0000_i1069" DrawAspect="Content" ObjectID="_1468075769" r:id="rId98">
                  <o:LockedField>false</o:LockedField>
                </o:OLEObject>
              </w:object>
            </w:r>
            <w:r>
              <w:rPr>
                <w:rFonts w:hint="eastAsia"/>
                <w:sz w:val="24"/>
              </w:rPr>
              <w:t>，距离加倍衰减3dB左右，类似线声源衰减特性</w:t>
            </w:r>
            <w:r>
              <w:rPr>
                <w:rFonts w:hint="eastAsia"/>
                <w:position w:val="-12"/>
                <w:sz w:val="24"/>
              </w:rPr>
              <w:object>
                <v:shape id="_x0000_i1070" o:spt="75" type="#_x0000_t75" style="height:17.85pt;width:85.4pt;" o:ole="t" filled="f" o:preferrelative="t" stroked="f" coordsize="21600,21600">
                  <v:path/>
                  <v:fill on="f" focussize="0,0"/>
                  <v:stroke on="f"/>
                  <v:imagedata r:id="rId101" o:title=""/>
                  <o:lock v:ext="edit" aspectratio="t"/>
                  <w10:wrap type="none"/>
                  <w10:anchorlock/>
                </v:shape>
                <o:OLEObject Type="Embed" ProgID="Equation.3" ShapeID="_x0000_i1070" DrawAspect="Content" ObjectID="_1468075770" r:id="rId100">
                  <o:LockedField>false</o:LockedField>
                </o:OLEObject>
              </w:object>
            </w:r>
            <w:r>
              <w:rPr>
                <w:rFonts w:hint="eastAsia"/>
                <w:sz w:val="24"/>
              </w:rPr>
              <w:t>；</w:t>
            </w:r>
          </w:p>
          <w:p w14:paraId="10EAFA57">
            <w:pPr>
              <w:wordWrap w:val="0"/>
              <w:spacing w:line="360" w:lineRule="auto"/>
              <w:ind w:firstLine="480" w:firstLineChars="200"/>
              <w:jc w:val="left"/>
              <w:rPr>
                <w:sz w:val="24"/>
              </w:rPr>
            </w:pPr>
            <w:r>
              <w:rPr>
                <w:rFonts w:hint="eastAsia"/>
                <w:sz w:val="24"/>
              </w:rPr>
              <w:t>③</w:t>
            </w:r>
            <w:r>
              <w:rPr>
                <w:rFonts w:hint="eastAsia"/>
                <w:position w:val="-6"/>
                <w:sz w:val="24"/>
              </w:rPr>
              <w:object>
                <v:shape id="_x0000_i1071" o:spt="75" type="#_x0000_t75" style="height:14pt;width:40.8pt;" o:ole="t" filled="f" o:preferrelative="t" stroked="f" coordsize="21600,21600">
                  <v:path/>
                  <v:fill on="f" focussize="0,0"/>
                  <v:stroke on="f"/>
                  <v:imagedata r:id="rId103" o:title=""/>
                  <o:lock v:ext="edit" aspectratio="t"/>
                  <w10:wrap type="none"/>
                  <w10:anchorlock/>
                </v:shape>
                <o:OLEObject Type="Embed" ProgID="Equation.3" ShapeID="_x0000_i1071" DrawAspect="Content" ObjectID="_1468075771" r:id="rId102">
                  <o:LockedField>false</o:LockedField>
                </o:OLEObject>
              </w:object>
            </w:r>
            <w:r>
              <w:rPr>
                <w:rFonts w:hint="eastAsia"/>
                <w:sz w:val="24"/>
              </w:rPr>
              <w:t>时，距离加倍衰减趋近于6dB，类似点声源衰减特性</w:t>
            </w:r>
            <w:r>
              <w:rPr>
                <w:rFonts w:hint="eastAsia"/>
                <w:position w:val="-12"/>
                <w:sz w:val="24"/>
              </w:rPr>
              <w:object>
                <v:shape id="_x0000_i1072" o:spt="75" type="#_x0000_t75" style="height:17.85pt;width:86pt;" o:ole="t" filled="f" o:preferrelative="t" stroked="f" coordsize="21600,21600">
                  <v:path/>
                  <v:fill on="f" focussize="0,0"/>
                  <v:stroke on="f"/>
                  <v:imagedata r:id="rId105" o:title=""/>
                  <o:lock v:ext="edit" aspectratio="t"/>
                  <w10:wrap type="none"/>
                  <w10:anchorlock/>
                </v:shape>
                <o:OLEObject Type="Embed" ProgID="Equation.3" ShapeID="_x0000_i1072" DrawAspect="Content" ObjectID="_1468075772" r:id="rId104">
                  <o:LockedField>false</o:LockedField>
                </o:OLEObject>
              </w:object>
            </w:r>
            <w:r>
              <w:rPr>
                <w:rFonts w:hint="eastAsia"/>
                <w:sz w:val="24"/>
              </w:rPr>
              <w:t>。其中面声源的</w:t>
            </w:r>
            <w:r>
              <w:rPr>
                <w:rFonts w:hint="eastAsia"/>
                <w:position w:val="-6"/>
                <w:sz w:val="24"/>
              </w:rPr>
              <w:object>
                <v:shape id="_x0000_i1073" o:spt="75" type="#_x0000_t75" style="height:14pt;width:27.4pt;" o:ole="t" filled="f" o:preferrelative="t" stroked="f" coordsize="21600,21600">
                  <v:path/>
                  <v:fill on="f" focussize="0,0"/>
                  <v:stroke on="f"/>
                  <v:imagedata r:id="rId107" o:title=""/>
                  <o:lock v:ext="edit" aspectratio="t"/>
                  <w10:wrap type="none"/>
                  <w10:anchorlock/>
                </v:shape>
                <o:OLEObject Type="Embed" ProgID="Equation.3" ShapeID="_x0000_i1073" DrawAspect="Content" ObjectID="_1468075773" r:id="rId106">
                  <o:LockedField>false</o:LockedField>
                </o:OLEObject>
              </w:object>
            </w:r>
            <w:r>
              <w:rPr>
                <w:rFonts w:hint="eastAsia"/>
                <w:sz w:val="24"/>
              </w:rPr>
              <w:t>。</w:t>
            </w:r>
          </w:p>
          <w:p w14:paraId="21929826">
            <w:pPr>
              <w:wordWrap w:val="0"/>
              <w:spacing w:line="360" w:lineRule="auto"/>
              <w:ind w:firstLine="482" w:firstLineChars="200"/>
              <w:rPr>
                <w:b/>
                <w:bCs/>
                <w:sz w:val="24"/>
              </w:rPr>
            </w:pPr>
            <w:r>
              <w:rPr>
                <w:rFonts w:hint="eastAsia"/>
                <w:b/>
                <w:bCs/>
                <w:sz w:val="24"/>
                <w:lang w:eastAsia="zh-CN"/>
              </w:rPr>
              <w:t>3.</w:t>
            </w:r>
            <w:r>
              <w:rPr>
                <w:b/>
                <w:bCs/>
                <w:sz w:val="24"/>
              </w:rPr>
              <w:t>预测结果</w:t>
            </w:r>
          </w:p>
          <w:p w14:paraId="0FE3BAA8">
            <w:pPr>
              <w:wordWrap w:val="0"/>
              <w:spacing w:line="360" w:lineRule="auto"/>
              <w:ind w:firstLine="480" w:firstLineChars="200"/>
              <w:rPr>
                <w:sz w:val="24"/>
              </w:rPr>
            </w:pPr>
            <w:r>
              <w:rPr>
                <w:sz w:val="24"/>
              </w:rPr>
              <w:t>通过预测模型计算，项目厂界噪声预测结果与达标分析见</w:t>
            </w:r>
            <w:r>
              <w:rPr>
                <w:rFonts w:hint="eastAsia"/>
                <w:sz w:val="24"/>
              </w:rPr>
              <w:t>下表</w:t>
            </w:r>
            <w:r>
              <w:rPr>
                <w:sz w:val="24"/>
              </w:rPr>
              <w:t>。</w:t>
            </w:r>
          </w:p>
          <w:p w14:paraId="2E7C7222">
            <w:pPr>
              <w:wordWrap w:val="0"/>
              <w:jc w:val="center"/>
              <w:rPr>
                <w:b/>
                <w:szCs w:val="21"/>
              </w:rPr>
            </w:pPr>
            <w:r>
              <w:rPr>
                <w:rFonts w:hint="eastAsia"/>
                <w:b/>
                <w:szCs w:val="21"/>
              </w:rPr>
              <w:t>表4-</w:t>
            </w:r>
            <w:r>
              <w:rPr>
                <w:rFonts w:hint="eastAsia"/>
                <w:b/>
                <w:szCs w:val="21"/>
                <w:lang w:val="en-US" w:eastAsia="zh-CN"/>
              </w:rPr>
              <w:t>9</w:t>
            </w:r>
            <w:r>
              <w:rPr>
                <w:rFonts w:hint="eastAsia"/>
                <w:b/>
                <w:szCs w:val="21"/>
              </w:rPr>
              <w:t>建成</w:t>
            </w:r>
            <w:r>
              <w:rPr>
                <w:rStyle w:val="56"/>
                <w:rFonts w:hint="eastAsia"/>
              </w:rPr>
              <w:t>后厂界噪声预测结果与达标分析表单位：dB（A）</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1049"/>
              <w:gridCol w:w="800"/>
              <w:gridCol w:w="1348"/>
              <w:gridCol w:w="1348"/>
              <w:gridCol w:w="1349"/>
              <w:gridCol w:w="1347"/>
              <w:gridCol w:w="1222"/>
            </w:tblGrid>
            <w:tr w14:paraId="37482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551" w:type="pct"/>
                  <w:vAlign w:val="center"/>
                </w:tcPr>
                <w:p w14:paraId="7733578B">
                  <w:pPr>
                    <w:wordWrap w:val="0"/>
                    <w:jc w:val="center"/>
                    <w:rPr>
                      <w:b/>
                      <w:szCs w:val="21"/>
                    </w:rPr>
                  </w:pPr>
                  <w:r>
                    <w:rPr>
                      <w:rFonts w:hint="eastAsia"/>
                      <w:b/>
                      <w:szCs w:val="21"/>
                    </w:rPr>
                    <w:t>车间</w:t>
                  </w:r>
                </w:p>
              </w:tc>
              <w:tc>
                <w:tcPr>
                  <w:tcW w:w="551" w:type="pct"/>
                  <w:vAlign w:val="center"/>
                </w:tcPr>
                <w:p w14:paraId="07B25D7F">
                  <w:pPr>
                    <w:wordWrap w:val="0"/>
                    <w:jc w:val="center"/>
                    <w:rPr>
                      <w:b/>
                      <w:szCs w:val="21"/>
                    </w:rPr>
                  </w:pPr>
                  <w:r>
                    <w:rPr>
                      <w:rFonts w:hint="eastAsia"/>
                      <w:b/>
                      <w:szCs w:val="21"/>
                    </w:rPr>
                    <w:t>预测</w:t>
                  </w:r>
                </w:p>
                <w:p w14:paraId="60B97720">
                  <w:pPr>
                    <w:wordWrap w:val="0"/>
                    <w:jc w:val="center"/>
                    <w:rPr>
                      <w:b/>
                      <w:szCs w:val="21"/>
                    </w:rPr>
                  </w:pPr>
                  <w:r>
                    <w:rPr>
                      <w:rFonts w:hint="eastAsia"/>
                      <w:b/>
                      <w:szCs w:val="21"/>
                    </w:rPr>
                    <w:t>方位</w:t>
                  </w:r>
                </w:p>
              </w:tc>
              <w:tc>
                <w:tcPr>
                  <w:tcW w:w="421" w:type="pct"/>
                  <w:vAlign w:val="center"/>
                </w:tcPr>
                <w:p w14:paraId="461BE3FC">
                  <w:pPr>
                    <w:wordWrap w:val="0"/>
                    <w:jc w:val="center"/>
                    <w:rPr>
                      <w:b/>
                      <w:szCs w:val="21"/>
                    </w:rPr>
                  </w:pPr>
                  <w:r>
                    <w:rPr>
                      <w:rFonts w:hint="eastAsia"/>
                      <w:b/>
                      <w:szCs w:val="21"/>
                    </w:rPr>
                    <w:t>时段</w:t>
                  </w:r>
                </w:p>
              </w:tc>
              <w:tc>
                <w:tcPr>
                  <w:tcW w:w="708" w:type="pct"/>
                  <w:vAlign w:val="center"/>
                </w:tcPr>
                <w:p w14:paraId="370620D3">
                  <w:pPr>
                    <w:wordWrap w:val="0"/>
                    <w:jc w:val="center"/>
                    <w:rPr>
                      <w:b/>
                      <w:szCs w:val="21"/>
                    </w:rPr>
                  </w:pPr>
                  <w:r>
                    <w:rPr>
                      <w:rFonts w:hint="eastAsia"/>
                      <w:b/>
                      <w:szCs w:val="21"/>
                    </w:rPr>
                    <w:t>背景值</w:t>
                  </w:r>
                </w:p>
              </w:tc>
              <w:tc>
                <w:tcPr>
                  <w:tcW w:w="708" w:type="pct"/>
                  <w:shd w:val="clear" w:color="auto" w:fill="auto"/>
                  <w:vAlign w:val="center"/>
                </w:tcPr>
                <w:p w14:paraId="0126162C">
                  <w:pPr>
                    <w:wordWrap w:val="0"/>
                    <w:jc w:val="center"/>
                    <w:rPr>
                      <w:b/>
                      <w:szCs w:val="21"/>
                    </w:rPr>
                  </w:pPr>
                  <w:r>
                    <w:rPr>
                      <w:rFonts w:hint="eastAsia"/>
                      <w:b/>
                      <w:szCs w:val="21"/>
                    </w:rPr>
                    <w:t>贡献值</w:t>
                  </w:r>
                </w:p>
              </w:tc>
              <w:tc>
                <w:tcPr>
                  <w:tcW w:w="708" w:type="pct"/>
                  <w:vAlign w:val="center"/>
                </w:tcPr>
                <w:p w14:paraId="2D2D4F75">
                  <w:pPr>
                    <w:pStyle w:val="57"/>
                    <w:rPr>
                      <w:lang w:val="en-US"/>
                    </w:rPr>
                  </w:pPr>
                  <w:r>
                    <w:rPr>
                      <w:rFonts w:hint="eastAsia"/>
                      <w:lang w:val="en-US"/>
                    </w:rPr>
                    <w:t>预测值</w:t>
                  </w:r>
                </w:p>
              </w:tc>
              <w:tc>
                <w:tcPr>
                  <w:tcW w:w="707" w:type="pct"/>
                  <w:vAlign w:val="center"/>
                </w:tcPr>
                <w:p w14:paraId="3E4DFB32">
                  <w:pPr>
                    <w:wordWrap w:val="0"/>
                    <w:jc w:val="center"/>
                    <w:rPr>
                      <w:b/>
                      <w:szCs w:val="21"/>
                    </w:rPr>
                  </w:pPr>
                  <w:r>
                    <w:rPr>
                      <w:rFonts w:hint="eastAsia"/>
                      <w:b/>
                      <w:szCs w:val="21"/>
                    </w:rPr>
                    <w:t>标准限值</w:t>
                  </w:r>
                </w:p>
              </w:tc>
              <w:tc>
                <w:tcPr>
                  <w:tcW w:w="641" w:type="pct"/>
                  <w:vAlign w:val="center"/>
                </w:tcPr>
                <w:p w14:paraId="50AA7B47">
                  <w:pPr>
                    <w:wordWrap w:val="0"/>
                    <w:jc w:val="center"/>
                    <w:rPr>
                      <w:b/>
                      <w:szCs w:val="21"/>
                    </w:rPr>
                  </w:pPr>
                  <w:r>
                    <w:rPr>
                      <w:rFonts w:hint="eastAsia"/>
                      <w:b/>
                      <w:szCs w:val="21"/>
                    </w:rPr>
                    <w:t>达标情况</w:t>
                  </w:r>
                </w:p>
              </w:tc>
            </w:tr>
            <w:tr w14:paraId="67E96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pct"/>
                  <w:vMerge w:val="restart"/>
                  <w:vAlign w:val="center"/>
                </w:tcPr>
                <w:p w14:paraId="6618FDB4">
                  <w:pPr>
                    <w:wordWrap w:val="0"/>
                    <w:jc w:val="center"/>
                    <w:rPr>
                      <w:bCs/>
                      <w:szCs w:val="21"/>
                    </w:rPr>
                  </w:pPr>
                  <w:r>
                    <w:rPr>
                      <w:rFonts w:hint="eastAsia"/>
                      <w:bCs/>
                    </w:rPr>
                    <w:t>2-8#厂房</w:t>
                  </w:r>
                </w:p>
              </w:tc>
              <w:tc>
                <w:tcPr>
                  <w:tcW w:w="551" w:type="pct"/>
                  <w:vMerge w:val="restart"/>
                  <w:shd w:val="clear" w:color="auto" w:fill="auto"/>
                  <w:vAlign w:val="center"/>
                </w:tcPr>
                <w:p w14:paraId="67C9D3D4">
                  <w:pPr>
                    <w:wordWrap w:val="0"/>
                    <w:jc w:val="center"/>
                    <w:rPr>
                      <w:bCs/>
                      <w:szCs w:val="21"/>
                    </w:rPr>
                  </w:pPr>
                  <w:r>
                    <w:rPr>
                      <w:rFonts w:hint="eastAsia"/>
                      <w:bCs/>
                      <w:szCs w:val="21"/>
                    </w:rPr>
                    <w:t>东侧</w:t>
                  </w:r>
                </w:p>
              </w:tc>
              <w:tc>
                <w:tcPr>
                  <w:tcW w:w="421" w:type="pct"/>
                  <w:shd w:val="clear" w:color="auto" w:fill="auto"/>
                  <w:vAlign w:val="center"/>
                </w:tcPr>
                <w:p w14:paraId="44D06C5E">
                  <w:pPr>
                    <w:wordWrap w:val="0"/>
                    <w:jc w:val="center"/>
                    <w:rPr>
                      <w:bCs/>
                      <w:szCs w:val="21"/>
                    </w:rPr>
                  </w:pPr>
                  <w:r>
                    <w:rPr>
                      <w:rFonts w:hint="eastAsia"/>
                      <w:bCs/>
                      <w:szCs w:val="21"/>
                    </w:rPr>
                    <w:t>昼间</w:t>
                  </w:r>
                </w:p>
              </w:tc>
              <w:tc>
                <w:tcPr>
                  <w:tcW w:w="708" w:type="pct"/>
                  <w:vAlign w:val="center"/>
                </w:tcPr>
                <w:p w14:paraId="0ADA31C3">
                  <w:pPr>
                    <w:wordWrap w:val="0"/>
                    <w:jc w:val="center"/>
                    <w:rPr>
                      <w:bCs/>
                      <w:szCs w:val="21"/>
                    </w:rPr>
                  </w:pPr>
                  <w:r>
                    <w:rPr>
                      <w:rFonts w:hint="eastAsia"/>
                      <w:bCs/>
                      <w:szCs w:val="21"/>
                    </w:rPr>
                    <w:t>62</w:t>
                  </w:r>
                </w:p>
              </w:tc>
              <w:tc>
                <w:tcPr>
                  <w:tcW w:w="708" w:type="pct"/>
                  <w:shd w:val="clear" w:color="auto" w:fill="auto"/>
                  <w:vAlign w:val="center"/>
                </w:tcPr>
                <w:p w14:paraId="6FB3B09F">
                  <w:pPr>
                    <w:wordWrap w:val="0"/>
                    <w:jc w:val="center"/>
                    <w:rPr>
                      <w:bCs/>
                      <w:szCs w:val="21"/>
                    </w:rPr>
                  </w:pPr>
                  <w:r>
                    <w:rPr>
                      <w:rFonts w:hint="eastAsia"/>
                      <w:bCs/>
                      <w:szCs w:val="21"/>
                    </w:rPr>
                    <w:t>36</w:t>
                  </w:r>
                </w:p>
              </w:tc>
              <w:tc>
                <w:tcPr>
                  <w:tcW w:w="708" w:type="pct"/>
                  <w:vAlign w:val="center"/>
                </w:tcPr>
                <w:p w14:paraId="5B8BB919">
                  <w:pPr>
                    <w:wordWrap w:val="0"/>
                    <w:jc w:val="center"/>
                    <w:rPr>
                      <w:bCs/>
                      <w:szCs w:val="21"/>
                    </w:rPr>
                  </w:pPr>
                  <w:r>
                    <w:rPr>
                      <w:rFonts w:hint="eastAsia"/>
                      <w:bCs/>
                      <w:szCs w:val="21"/>
                    </w:rPr>
                    <w:t>62</w:t>
                  </w:r>
                </w:p>
              </w:tc>
              <w:tc>
                <w:tcPr>
                  <w:tcW w:w="707" w:type="pct"/>
                  <w:vAlign w:val="center"/>
                </w:tcPr>
                <w:p w14:paraId="1A48DF4F">
                  <w:pPr>
                    <w:wordWrap w:val="0"/>
                    <w:jc w:val="center"/>
                    <w:rPr>
                      <w:bCs/>
                      <w:szCs w:val="21"/>
                    </w:rPr>
                  </w:pPr>
                  <w:r>
                    <w:rPr>
                      <w:rFonts w:hint="eastAsia"/>
                      <w:bCs/>
                      <w:szCs w:val="21"/>
                    </w:rPr>
                    <w:t>65</w:t>
                  </w:r>
                </w:p>
              </w:tc>
              <w:tc>
                <w:tcPr>
                  <w:tcW w:w="641" w:type="pct"/>
                  <w:vAlign w:val="center"/>
                </w:tcPr>
                <w:p w14:paraId="78AB8A66">
                  <w:pPr>
                    <w:wordWrap w:val="0"/>
                    <w:jc w:val="center"/>
                    <w:rPr>
                      <w:bCs/>
                      <w:szCs w:val="21"/>
                    </w:rPr>
                  </w:pPr>
                  <w:r>
                    <w:rPr>
                      <w:rFonts w:hint="eastAsia"/>
                      <w:bCs/>
                      <w:szCs w:val="21"/>
                    </w:rPr>
                    <w:t>达标</w:t>
                  </w:r>
                </w:p>
              </w:tc>
            </w:tr>
            <w:tr w14:paraId="69618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pct"/>
                  <w:vMerge w:val="continue"/>
                  <w:vAlign w:val="center"/>
                </w:tcPr>
                <w:p w14:paraId="01265055">
                  <w:pPr>
                    <w:wordWrap w:val="0"/>
                    <w:jc w:val="center"/>
                    <w:rPr>
                      <w:bCs/>
                      <w:szCs w:val="21"/>
                    </w:rPr>
                  </w:pPr>
                </w:p>
              </w:tc>
              <w:tc>
                <w:tcPr>
                  <w:tcW w:w="551" w:type="pct"/>
                  <w:vMerge w:val="continue"/>
                  <w:vAlign w:val="center"/>
                </w:tcPr>
                <w:p w14:paraId="35E46DD9">
                  <w:pPr>
                    <w:wordWrap w:val="0"/>
                    <w:jc w:val="center"/>
                    <w:rPr>
                      <w:bCs/>
                      <w:szCs w:val="21"/>
                    </w:rPr>
                  </w:pPr>
                </w:p>
              </w:tc>
              <w:tc>
                <w:tcPr>
                  <w:tcW w:w="421" w:type="pct"/>
                  <w:shd w:val="clear" w:color="auto" w:fill="auto"/>
                  <w:vAlign w:val="center"/>
                </w:tcPr>
                <w:p w14:paraId="1756F4AE">
                  <w:pPr>
                    <w:wordWrap w:val="0"/>
                    <w:jc w:val="center"/>
                    <w:rPr>
                      <w:bCs/>
                      <w:szCs w:val="21"/>
                    </w:rPr>
                  </w:pPr>
                  <w:r>
                    <w:rPr>
                      <w:rFonts w:hint="eastAsia"/>
                      <w:bCs/>
                      <w:szCs w:val="21"/>
                    </w:rPr>
                    <w:t>夜间</w:t>
                  </w:r>
                </w:p>
              </w:tc>
              <w:tc>
                <w:tcPr>
                  <w:tcW w:w="708" w:type="pct"/>
                  <w:vAlign w:val="center"/>
                </w:tcPr>
                <w:p w14:paraId="7DF563CA">
                  <w:pPr>
                    <w:wordWrap w:val="0"/>
                    <w:jc w:val="center"/>
                    <w:rPr>
                      <w:bCs/>
                      <w:szCs w:val="21"/>
                    </w:rPr>
                  </w:pPr>
                  <w:r>
                    <w:rPr>
                      <w:rFonts w:hint="eastAsia"/>
                      <w:bCs/>
                      <w:szCs w:val="21"/>
                    </w:rPr>
                    <w:t>52</w:t>
                  </w:r>
                </w:p>
              </w:tc>
              <w:tc>
                <w:tcPr>
                  <w:tcW w:w="708" w:type="pct"/>
                  <w:shd w:val="clear" w:color="auto" w:fill="auto"/>
                  <w:vAlign w:val="center"/>
                </w:tcPr>
                <w:p w14:paraId="4A023F82">
                  <w:pPr>
                    <w:wordWrap w:val="0"/>
                    <w:jc w:val="center"/>
                    <w:rPr>
                      <w:bCs/>
                      <w:szCs w:val="21"/>
                    </w:rPr>
                  </w:pPr>
                  <w:r>
                    <w:rPr>
                      <w:rFonts w:hint="eastAsia"/>
                      <w:bCs/>
                      <w:szCs w:val="21"/>
                    </w:rPr>
                    <w:t>36</w:t>
                  </w:r>
                </w:p>
              </w:tc>
              <w:tc>
                <w:tcPr>
                  <w:tcW w:w="708" w:type="pct"/>
                  <w:vAlign w:val="center"/>
                </w:tcPr>
                <w:p w14:paraId="534B3345">
                  <w:pPr>
                    <w:wordWrap w:val="0"/>
                    <w:jc w:val="center"/>
                    <w:rPr>
                      <w:bCs/>
                      <w:szCs w:val="21"/>
                    </w:rPr>
                  </w:pPr>
                  <w:r>
                    <w:rPr>
                      <w:rFonts w:hint="eastAsia"/>
                      <w:bCs/>
                      <w:szCs w:val="21"/>
                    </w:rPr>
                    <w:t>52</w:t>
                  </w:r>
                </w:p>
              </w:tc>
              <w:tc>
                <w:tcPr>
                  <w:tcW w:w="707" w:type="pct"/>
                  <w:vAlign w:val="center"/>
                </w:tcPr>
                <w:p w14:paraId="06FABE21">
                  <w:pPr>
                    <w:wordWrap w:val="0"/>
                    <w:jc w:val="center"/>
                    <w:rPr>
                      <w:bCs/>
                      <w:szCs w:val="21"/>
                    </w:rPr>
                  </w:pPr>
                  <w:r>
                    <w:rPr>
                      <w:rFonts w:hint="eastAsia"/>
                      <w:bCs/>
                      <w:szCs w:val="21"/>
                    </w:rPr>
                    <w:t>55</w:t>
                  </w:r>
                </w:p>
              </w:tc>
              <w:tc>
                <w:tcPr>
                  <w:tcW w:w="641" w:type="pct"/>
                  <w:vAlign w:val="center"/>
                </w:tcPr>
                <w:p w14:paraId="5C5CA638">
                  <w:pPr>
                    <w:wordWrap w:val="0"/>
                    <w:jc w:val="center"/>
                    <w:rPr>
                      <w:bCs/>
                      <w:szCs w:val="21"/>
                    </w:rPr>
                  </w:pPr>
                  <w:r>
                    <w:rPr>
                      <w:rFonts w:hint="eastAsia"/>
                      <w:bCs/>
                      <w:szCs w:val="21"/>
                    </w:rPr>
                    <w:t>达标</w:t>
                  </w:r>
                </w:p>
              </w:tc>
            </w:tr>
            <w:tr w14:paraId="5D053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pct"/>
                  <w:vMerge w:val="continue"/>
                  <w:vAlign w:val="center"/>
                </w:tcPr>
                <w:p w14:paraId="5EB613F6">
                  <w:pPr>
                    <w:wordWrap w:val="0"/>
                    <w:jc w:val="center"/>
                    <w:rPr>
                      <w:bCs/>
                      <w:szCs w:val="21"/>
                    </w:rPr>
                  </w:pPr>
                </w:p>
              </w:tc>
              <w:tc>
                <w:tcPr>
                  <w:tcW w:w="551" w:type="pct"/>
                  <w:vMerge w:val="restart"/>
                  <w:shd w:val="clear" w:color="auto" w:fill="auto"/>
                  <w:vAlign w:val="center"/>
                </w:tcPr>
                <w:p w14:paraId="0A289EBC">
                  <w:pPr>
                    <w:wordWrap w:val="0"/>
                    <w:jc w:val="center"/>
                    <w:rPr>
                      <w:bCs/>
                      <w:szCs w:val="21"/>
                    </w:rPr>
                  </w:pPr>
                  <w:r>
                    <w:rPr>
                      <w:rFonts w:hint="eastAsia"/>
                      <w:bCs/>
                      <w:szCs w:val="21"/>
                    </w:rPr>
                    <w:t>南侧</w:t>
                  </w:r>
                </w:p>
              </w:tc>
              <w:tc>
                <w:tcPr>
                  <w:tcW w:w="421" w:type="pct"/>
                  <w:shd w:val="clear" w:color="auto" w:fill="auto"/>
                  <w:vAlign w:val="center"/>
                </w:tcPr>
                <w:p w14:paraId="535E4805">
                  <w:pPr>
                    <w:wordWrap w:val="0"/>
                    <w:jc w:val="center"/>
                    <w:rPr>
                      <w:bCs/>
                      <w:szCs w:val="21"/>
                    </w:rPr>
                  </w:pPr>
                  <w:r>
                    <w:rPr>
                      <w:rFonts w:hint="eastAsia"/>
                      <w:bCs/>
                      <w:szCs w:val="21"/>
                    </w:rPr>
                    <w:t>昼间</w:t>
                  </w:r>
                </w:p>
              </w:tc>
              <w:tc>
                <w:tcPr>
                  <w:tcW w:w="708" w:type="pct"/>
                  <w:vAlign w:val="center"/>
                </w:tcPr>
                <w:p w14:paraId="62FDCAB8">
                  <w:pPr>
                    <w:wordWrap w:val="0"/>
                    <w:jc w:val="center"/>
                    <w:rPr>
                      <w:bCs/>
                      <w:szCs w:val="21"/>
                    </w:rPr>
                  </w:pPr>
                  <w:r>
                    <w:rPr>
                      <w:rFonts w:hint="eastAsia"/>
                      <w:bCs/>
                      <w:szCs w:val="21"/>
                    </w:rPr>
                    <w:t>63</w:t>
                  </w:r>
                </w:p>
              </w:tc>
              <w:tc>
                <w:tcPr>
                  <w:tcW w:w="708" w:type="pct"/>
                  <w:shd w:val="clear" w:color="auto" w:fill="auto"/>
                  <w:vAlign w:val="center"/>
                </w:tcPr>
                <w:p w14:paraId="3D56EC0E">
                  <w:pPr>
                    <w:wordWrap w:val="0"/>
                    <w:jc w:val="center"/>
                    <w:rPr>
                      <w:bCs/>
                      <w:szCs w:val="21"/>
                    </w:rPr>
                  </w:pPr>
                  <w:r>
                    <w:rPr>
                      <w:rFonts w:hint="eastAsia"/>
                      <w:bCs/>
                      <w:szCs w:val="21"/>
                    </w:rPr>
                    <w:t>31</w:t>
                  </w:r>
                </w:p>
              </w:tc>
              <w:tc>
                <w:tcPr>
                  <w:tcW w:w="708" w:type="pct"/>
                  <w:vAlign w:val="center"/>
                </w:tcPr>
                <w:p w14:paraId="4AAAAE8D">
                  <w:pPr>
                    <w:wordWrap w:val="0"/>
                    <w:jc w:val="center"/>
                    <w:rPr>
                      <w:bCs/>
                      <w:szCs w:val="21"/>
                    </w:rPr>
                  </w:pPr>
                  <w:r>
                    <w:rPr>
                      <w:rFonts w:hint="eastAsia"/>
                      <w:bCs/>
                      <w:szCs w:val="21"/>
                    </w:rPr>
                    <w:t>63</w:t>
                  </w:r>
                </w:p>
              </w:tc>
              <w:tc>
                <w:tcPr>
                  <w:tcW w:w="707" w:type="pct"/>
                  <w:vAlign w:val="center"/>
                </w:tcPr>
                <w:p w14:paraId="10F72C6B">
                  <w:pPr>
                    <w:wordWrap w:val="0"/>
                    <w:jc w:val="center"/>
                    <w:rPr>
                      <w:bCs/>
                      <w:szCs w:val="21"/>
                    </w:rPr>
                  </w:pPr>
                  <w:r>
                    <w:rPr>
                      <w:rFonts w:hint="eastAsia"/>
                      <w:bCs/>
                      <w:szCs w:val="21"/>
                    </w:rPr>
                    <w:t>65</w:t>
                  </w:r>
                </w:p>
              </w:tc>
              <w:tc>
                <w:tcPr>
                  <w:tcW w:w="641" w:type="pct"/>
                  <w:vAlign w:val="center"/>
                </w:tcPr>
                <w:p w14:paraId="756FCC80">
                  <w:pPr>
                    <w:wordWrap w:val="0"/>
                    <w:jc w:val="center"/>
                    <w:rPr>
                      <w:bCs/>
                      <w:szCs w:val="21"/>
                    </w:rPr>
                  </w:pPr>
                  <w:r>
                    <w:rPr>
                      <w:rFonts w:hint="eastAsia"/>
                      <w:bCs/>
                      <w:szCs w:val="21"/>
                    </w:rPr>
                    <w:t>达标</w:t>
                  </w:r>
                </w:p>
              </w:tc>
            </w:tr>
            <w:tr w14:paraId="274B5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pct"/>
                  <w:vMerge w:val="continue"/>
                  <w:vAlign w:val="center"/>
                </w:tcPr>
                <w:p w14:paraId="2D0A446B">
                  <w:pPr>
                    <w:wordWrap w:val="0"/>
                    <w:jc w:val="center"/>
                    <w:rPr>
                      <w:bCs/>
                      <w:szCs w:val="21"/>
                    </w:rPr>
                  </w:pPr>
                </w:p>
              </w:tc>
              <w:tc>
                <w:tcPr>
                  <w:tcW w:w="551" w:type="pct"/>
                  <w:vMerge w:val="continue"/>
                  <w:vAlign w:val="center"/>
                </w:tcPr>
                <w:p w14:paraId="7DEF83C0">
                  <w:pPr>
                    <w:wordWrap w:val="0"/>
                    <w:jc w:val="center"/>
                    <w:rPr>
                      <w:bCs/>
                      <w:szCs w:val="21"/>
                    </w:rPr>
                  </w:pPr>
                </w:p>
              </w:tc>
              <w:tc>
                <w:tcPr>
                  <w:tcW w:w="421" w:type="pct"/>
                  <w:shd w:val="clear" w:color="auto" w:fill="auto"/>
                  <w:vAlign w:val="center"/>
                </w:tcPr>
                <w:p w14:paraId="689E5682">
                  <w:pPr>
                    <w:wordWrap w:val="0"/>
                    <w:jc w:val="center"/>
                    <w:rPr>
                      <w:bCs/>
                      <w:szCs w:val="21"/>
                    </w:rPr>
                  </w:pPr>
                  <w:r>
                    <w:rPr>
                      <w:rFonts w:hint="eastAsia"/>
                      <w:bCs/>
                      <w:szCs w:val="21"/>
                    </w:rPr>
                    <w:t>夜间</w:t>
                  </w:r>
                </w:p>
              </w:tc>
              <w:tc>
                <w:tcPr>
                  <w:tcW w:w="708" w:type="pct"/>
                  <w:vAlign w:val="center"/>
                </w:tcPr>
                <w:p w14:paraId="1D699983">
                  <w:pPr>
                    <w:wordWrap w:val="0"/>
                    <w:jc w:val="center"/>
                    <w:rPr>
                      <w:bCs/>
                      <w:szCs w:val="21"/>
                    </w:rPr>
                  </w:pPr>
                  <w:r>
                    <w:rPr>
                      <w:rFonts w:hint="eastAsia"/>
                      <w:bCs/>
                      <w:szCs w:val="21"/>
                    </w:rPr>
                    <w:t>53</w:t>
                  </w:r>
                </w:p>
              </w:tc>
              <w:tc>
                <w:tcPr>
                  <w:tcW w:w="708" w:type="pct"/>
                  <w:shd w:val="clear" w:color="auto" w:fill="auto"/>
                  <w:vAlign w:val="center"/>
                </w:tcPr>
                <w:p w14:paraId="7732F9B9">
                  <w:pPr>
                    <w:wordWrap w:val="0"/>
                    <w:jc w:val="center"/>
                    <w:rPr>
                      <w:bCs/>
                      <w:szCs w:val="21"/>
                    </w:rPr>
                  </w:pPr>
                  <w:r>
                    <w:rPr>
                      <w:rFonts w:hint="eastAsia"/>
                      <w:bCs/>
                      <w:szCs w:val="21"/>
                    </w:rPr>
                    <w:t>31</w:t>
                  </w:r>
                </w:p>
              </w:tc>
              <w:tc>
                <w:tcPr>
                  <w:tcW w:w="708" w:type="pct"/>
                  <w:vAlign w:val="center"/>
                </w:tcPr>
                <w:p w14:paraId="79A324D1">
                  <w:pPr>
                    <w:wordWrap w:val="0"/>
                    <w:jc w:val="center"/>
                    <w:rPr>
                      <w:bCs/>
                      <w:szCs w:val="21"/>
                    </w:rPr>
                  </w:pPr>
                  <w:r>
                    <w:rPr>
                      <w:rFonts w:hint="eastAsia"/>
                      <w:bCs/>
                      <w:szCs w:val="21"/>
                    </w:rPr>
                    <w:t>53</w:t>
                  </w:r>
                </w:p>
              </w:tc>
              <w:tc>
                <w:tcPr>
                  <w:tcW w:w="707" w:type="pct"/>
                  <w:vAlign w:val="center"/>
                </w:tcPr>
                <w:p w14:paraId="02C85473">
                  <w:pPr>
                    <w:wordWrap w:val="0"/>
                    <w:jc w:val="center"/>
                    <w:rPr>
                      <w:bCs/>
                      <w:szCs w:val="21"/>
                    </w:rPr>
                  </w:pPr>
                  <w:r>
                    <w:rPr>
                      <w:rFonts w:hint="eastAsia"/>
                      <w:bCs/>
                      <w:szCs w:val="21"/>
                    </w:rPr>
                    <w:t>55</w:t>
                  </w:r>
                </w:p>
              </w:tc>
              <w:tc>
                <w:tcPr>
                  <w:tcW w:w="641" w:type="pct"/>
                  <w:vAlign w:val="center"/>
                </w:tcPr>
                <w:p w14:paraId="5A5C7041">
                  <w:pPr>
                    <w:wordWrap w:val="0"/>
                    <w:jc w:val="center"/>
                    <w:rPr>
                      <w:bCs/>
                      <w:szCs w:val="21"/>
                    </w:rPr>
                  </w:pPr>
                  <w:r>
                    <w:rPr>
                      <w:rFonts w:hint="eastAsia"/>
                      <w:bCs/>
                      <w:szCs w:val="21"/>
                    </w:rPr>
                    <w:t>达标</w:t>
                  </w:r>
                </w:p>
              </w:tc>
            </w:tr>
            <w:tr w14:paraId="334D5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pct"/>
                  <w:vMerge w:val="continue"/>
                  <w:vAlign w:val="center"/>
                </w:tcPr>
                <w:p w14:paraId="1100934A">
                  <w:pPr>
                    <w:wordWrap w:val="0"/>
                    <w:jc w:val="center"/>
                    <w:rPr>
                      <w:bCs/>
                      <w:szCs w:val="21"/>
                    </w:rPr>
                  </w:pPr>
                </w:p>
              </w:tc>
              <w:tc>
                <w:tcPr>
                  <w:tcW w:w="551" w:type="pct"/>
                  <w:vMerge w:val="restart"/>
                  <w:shd w:val="clear" w:color="auto" w:fill="auto"/>
                  <w:vAlign w:val="center"/>
                </w:tcPr>
                <w:p w14:paraId="5E1F340E">
                  <w:pPr>
                    <w:wordWrap w:val="0"/>
                    <w:jc w:val="center"/>
                    <w:rPr>
                      <w:bCs/>
                      <w:szCs w:val="21"/>
                    </w:rPr>
                  </w:pPr>
                  <w:r>
                    <w:rPr>
                      <w:rFonts w:hint="eastAsia"/>
                      <w:bCs/>
                      <w:szCs w:val="21"/>
                    </w:rPr>
                    <w:t>西侧</w:t>
                  </w:r>
                </w:p>
              </w:tc>
              <w:tc>
                <w:tcPr>
                  <w:tcW w:w="421" w:type="pct"/>
                  <w:shd w:val="clear" w:color="auto" w:fill="auto"/>
                  <w:vAlign w:val="center"/>
                </w:tcPr>
                <w:p w14:paraId="6E1CE36F">
                  <w:pPr>
                    <w:wordWrap w:val="0"/>
                    <w:jc w:val="center"/>
                    <w:rPr>
                      <w:bCs/>
                      <w:szCs w:val="21"/>
                    </w:rPr>
                  </w:pPr>
                  <w:r>
                    <w:rPr>
                      <w:rFonts w:hint="eastAsia"/>
                      <w:bCs/>
                      <w:szCs w:val="21"/>
                    </w:rPr>
                    <w:t>昼间</w:t>
                  </w:r>
                </w:p>
              </w:tc>
              <w:tc>
                <w:tcPr>
                  <w:tcW w:w="708" w:type="pct"/>
                  <w:vAlign w:val="center"/>
                </w:tcPr>
                <w:p w14:paraId="654E1E2C">
                  <w:pPr>
                    <w:wordWrap w:val="0"/>
                    <w:jc w:val="center"/>
                    <w:rPr>
                      <w:bCs/>
                      <w:szCs w:val="21"/>
                    </w:rPr>
                  </w:pPr>
                  <w:r>
                    <w:rPr>
                      <w:rFonts w:hint="eastAsia"/>
                      <w:bCs/>
                      <w:szCs w:val="21"/>
                    </w:rPr>
                    <w:t>63</w:t>
                  </w:r>
                </w:p>
              </w:tc>
              <w:tc>
                <w:tcPr>
                  <w:tcW w:w="708" w:type="pct"/>
                  <w:shd w:val="clear" w:color="auto" w:fill="auto"/>
                  <w:vAlign w:val="center"/>
                </w:tcPr>
                <w:p w14:paraId="00E859C7">
                  <w:pPr>
                    <w:wordWrap w:val="0"/>
                    <w:jc w:val="center"/>
                    <w:rPr>
                      <w:bCs/>
                      <w:szCs w:val="21"/>
                    </w:rPr>
                  </w:pPr>
                  <w:r>
                    <w:rPr>
                      <w:rFonts w:hint="eastAsia"/>
                      <w:bCs/>
                      <w:szCs w:val="21"/>
                    </w:rPr>
                    <w:t>36</w:t>
                  </w:r>
                </w:p>
              </w:tc>
              <w:tc>
                <w:tcPr>
                  <w:tcW w:w="708" w:type="pct"/>
                  <w:vAlign w:val="center"/>
                </w:tcPr>
                <w:p w14:paraId="6CC8C7F6">
                  <w:pPr>
                    <w:wordWrap w:val="0"/>
                    <w:jc w:val="center"/>
                    <w:rPr>
                      <w:bCs/>
                      <w:szCs w:val="21"/>
                    </w:rPr>
                  </w:pPr>
                  <w:r>
                    <w:rPr>
                      <w:rFonts w:hint="eastAsia"/>
                      <w:bCs/>
                      <w:szCs w:val="21"/>
                    </w:rPr>
                    <w:t>63</w:t>
                  </w:r>
                </w:p>
              </w:tc>
              <w:tc>
                <w:tcPr>
                  <w:tcW w:w="707" w:type="pct"/>
                  <w:vAlign w:val="center"/>
                </w:tcPr>
                <w:p w14:paraId="6DAC09B3">
                  <w:pPr>
                    <w:wordWrap w:val="0"/>
                    <w:jc w:val="center"/>
                    <w:rPr>
                      <w:bCs/>
                      <w:szCs w:val="21"/>
                    </w:rPr>
                  </w:pPr>
                  <w:r>
                    <w:rPr>
                      <w:rFonts w:hint="eastAsia"/>
                      <w:bCs/>
                      <w:szCs w:val="21"/>
                    </w:rPr>
                    <w:t>65</w:t>
                  </w:r>
                </w:p>
              </w:tc>
              <w:tc>
                <w:tcPr>
                  <w:tcW w:w="641" w:type="pct"/>
                  <w:vAlign w:val="center"/>
                </w:tcPr>
                <w:p w14:paraId="7BFCFB9B">
                  <w:pPr>
                    <w:wordWrap w:val="0"/>
                    <w:jc w:val="center"/>
                    <w:rPr>
                      <w:bCs/>
                      <w:szCs w:val="21"/>
                    </w:rPr>
                  </w:pPr>
                  <w:r>
                    <w:rPr>
                      <w:rFonts w:hint="eastAsia"/>
                      <w:bCs/>
                      <w:szCs w:val="21"/>
                    </w:rPr>
                    <w:t>达标</w:t>
                  </w:r>
                </w:p>
              </w:tc>
            </w:tr>
            <w:tr w14:paraId="46606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pct"/>
                  <w:vMerge w:val="continue"/>
                  <w:vAlign w:val="center"/>
                </w:tcPr>
                <w:p w14:paraId="3865FFE9">
                  <w:pPr>
                    <w:wordWrap w:val="0"/>
                    <w:jc w:val="center"/>
                    <w:rPr>
                      <w:bCs/>
                      <w:szCs w:val="21"/>
                    </w:rPr>
                  </w:pPr>
                </w:p>
              </w:tc>
              <w:tc>
                <w:tcPr>
                  <w:tcW w:w="551" w:type="pct"/>
                  <w:vMerge w:val="continue"/>
                  <w:vAlign w:val="center"/>
                </w:tcPr>
                <w:p w14:paraId="3C17690F">
                  <w:pPr>
                    <w:wordWrap w:val="0"/>
                    <w:jc w:val="center"/>
                    <w:rPr>
                      <w:bCs/>
                      <w:szCs w:val="21"/>
                    </w:rPr>
                  </w:pPr>
                </w:p>
              </w:tc>
              <w:tc>
                <w:tcPr>
                  <w:tcW w:w="421" w:type="pct"/>
                  <w:shd w:val="clear" w:color="auto" w:fill="auto"/>
                  <w:vAlign w:val="center"/>
                </w:tcPr>
                <w:p w14:paraId="69262F00">
                  <w:pPr>
                    <w:wordWrap w:val="0"/>
                    <w:jc w:val="center"/>
                    <w:rPr>
                      <w:bCs/>
                      <w:szCs w:val="21"/>
                    </w:rPr>
                  </w:pPr>
                  <w:r>
                    <w:rPr>
                      <w:rFonts w:hint="eastAsia"/>
                      <w:bCs/>
                      <w:szCs w:val="21"/>
                    </w:rPr>
                    <w:t>夜间</w:t>
                  </w:r>
                </w:p>
              </w:tc>
              <w:tc>
                <w:tcPr>
                  <w:tcW w:w="708" w:type="pct"/>
                  <w:vAlign w:val="center"/>
                </w:tcPr>
                <w:p w14:paraId="78E608EF">
                  <w:pPr>
                    <w:wordWrap w:val="0"/>
                    <w:jc w:val="center"/>
                    <w:rPr>
                      <w:bCs/>
                      <w:szCs w:val="21"/>
                    </w:rPr>
                  </w:pPr>
                  <w:r>
                    <w:rPr>
                      <w:rFonts w:hint="eastAsia"/>
                      <w:bCs/>
                      <w:szCs w:val="21"/>
                    </w:rPr>
                    <w:t>53</w:t>
                  </w:r>
                </w:p>
              </w:tc>
              <w:tc>
                <w:tcPr>
                  <w:tcW w:w="708" w:type="pct"/>
                  <w:shd w:val="clear" w:color="auto" w:fill="auto"/>
                  <w:vAlign w:val="center"/>
                </w:tcPr>
                <w:p w14:paraId="2BF1B548">
                  <w:pPr>
                    <w:wordWrap w:val="0"/>
                    <w:jc w:val="center"/>
                    <w:rPr>
                      <w:bCs/>
                      <w:szCs w:val="21"/>
                    </w:rPr>
                  </w:pPr>
                  <w:r>
                    <w:rPr>
                      <w:rFonts w:hint="eastAsia"/>
                      <w:bCs/>
                      <w:szCs w:val="21"/>
                    </w:rPr>
                    <w:t>36</w:t>
                  </w:r>
                </w:p>
              </w:tc>
              <w:tc>
                <w:tcPr>
                  <w:tcW w:w="708" w:type="pct"/>
                  <w:vAlign w:val="center"/>
                </w:tcPr>
                <w:p w14:paraId="72C459C1">
                  <w:pPr>
                    <w:wordWrap w:val="0"/>
                    <w:jc w:val="center"/>
                    <w:rPr>
                      <w:bCs/>
                      <w:szCs w:val="21"/>
                    </w:rPr>
                  </w:pPr>
                  <w:r>
                    <w:rPr>
                      <w:rFonts w:hint="eastAsia"/>
                      <w:bCs/>
                      <w:szCs w:val="21"/>
                    </w:rPr>
                    <w:t>53</w:t>
                  </w:r>
                </w:p>
              </w:tc>
              <w:tc>
                <w:tcPr>
                  <w:tcW w:w="707" w:type="pct"/>
                  <w:vAlign w:val="center"/>
                </w:tcPr>
                <w:p w14:paraId="71B42FB4">
                  <w:pPr>
                    <w:wordWrap w:val="0"/>
                    <w:jc w:val="center"/>
                    <w:rPr>
                      <w:bCs/>
                      <w:szCs w:val="21"/>
                    </w:rPr>
                  </w:pPr>
                  <w:r>
                    <w:rPr>
                      <w:rFonts w:hint="eastAsia"/>
                      <w:bCs/>
                      <w:szCs w:val="21"/>
                    </w:rPr>
                    <w:t>55</w:t>
                  </w:r>
                </w:p>
              </w:tc>
              <w:tc>
                <w:tcPr>
                  <w:tcW w:w="641" w:type="pct"/>
                  <w:vAlign w:val="center"/>
                </w:tcPr>
                <w:p w14:paraId="2897107E">
                  <w:pPr>
                    <w:wordWrap w:val="0"/>
                    <w:jc w:val="center"/>
                    <w:rPr>
                      <w:bCs/>
                      <w:szCs w:val="21"/>
                    </w:rPr>
                  </w:pPr>
                  <w:r>
                    <w:rPr>
                      <w:rFonts w:hint="eastAsia"/>
                      <w:bCs/>
                      <w:szCs w:val="21"/>
                    </w:rPr>
                    <w:t>达标</w:t>
                  </w:r>
                </w:p>
              </w:tc>
            </w:tr>
            <w:tr w14:paraId="1B2A5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pct"/>
                  <w:vMerge w:val="continue"/>
                  <w:vAlign w:val="center"/>
                </w:tcPr>
                <w:p w14:paraId="7C720A66">
                  <w:pPr>
                    <w:wordWrap w:val="0"/>
                    <w:jc w:val="center"/>
                    <w:rPr>
                      <w:bCs/>
                      <w:szCs w:val="21"/>
                    </w:rPr>
                  </w:pPr>
                </w:p>
              </w:tc>
              <w:tc>
                <w:tcPr>
                  <w:tcW w:w="551" w:type="pct"/>
                  <w:vMerge w:val="restart"/>
                  <w:shd w:val="clear" w:color="auto" w:fill="auto"/>
                  <w:vAlign w:val="center"/>
                </w:tcPr>
                <w:p w14:paraId="3E05EF01">
                  <w:pPr>
                    <w:wordWrap w:val="0"/>
                    <w:jc w:val="center"/>
                    <w:rPr>
                      <w:bCs/>
                      <w:szCs w:val="21"/>
                    </w:rPr>
                  </w:pPr>
                  <w:r>
                    <w:rPr>
                      <w:rFonts w:hint="eastAsia"/>
                      <w:bCs/>
                      <w:szCs w:val="21"/>
                    </w:rPr>
                    <w:t>北侧</w:t>
                  </w:r>
                </w:p>
              </w:tc>
              <w:tc>
                <w:tcPr>
                  <w:tcW w:w="421" w:type="pct"/>
                  <w:shd w:val="clear" w:color="auto" w:fill="auto"/>
                  <w:vAlign w:val="center"/>
                </w:tcPr>
                <w:p w14:paraId="04AECE43">
                  <w:pPr>
                    <w:wordWrap w:val="0"/>
                    <w:jc w:val="center"/>
                    <w:rPr>
                      <w:bCs/>
                      <w:szCs w:val="21"/>
                    </w:rPr>
                  </w:pPr>
                  <w:r>
                    <w:rPr>
                      <w:rFonts w:hint="eastAsia"/>
                      <w:bCs/>
                      <w:szCs w:val="21"/>
                    </w:rPr>
                    <w:t>昼间</w:t>
                  </w:r>
                </w:p>
              </w:tc>
              <w:tc>
                <w:tcPr>
                  <w:tcW w:w="708" w:type="pct"/>
                  <w:vAlign w:val="center"/>
                </w:tcPr>
                <w:p w14:paraId="412B8C19">
                  <w:pPr>
                    <w:wordWrap w:val="0"/>
                    <w:jc w:val="center"/>
                    <w:rPr>
                      <w:bCs/>
                      <w:szCs w:val="21"/>
                    </w:rPr>
                  </w:pPr>
                  <w:r>
                    <w:rPr>
                      <w:rFonts w:hint="eastAsia"/>
                      <w:bCs/>
                      <w:szCs w:val="21"/>
                    </w:rPr>
                    <w:t>63</w:t>
                  </w:r>
                </w:p>
              </w:tc>
              <w:tc>
                <w:tcPr>
                  <w:tcW w:w="708" w:type="pct"/>
                  <w:shd w:val="clear" w:color="auto" w:fill="auto"/>
                  <w:vAlign w:val="center"/>
                </w:tcPr>
                <w:p w14:paraId="3EAA77EB">
                  <w:pPr>
                    <w:wordWrap w:val="0"/>
                    <w:jc w:val="center"/>
                    <w:rPr>
                      <w:bCs/>
                      <w:szCs w:val="21"/>
                    </w:rPr>
                  </w:pPr>
                  <w:r>
                    <w:rPr>
                      <w:rFonts w:hint="eastAsia"/>
                      <w:bCs/>
                      <w:szCs w:val="21"/>
                    </w:rPr>
                    <w:t>38</w:t>
                  </w:r>
                </w:p>
              </w:tc>
              <w:tc>
                <w:tcPr>
                  <w:tcW w:w="708" w:type="pct"/>
                  <w:vAlign w:val="center"/>
                </w:tcPr>
                <w:p w14:paraId="2CC74E3C">
                  <w:pPr>
                    <w:wordWrap w:val="0"/>
                    <w:jc w:val="center"/>
                    <w:rPr>
                      <w:bCs/>
                      <w:szCs w:val="21"/>
                    </w:rPr>
                  </w:pPr>
                  <w:r>
                    <w:rPr>
                      <w:rFonts w:hint="eastAsia"/>
                      <w:bCs/>
                      <w:szCs w:val="21"/>
                    </w:rPr>
                    <w:t>63</w:t>
                  </w:r>
                </w:p>
              </w:tc>
              <w:tc>
                <w:tcPr>
                  <w:tcW w:w="707" w:type="pct"/>
                  <w:vAlign w:val="center"/>
                </w:tcPr>
                <w:p w14:paraId="751121CB">
                  <w:pPr>
                    <w:wordWrap w:val="0"/>
                    <w:jc w:val="center"/>
                    <w:rPr>
                      <w:bCs/>
                      <w:szCs w:val="21"/>
                    </w:rPr>
                  </w:pPr>
                  <w:r>
                    <w:rPr>
                      <w:rFonts w:hint="eastAsia"/>
                      <w:bCs/>
                      <w:szCs w:val="21"/>
                    </w:rPr>
                    <w:t>65</w:t>
                  </w:r>
                </w:p>
              </w:tc>
              <w:tc>
                <w:tcPr>
                  <w:tcW w:w="641" w:type="pct"/>
                  <w:vAlign w:val="center"/>
                </w:tcPr>
                <w:p w14:paraId="2D4A6C52">
                  <w:pPr>
                    <w:wordWrap w:val="0"/>
                    <w:jc w:val="center"/>
                    <w:rPr>
                      <w:bCs/>
                      <w:szCs w:val="21"/>
                    </w:rPr>
                  </w:pPr>
                  <w:r>
                    <w:rPr>
                      <w:rFonts w:hint="eastAsia"/>
                      <w:bCs/>
                      <w:szCs w:val="21"/>
                    </w:rPr>
                    <w:t>达标</w:t>
                  </w:r>
                </w:p>
              </w:tc>
            </w:tr>
            <w:tr w14:paraId="7B15A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pct"/>
                  <w:vMerge w:val="continue"/>
                  <w:vAlign w:val="center"/>
                </w:tcPr>
                <w:p w14:paraId="4369F7BF">
                  <w:pPr>
                    <w:wordWrap w:val="0"/>
                    <w:jc w:val="center"/>
                    <w:rPr>
                      <w:bCs/>
                      <w:szCs w:val="21"/>
                    </w:rPr>
                  </w:pPr>
                </w:p>
              </w:tc>
              <w:tc>
                <w:tcPr>
                  <w:tcW w:w="551" w:type="pct"/>
                  <w:vMerge w:val="continue"/>
                  <w:vAlign w:val="center"/>
                </w:tcPr>
                <w:p w14:paraId="53523978">
                  <w:pPr>
                    <w:wordWrap w:val="0"/>
                    <w:jc w:val="center"/>
                    <w:rPr>
                      <w:bCs/>
                      <w:szCs w:val="21"/>
                    </w:rPr>
                  </w:pPr>
                </w:p>
              </w:tc>
              <w:tc>
                <w:tcPr>
                  <w:tcW w:w="421" w:type="pct"/>
                  <w:shd w:val="clear" w:color="auto" w:fill="auto"/>
                  <w:vAlign w:val="center"/>
                </w:tcPr>
                <w:p w14:paraId="14739DB1">
                  <w:pPr>
                    <w:wordWrap w:val="0"/>
                    <w:jc w:val="center"/>
                    <w:rPr>
                      <w:bCs/>
                      <w:szCs w:val="21"/>
                    </w:rPr>
                  </w:pPr>
                  <w:r>
                    <w:rPr>
                      <w:rFonts w:hint="eastAsia"/>
                      <w:bCs/>
                      <w:szCs w:val="21"/>
                    </w:rPr>
                    <w:t>夜间</w:t>
                  </w:r>
                </w:p>
              </w:tc>
              <w:tc>
                <w:tcPr>
                  <w:tcW w:w="708" w:type="pct"/>
                  <w:vAlign w:val="center"/>
                </w:tcPr>
                <w:p w14:paraId="327554C3">
                  <w:pPr>
                    <w:wordWrap w:val="0"/>
                    <w:jc w:val="center"/>
                    <w:rPr>
                      <w:bCs/>
                      <w:szCs w:val="21"/>
                    </w:rPr>
                  </w:pPr>
                  <w:r>
                    <w:rPr>
                      <w:rFonts w:hint="eastAsia"/>
                      <w:bCs/>
                      <w:szCs w:val="21"/>
                    </w:rPr>
                    <w:t>52</w:t>
                  </w:r>
                </w:p>
              </w:tc>
              <w:tc>
                <w:tcPr>
                  <w:tcW w:w="708" w:type="pct"/>
                  <w:shd w:val="clear" w:color="auto" w:fill="auto"/>
                  <w:vAlign w:val="center"/>
                </w:tcPr>
                <w:p w14:paraId="5A417EED">
                  <w:pPr>
                    <w:wordWrap w:val="0"/>
                    <w:jc w:val="center"/>
                    <w:rPr>
                      <w:bCs/>
                      <w:szCs w:val="21"/>
                    </w:rPr>
                  </w:pPr>
                  <w:r>
                    <w:rPr>
                      <w:rFonts w:hint="eastAsia"/>
                      <w:bCs/>
                      <w:szCs w:val="21"/>
                    </w:rPr>
                    <w:t>38</w:t>
                  </w:r>
                </w:p>
              </w:tc>
              <w:tc>
                <w:tcPr>
                  <w:tcW w:w="708" w:type="pct"/>
                  <w:vAlign w:val="center"/>
                </w:tcPr>
                <w:p w14:paraId="1DAF2BE2">
                  <w:pPr>
                    <w:wordWrap w:val="0"/>
                    <w:jc w:val="center"/>
                    <w:rPr>
                      <w:bCs/>
                      <w:szCs w:val="21"/>
                    </w:rPr>
                  </w:pPr>
                  <w:r>
                    <w:rPr>
                      <w:rFonts w:hint="eastAsia"/>
                      <w:bCs/>
                      <w:szCs w:val="21"/>
                    </w:rPr>
                    <w:t>52</w:t>
                  </w:r>
                </w:p>
              </w:tc>
              <w:tc>
                <w:tcPr>
                  <w:tcW w:w="707" w:type="pct"/>
                  <w:vAlign w:val="center"/>
                </w:tcPr>
                <w:p w14:paraId="64333226">
                  <w:pPr>
                    <w:wordWrap w:val="0"/>
                    <w:jc w:val="center"/>
                    <w:rPr>
                      <w:bCs/>
                      <w:szCs w:val="21"/>
                    </w:rPr>
                  </w:pPr>
                  <w:r>
                    <w:rPr>
                      <w:rFonts w:hint="eastAsia"/>
                      <w:bCs/>
                      <w:szCs w:val="21"/>
                    </w:rPr>
                    <w:t>55</w:t>
                  </w:r>
                </w:p>
              </w:tc>
              <w:tc>
                <w:tcPr>
                  <w:tcW w:w="641" w:type="pct"/>
                  <w:vAlign w:val="center"/>
                </w:tcPr>
                <w:p w14:paraId="1B17CCB9">
                  <w:pPr>
                    <w:wordWrap w:val="0"/>
                    <w:jc w:val="center"/>
                    <w:rPr>
                      <w:bCs/>
                      <w:szCs w:val="21"/>
                    </w:rPr>
                  </w:pPr>
                  <w:r>
                    <w:rPr>
                      <w:rFonts w:hint="eastAsia"/>
                      <w:bCs/>
                      <w:szCs w:val="21"/>
                    </w:rPr>
                    <w:t>达标</w:t>
                  </w:r>
                </w:p>
              </w:tc>
            </w:tr>
          </w:tbl>
          <w:p w14:paraId="085F62C1">
            <w:pPr>
              <w:pStyle w:val="57"/>
              <w:jc w:val="both"/>
              <w:rPr>
                <w:b w:val="0"/>
                <w:bCs/>
                <w:lang w:val="en-US"/>
              </w:rPr>
            </w:pPr>
            <w:r>
              <w:rPr>
                <w:rFonts w:hint="eastAsia"/>
                <w:b w:val="0"/>
                <w:bCs/>
                <w:lang w:val="en-US"/>
              </w:rPr>
              <w:t>（背景值数据来自企业自行监测报告，详见附件五）</w:t>
            </w:r>
          </w:p>
          <w:p w14:paraId="4E5C2E59">
            <w:pPr>
              <w:wordWrap w:val="0"/>
              <w:spacing w:line="360" w:lineRule="auto"/>
              <w:ind w:firstLine="482" w:firstLineChars="200"/>
              <w:rPr>
                <w:b/>
                <w:bCs/>
                <w:sz w:val="24"/>
              </w:rPr>
            </w:pPr>
            <w:r>
              <w:rPr>
                <w:rFonts w:hint="eastAsia"/>
                <w:b/>
                <w:bCs/>
                <w:sz w:val="24"/>
                <w:lang w:eastAsia="zh-CN"/>
              </w:rPr>
              <w:t>4.</w:t>
            </w:r>
            <w:r>
              <w:rPr>
                <w:b/>
                <w:bCs/>
                <w:sz w:val="24"/>
              </w:rPr>
              <w:t>噪声环境影响保护措施</w:t>
            </w:r>
          </w:p>
          <w:p w14:paraId="416AFAED">
            <w:pPr>
              <w:wordWrap w:val="0"/>
              <w:spacing w:line="360" w:lineRule="auto"/>
              <w:ind w:firstLine="480" w:firstLineChars="200"/>
              <w:rPr>
                <w:sz w:val="24"/>
              </w:rPr>
            </w:pPr>
            <w:r>
              <w:rPr>
                <w:sz w:val="24"/>
              </w:rPr>
              <w:t>根据以上预测结果可以看出，主要噪声源通过采取降噪措施以及合理的布置产噪设备的</w:t>
            </w:r>
            <w:r>
              <w:rPr>
                <w:rFonts w:hint="eastAsia"/>
                <w:sz w:val="24"/>
              </w:rPr>
              <w:t>位</w:t>
            </w:r>
            <w:r>
              <w:rPr>
                <w:sz w:val="24"/>
              </w:rPr>
              <w:t>置，</w:t>
            </w:r>
            <w:r>
              <w:rPr>
                <w:bCs/>
                <w:sz w:val="24"/>
              </w:rPr>
              <w:t>项目</w:t>
            </w:r>
            <w:r>
              <w:rPr>
                <w:sz w:val="24"/>
              </w:rPr>
              <w:t>在正常工况下厂界噪声</w:t>
            </w:r>
            <w:r>
              <w:rPr>
                <w:rFonts w:hint="eastAsia"/>
                <w:sz w:val="24"/>
              </w:rPr>
              <w:t>贡献值</w:t>
            </w:r>
            <w:r>
              <w:rPr>
                <w:sz w:val="24"/>
              </w:rPr>
              <w:t>能够满足《工业企业厂界环境噪声排放标准》（GB12348-2008）</w:t>
            </w:r>
            <w:r>
              <w:rPr>
                <w:rFonts w:hint="eastAsia"/>
                <w:sz w:val="24"/>
              </w:rPr>
              <w:t>3</w:t>
            </w:r>
            <w:r>
              <w:rPr>
                <w:sz w:val="24"/>
              </w:rPr>
              <w:t>类</w:t>
            </w:r>
            <w:r>
              <w:rPr>
                <w:rFonts w:hint="eastAsia"/>
                <w:sz w:val="24"/>
              </w:rPr>
              <w:t>标准</w:t>
            </w:r>
            <w:r>
              <w:rPr>
                <w:sz w:val="24"/>
              </w:rPr>
              <w:t>要求。</w:t>
            </w:r>
          </w:p>
          <w:p w14:paraId="402933D5">
            <w:pPr>
              <w:wordWrap w:val="0"/>
              <w:spacing w:line="360" w:lineRule="auto"/>
              <w:ind w:firstLine="480" w:firstLineChars="200"/>
              <w:rPr>
                <w:sz w:val="24"/>
              </w:rPr>
            </w:pPr>
            <w:r>
              <w:rPr>
                <w:sz w:val="24"/>
              </w:rPr>
              <w:t>针对噪声特点，为减少项目生产噪声对周边环境的影响，要求企业生产过程中</w:t>
            </w:r>
            <w:r>
              <w:rPr>
                <w:rFonts w:hint="eastAsia"/>
                <w:sz w:val="24"/>
              </w:rPr>
              <w:t>采取以下降噪措施</w:t>
            </w:r>
            <w:r>
              <w:rPr>
                <w:sz w:val="24"/>
              </w:rPr>
              <w:t>。</w:t>
            </w:r>
          </w:p>
          <w:p w14:paraId="07B65523">
            <w:pPr>
              <w:wordWrap w:val="0"/>
              <w:spacing w:line="360" w:lineRule="auto"/>
              <w:ind w:firstLine="480" w:firstLineChars="200"/>
              <w:rPr>
                <w:sz w:val="24"/>
              </w:rPr>
            </w:pPr>
            <w:r>
              <w:rPr>
                <w:rFonts w:hint="eastAsia"/>
                <w:sz w:val="24"/>
              </w:rPr>
              <w:t>①设备选型上采用低噪声设备，并在连接处采用挠性连接，减少振动；</w:t>
            </w:r>
          </w:p>
          <w:p w14:paraId="78ECE29F">
            <w:pPr>
              <w:wordWrap w:val="0"/>
              <w:spacing w:line="360" w:lineRule="auto"/>
              <w:ind w:firstLine="480" w:firstLineChars="200"/>
              <w:rPr>
                <w:sz w:val="24"/>
              </w:rPr>
            </w:pPr>
            <w:r>
              <w:rPr>
                <w:rFonts w:hint="eastAsia"/>
                <w:sz w:val="24"/>
              </w:rPr>
              <w:t>②项目环保设备风机均设置隔声间，内壁设置隔音棉，基础减振，挠性连接；</w:t>
            </w:r>
          </w:p>
          <w:p w14:paraId="32BEF5D5">
            <w:pPr>
              <w:wordWrap w:val="0"/>
              <w:spacing w:line="360" w:lineRule="auto"/>
              <w:ind w:firstLine="480" w:firstLineChars="200"/>
              <w:rPr>
                <w:sz w:val="24"/>
              </w:rPr>
            </w:pPr>
            <w:r>
              <w:rPr>
                <w:rFonts w:hint="eastAsia"/>
                <w:sz w:val="24"/>
              </w:rPr>
              <w:t>③加强对各设备的维修、保养，定期维护设备，确保设备处于良好的运转状态，杜绝因设备不正常运转而产生的高噪声现象。</w:t>
            </w:r>
          </w:p>
          <w:p w14:paraId="62E9C0D2">
            <w:pPr>
              <w:wordWrap w:val="0"/>
              <w:adjustRightInd w:val="0"/>
              <w:snapToGrid w:val="0"/>
              <w:spacing w:line="360" w:lineRule="auto"/>
              <w:ind w:firstLine="442" w:firstLineChars="200"/>
              <w:rPr>
                <w:b/>
                <w:spacing w:val="-10"/>
                <w:sz w:val="24"/>
              </w:rPr>
            </w:pPr>
            <w:r>
              <w:rPr>
                <w:rFonts w:hint="eastAsia"/>
                <w:b/>
                <w:spacing w:val="-10"/>
                <w:sz w:val="24"/>
                <w:lang w:eastAsia="zh-CN"/>
              </w:rPr>
              <w:t>5.</w:t>
            </w:r>
            <w:r>
              <w:rPr>
                <w:rFonts w:hint="eastAsia"/>
                <w:b/>
                <w:spacing w:val="-10"/>
                <w:sz w:val="24"/>
              </w:rPr>
              <w:t>环境监测与管理</w:t>
            </w:r>
          </w:p>
          <w:p w14:paraId="3C972D54">
            <w:pPr>
              <w:wordWrap w:val="0"/>
              <w:spacing w:line="360" w:lineRule="auto"/>
              <w:ind w:firstLine="480" w:firstLineChars="200"/>
              <w:rPr>
                <w:bCs/>
                <w:kern w:val="0"/>
                <w:sz w:val="24"/>
              </w:rPr>
            </w:pPr>
            <w:r>
              <w:rPr>
                <w:bCs/>
                <w:sz w:val="24"/>
              </w:rPr>
              <w:t>根据</w:t>
            </w:r>
            <w:r>
              <w:rPr>
                <w:sz w:val="24"/>
              </w:rPr>
              <w:t>《排污</w:t>
            </w:r>
            <w:r>
              <w:rPr>
                <w:rFonts w:hint="eastAsia"/>
                <w:sz w:val="24"/>
              </w:rPr>
              <w:t>许可证申请与核发技术规范</w:t>
            </w:r>
            <w:r>
              <w:rPr>
                <w:sz w:val="24"/>
              </w:rPr>
              <w:t>总则》</w:t>
            </w:r>
            <w:r>
              <w:rPr>
                <w:rFonts w:hint="eastAsia"/>
                <w:sz w:val="24"/>
              </w:rPr>
              <w:t>（</w:t>
            </w:r>
            <w:r>
              <w:rPr>
                <w:sz w:val="24"/>
              </w:rPr>
              <w:t>HJ</w:t>
            </w:r>
            <w:r>
              <w:rPr>
                <w:rFonts w:hint="eastAsia"/>
                <w:sz w:val="24"/>
              </w:rPr>
              <w:t>942</w:t>
            </w:r>
            <w:r>
              <w:rPr>
                <w:sz w:val="24"/>
              </w:rPr>
              <w:t>-2017</w:t>
            </w:r>
            <w:r>
              <w:rPr>
                <w:rFonts w:hint="eastAsia"/>
                <w:sz w:val="24"/>
              </w:rPr>
              <w:t>）、</w:t>
            </w:r>
            <w:r>
              <w:rPr>
                <w:sz w:val="24"/>
              </w:rPr>
              <w:t>《排污单位自行监测技术指南总则》</w:t>
            </w:r>
            <w:r>
              <w:rPr>
                <w:rFonts w:hint="eastAsia"/>
                <w:sz w:val="24"/>
              </w:rPr>
              <w:t>（HJ819-2017）</w:t>
            </w:r>
            <w:r>
              <w:rPr>
                <w:rFonts w:hint="eastAsia"/>
                <w:bCs/>
                <w:sz w:val="24"/>
              </w:rPr>
              <w:t>相关要求</w:t>
            </w:r>
            <w:r>
              <w:rPr>
                <w:bCs/>
                <w:sz w:val="24"/>
              </w:rPr>
              <w:t>，本项目运营期</w:t>
            </w:r>
            <w:r>
              <w:rPr>
                <w:rFonts w:hint="eastAsia"/>
                <w:bCs/>
                <w:sz w:val="24"/>
              </w:rPr>
              <w:t>厂界噪声</w:t>
            </w:r>
            <w:r>
              <w:rPr>
                <w:bCs/>
                <w:sz w:val="24"/>
              </w:rPr>
              <w:t>自行监测要求见表4-</w:t>
            </w:r>
            <w:r>
              <w:rPr>
                <w:rFonts w:hint="eastAsia"/>
                <w:bCs/>
                <w:sz w:val="24"/>
              </w:rPr>
              <w:t>1</w:t>
            </w:r>
            <w:r>
              <w:rPr>
                <w:rFonts w:hint="eastAsia"/>
                <w:bCs/>
                <w:sz w:val="24"/>
                <w:lang w:val="en-US" w:eastAsia="zh-CN"/>
              </w:rPr>
              <w:t>0</w:t>
            </w:r>
            <w:r>
              <w:rPr>
                <w:rFonts w:hint="eastAsia"/>
                <w:bCs/>
                <w:kern w:val="0"/>
                <w:sz w:val="24"/>
              </w:rPr>
              <w:t>。</w:t>
            </w:r>
          </w:p>
          <w:p w14:paraId="0EB2BEB8">
            <w:pPr>
              <w:wordWrap w:val="0"/>
              <w:autoSpaceDE w:val="0"/>
              <w:autoSpaceDN w:val="0"/>
              <w:jc w:val="center"/>
              <w:rPr>
                <w:b/>
                <w:szCs w:val="21"/>
                <w:lang w:val="zh-CN" w:bidi="zh-CN"/>
              </w:rPr>
            </w:pPr>
            <w:r>
              <w:rPr>
                <w:b/>
                <w:szCs w:val="21"/>
                <w:lang w:val="zh-CN" w:bidi="zh-CN"/>
              </w:rPr>
              <w:t>表4-</w:t>
            </w:r>
            <w:r>
              <w:rPr>
                <w:rFonts w:hint="eastAsia"/>
                <w:b/>
                <w:szCs w:val="21"/>
                <w:lang w:bidi="zh-CN"/>
              </w:rPr>
              <w:t>1</w:t>
            </w:r>
            <w:r>
              <w:rPr>
                <w:rFonts w:hint="eastAsia"/>
                <w:b/>
                <w:szCs w:val="21"/>
                <w:lang w:val="en-US" w:bidi="zh-CN"/>
              </w:rPr>
              <w:t>0</w:t>
            </w:r>
            <w:r>
              <w:rPr>
                <w:b/>
                <w:szCs w:val="21"/>
                <w:lang w:val="zh-CN" w:bidi="zh-CN"/>
              </w:rPr>
              <w:t>项目噪声自行监测一览表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1542"/>
              <w:gridCol w:w="1361"/>
              <w:gridCol w:w="2339"/>
              <w:gridCol w:w="1022"/>
              <w:gridCol w:w="1805"/>
            </w:tblGrid>
            <w:tr w14:paraId="5F2CB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269" w:type="dxa"/>
                  <w:vAlign w:val="center"/>
                </w:tcPr>
                <w:p w14:paraId="7A4B4C17">
                  <w:pPr>
                    <w:wordWrap w:val="0"/>
                    <w:jc w:val="center"/>
                    <w:rPr>
                      <w:b/>
                      <w:szCs w:val="21"/>
                    </w:rPr>
                  </w:pPr>
                  <w:r>
                    <w:rPr>
                      <w:rFonts w:hint="eastAsia"/>
                      <w:b/>
                      <w:szCs w:val="21"/>
                    </w:rPr>
                    <w:t>监测点位</w:t>
                  </w:r>
                </w:p>
              </w:tc>
              <w:tc>
                <w:tcPr>
                  <w:tcW w:w="1355" w:type="dxa"/>
                  <w:vAlign w:val="center"/>
                </w:tcPr>
                <w:p w14:paraId="35B317DA">
                  <w:pPr>
                    <w:wordWrap w:val="0"/>
                    <w:jc w:val="center"/>
                    <w:rPr>
                      <w:b/>
                      <w:szCs w:val="21"/>
                    </w:rPr>
                  </w:pPr>
                  <w:r>
                    <w:rPr>
                      <w:rFonts w:hint="eastAsia"/>
                      <w:b/>
                      <w:szCs w:val="21"/>
                    </w:rPr>
                    <w:t>监测项目</w:t>
                  </w:r>
                </w:p>
              </w:tc>
              <w:tc>
                <w:tcPr>
                  <w:tcW w:w="1197" w:type="dxa"/>
                  <w:vAlign w:val="center"/>
                </w:tcPr>
                <w:p w14:paraId="32A6C5A9">
                  <w:pPr>
                    <w:wordWrap w:val="0"/>
                    <w:jc w:val="center"/>
                    <w:rPr>
                      <w:b/>
                      <w:szCs w:val="21"/>
                    </w:rPr>
                  </w:pPr>
                  <w:r>
                    <w:rPr>
                      <w:rFonts w:hint="eastAsia"/>
                      <w:b/>
                      <w:szCs w:val="21"/>
                    </w:rPr>
                    <w:t>监测频次</w:t>
                  </w:r>
                </w:p>
              </w:tc>
              <w:tc>
                <w:tcPr>
                  <w:tcW w:w="2056" w:type="dxa"/>
                  <w:vAlign w:val="center"/>
                </w:tcPr>
                <w:p w14:paraId="42F9B877">
                  <w:pPr>
                    <w:wordWrap w:val="0"/>
                    <w:jc w:val="center"/>
                    <w:rPr>
                      <w:b/>
                      <w:szCs w:val="21"/>
                    </w:rPr>
                  </w:pPr>
                  <w:r>
                    <w:rPr>
                      <w:rFonts w:hint="eastAsia"/>
                      <w:b/>
                      <w:szCs w:val="21"/>
                    </w:rPr>
                    <w:t>执行标准</w:t>
                  </w:r>
                </w:p>
              </w:tc>
              <w:tc>
                <w:tcPr>
                  <w:tcW w:w="899" w:type="dxa"/>
                  <w:vAlign w:val="center"/>
                </w:tcPr>
                <w:p w14:paraId="01267F6E">
                  <w:pPr>
                    <w:wordWrap w:val="0"/>
                    <w:jc w:val="center"/>
                    <w:rPr>
                      <w:b/>
                      <w:szCs w:val="21"/>
                    </w:rPr>
                  </w:pPr>
                  <w:r>
                    <w:rPr>
                      <w:rFonts w:hint="eastAsia"/>
                      <w:b/>
                      <w:szCs w:val="21"/>
                    </w:rPr>
                    <w:t>级别</w:t>
                  </w:r>
                </w:p>
              </w:tc>
              <w:tc>
                <w:tcPr>
                  <w:tcW w:w="1586" w:type="dxa"/>
                  <w:vAlign w:val="center"/>
                </w:tcPr>
                <w:p w14:paraId="3CF35C67">
                  <w:pPr>
                    <w:wordWrap w:val="0"/>
                    <w:jc w:val="center"/>
                    <w:rPr>
                      <w:b/>
                      <w:szCs w:val="21"/>
                    </w:rPr>
                  </w:pPr>
                  <w:r>
                    <w:rPr>
                      <w:rFonts w:hint="eastAsia"/>
                      <w:b/>
                      <w:szCs w:val="21"/>
                    </w:rPr>
                    <w:t>标准限值</w:t>
                  </w:r>
                </w:p>
              </w:tc>
            </w:tr>
            <w:tr w14:paraId="363FA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269" w:type="dxa"/>
                  <w:vAlign w:val="center"/>
                </w:tcPr>
                <w:p w14:paraId="50E205BC">
                  <w:pPr>
                    <w:wordWrap w:val="0"/>
                    <w:jc w:val="center"/>
                    <w:rPr>
                      <w:bCs/>
                      <w:szCs w:val="21"/>
                    </w:rPr>
                  </w:pPr>
                  <w:r>
                    <w:rPr>
                      <w:rFonts w:hint="eastAsia"/>
                      <w:bCs/>
                      <w:szCs w:val="21"/>
                    </w:rPr>
                    <w:t>厂界</w:t>
                  </w:r>
                </w:p>
              </w:tc>
              <w:tc>
                <w:tcPr>
                  <w:tcW w:w="1355" w:type="dxa"/>
                  <w:vAlign w:val="center"/>
                </w:tcPr>
                <w:p w14:paraId="0A02CEF9">
                  <w:pPr>
                    <w:wordWrap w:val="0"/>
                    <w:jc w:val="center"/>
                    <w:rPr>
                      <w:bCs/>
                      <w:szCs w:val="21"/>
                    </w:rPr>
                  </w:pPr>
                  <w:r>
                    <w:rPr>
                      <w:rFonts w:hint="eastAsia"/>
                      <w:bCs/>
                      <w:szCs w:val="21"/>
                    </w:rPr>
                    <w:t>等效连续A声级，LeqdB（A）级</w:t>
                  </w:r>
                </w:p>
              </w:tc>
              <w:tc>
                <w:tcPr>
                  <w:tcW w:w="1197" w:type="dxa"/>
                  <w:vAlign w:val="center"/>
                </w:tcPr>
                <w:p w14:paraId="28CAD97C">
                  <w:pPr>
                    <w:wordWrap w:val="0"/>
                    <w:jc w:val="center"/>
                    <w:rPr>
                      <w:bCs/>
                      <w:szCs w:val="21"/>
                    </w:rPr>
                  </w:pPr>
                  <w:r>
                    <w:rPr>
                      <w:rFonts w:hint="eastAsia"/>
                      <w:bCs/>
                      <w:szCs w:val="21"/>
                    </w:rPr>
                    <w:t>1次/季度</w:t>
                  </w:r>
                </w:p>
              </w:tc>
              <w:tc>
                <w:tcPr>
                  <w:tcW w:w="2056" w:type="dxa"/>
                  <w:vAlign w:val="center"/>
                </w:tcPr>
                <w:p w14:paraId="09063847">
                  <w:pPr>
                    <w:wordWrap w:val="0"/>
                    <w:jc w:val="center"/>
                    <w:rPr>
                      <w:bCs/>
                      <w:szCs w:val="21"/>
                    </w:rPr>
                  </w:pPr>
                  <w:r>
                    <w:rPr>
                      <w:rFonts w:hint="eastAsia"/>
                      <w:bCs/>
                      <w:szCs w:val="21"/>
                    </w:rPr>
                    <w:t>《工业企业厂界环境噪声排放标准》（GB12348-2008）</w:t>
                  </w:r>
                </w:p>
              </w:tc>
              <w:tc>
                <w:tcPr>
                  <w:tcW w:w="899" w:type="dxa"/>
                  <w:vAlign w:val="center"/>
                </w:tcPr>
                <w:p w14:paraId="4EA9A12E">
                  <w:pPr>
                    <w:wordWrap w:val="0"/>
                    <w:jc w:val="center"/>
                    <w:rPr>
                      <w:bCs/>
                      <w:szCs w:val="21"/>
                    </w:rPr>
                  </w:pPr>
                  <w:r>
                    <w:rPr>
                      <w:rFonts w:hint="eastAsia"/>
                      <w:bCs/>
                      <w:szCs w:val="21"/>
                    </w:rPr>
                    <w:t>3类</w:t>
                  </w:r>
                </w:p>
              </w:tc>
              <w:tc>
                <w:tcPr>
                  <w:tcW w:w="1586" w:type="dxa"/>
                  <w:vAlign w:val="center"/>
                </w:tcPr>
                <w:p w14:paraId="5C99540D">
                  <w:pPr>
                    <w:wordWrap w:val="0"/>
                    <w:jc w:val="center"/>
                    <w:rPr>
                      <w:bCs/>
                      <w:szCs w:val="21"/>
                    </w:rPr>
                  </w:pPr>
                  <w:r>
                    <w:rPr>
                      <w:rFonts w:hint="eastAsia"/>
                      <w:bCs/>
                      <w:szCs w:val="21"/>
                    </w:rPr>
                    <w:t>昼间：65dB（A）</w:t>
                  </w:r>
                </w:p>
                <w:p w14:paraId="013A579C">
                  <w:pPr>
                    <w:wordWrap w:val="0"/>
                    <w:jc w:val="center"/>
                    <w:rPr>
                      <w:bCs/>
                      <w:szCs w:val="21"/>
                    </w:rPr>
                  </w:pPr>
                  <w:r>
                    <w:rPr>
                      <w:rFonts w:hint="eastAsia"/>
                      <w:bCs/>
                      <w:szCs w:val="21"/>
                    </w:rPr>
                    <w:t>夜间：55dB（A）</w:t>
                  </w:r>
                </w:p>
              </w:tc>
            </w:tr>
          </w:tbl>
          <w:p w14:paraId="4362FFA9">
            <w:pPr>
              <w:pStyle w:val="34"/>
              <w:wordWrap w:val="0"/>
              <w:spacing w:line="360" w:lineRule="auto"/>
              <w:ind w:left="0" w:leftChars="0" w:firstLine="0" w:firstLineChars="0"/>
              <w:rPr>
                <w:rFonts w:ascii="Times New Roman" w:hAnsi="Times New Roman"/>
                <w:b/>
                <w:bCs/>
                <w:sz w:val="24"/>
              </w:rPr>
            </w:pPr>
            <w:r>
              <w:rPr>
                <w:rFonts w:hint="eastAsia" w:ascii="Times New Roman" w:hAnsi="Times New Roman"/>
                <w:b/>
                <w:bCs/>
                <w:sz w:val="24"/>
              </w:rPr>
              <w:t>四、固体废物</w:t>
            </w:r>
          </w:p>
          <w:p w14:paraId="47F6CCF0">
            <w:pPr>
              <w:pStyle w:val="111"/>
              <w:numPr>
                <w:ilvl w:val="0"/>
                <w:numId w:val="25"/>
              </w:numPr>
              <w:wordWrap w:val="0"/>
              <w:ind w:firstLine="482"/>
              <w:rPr>
                <w:rFonts w:hint="default"/>
                <w:b/>
                <w:bCs/>
                <w:color w:val="auto"/>
              </w:rPr>
            </w:pPr>
            <w:r>
              <w:rPr>
                <w:b/>
                <w:bCs/>
                <w:color w:val="auto"/>
              </w:rPr>
              <w:t>产排情况</w:t>
            </w:r>
          </w:p>
          <w:p w14:paraId="6220E528">
            <w:pPr>
              <w:pStyle w:val="111"/>
              <w:ind w:firstLine="482"/>
              <w:rPr>
                <w:rFonts w:hint="default"/>
                <w:b/>
                <w:bCs/>
                <w:color w:val="auto"/>
              </w:rPr>
            </w:pPr>
            <w:r>
              <w:rPr>
                <w:b/>
                <w:bCs/>
                <w:color w:val="auto"/>
              </w:rPr>
              <w:t>①蒸发干化物（钨酸钠杂盐）</w:t>
            </w:r>
          </w:p>
          <w:p w14:paraId="230424CC">
            <w:pPr>
              <w:pStyle w:val="111"/>
              <w:rPr>
                <w:rFonts w:hint="default"/>
                <w:color w:val="auto"/>
              </w:rPr>
            </w:pPr>
            <w:r>
              <w:rPr>
                <w:color w:val="auto"/>
              </w:rPr>
              <w:t>根据前文工程分析，电解清洗废水采用“蒸发+冷凝”处理过程中产生钨酸钠杂盐226.8t/a，为一般固体废物，暂存一般固废暂存区，一定量后外售物资回收单位。企业已与赣州品信矿业有限公司签订回收协议（附件七）。</w:t>
            </w:r>
          </w:p>
          <w:p w14:paraId="710463D9">
            <w:pPr>
              <w:pStyle w:val="111"/>
              <w:ind w:firstLine="482"/>
              <w:rPr>
                <w:rFonts w:hint="default"/>
                <w:b/>
                <w:bCs/>
                <w:color w:val="auto"/>
              </w:rPr>
            </w:pPr>
            <w:r>
              <w:rPr>
                <w:b/>
                <w:bCs/>
                <w:color w:val="auto"/>
              </w:rPr>
              <w:t>②废滤芯</w:t>
            </w:r>
          </w:p>
          <w:p w14:paraId="50776F72">
            <w:pPr>
              <w:pStyle w:val="111"/>
              <w:rPr>
                <w:rFonts w:hint="default"/>
                <w:color w:val="auto"/>
                <w:highlight w:val="none"/>
              </w:rPr>
            </w:pPr>
            <w:r>
              <w:rPr>
                <w:color w:val="auto"/>
              </w:rPr>
              <w:t>根据前文工程分析，电解清洗及水洗循环</w:t>
            </w:r>
            <w:r>
              <w:rPr>
                <w:color w:val="auto"/>
                <w:highlight w:val="none"/>
              </w:rPr>
              <w:t>系统过滤器废滤芯年产生量为3t/a，其上沾染有碱液，</w:t>
            </w:r>
            <w:r>
              <w:rPr>
                <w:rFonts w:hint="default"/>
                <w:color w:val="auto"/>
                <w:highlight w:val="none"/>
              </w:rPr>
              <w:t>对照《国家危险废物名录》属于HW49其他废物，废物代码</w:t>
            </w:r>
            <w:r>
              <w:rPr>
                <w:color w:val="auto"/>
                <w:highlight w:val="none"/>
              </w:rPr>
              <w:t>900-041-49。</w:t>
            </w:r>
          </w:p>
          <w:p w14:paraId="10FB4CBF">
            <w:pPr>
              <w:pStyle w:val="111"/>
              <w:ind w:firstLine="482"/>
              <w:rPr>
                <w:rFonts w:hint="default"/>
                <w:b/>
                <w:bCs/>
                <w:color w:val="auto"/>
                <w:highlight w:val="none"/>
              </w:rPr>
            </w:pPr>
            <w:r>
              <w:rPr>
                <w:b/>
                <w:bCs/>
                <w:color w:val="auto"/>
                <w:highlight w:val="none"/>
              </w:rPr>
              <w:t>③废海绵</w:t>
            </w:r>
          </w:p>
          <w:p w14:paraId="13BBF72F">
            <w:pPr>
              <w:pStyle w:val="111"/>
              <w:rPr>
                <w:rFonts w:hint="default"/>
                <w:color w:val="auto"/>
                <w:highlight w:val="none"/>
              </w:rPr>
            </w:pPr>
            <w:r>
              <w:rPr>
                <w:color w:val="auto"/>
                <w:highlight w:val="none"/>
              </w:rPr>
              <w:t>根据前文工程分析，电解清洗及水洗过程中废海绵年产生量为3t/a，</w:t>
            </w:r>
            <w:r>
              <w:rPr>
                <w:rFonts w:hint="default"/>
                <w:color w:val="auto"/>
                <w:highlight w:val="none"/>
              </w:rPr>
              <w:t>对照《国家危险废物名录》属于HW49其他废物，废物代码</w:t>
            </w:r>
            <w:r>
              <w:rPr>
                <w:color w:val="auto"/>
                <w:highlight w:val="none"/>
              </w:rPr>
              <w:t>900-041-49。</w:t>
            </w:r>
          </w:p>
          <w:p w14:paraId="2D06779A">
            <w:pPr>
              <w:pStyle w:val="111"/>
              <w:ind w:firstLine="482"/>
              <w:rPr>
                <w:rFonts w:hint="default"/>
                <w:b/>
                <w:bCs/>
                <w:color w:val="auto"/>
              </w:rPr>
            </w:pPr>
            <w:r>
              <w:rPr>
                <w:b/>
                <w:bCs/>
                <w:color w:val="auto"/>
              </w:rPr>
              <w:t>④喷淋塔废液</w:t>
            </w:r>
          </w:p>
          <w:p w14:paraId="6C272B41">
            <w:pPr>
              <w:pStyle w:val="111"/>
              <w:rPr>
                <w:rFonts w:hint="default"/>
                <w:color w:val="auto"/>
              </w:rPr>
            </w:pPr>
            <w:r>
              <w:rPr>
                <w:color w:val="auto"/>
              </w:rPr>
              <w:t>根据前文水平衡，喷淋塔废液产生量为6m</w:t>
            </w:r>
            <w:r>
              <w:rPr>
                <w:color w:val="auto"/>
                <w:vertAlign w:val="superscript"/>
              </w:rPr>
              <w:t>3</w:t>
            </w:r>
            <w:r>
              <w:rPr>
                <w:color w:val="auto"/>
              </w:rPr>
              <w:t>/a。根据《国家危险废物名录》喷淋塔废液属于HW35类，废物代码为900-399-35。</w:t>
            </w:r>
          </w:p>
          <w:p w14:paraId="35B3546D">
            <w:pPr>
              <w:wordWrap w:val="0"/>
              <w:adjustRightInd w:val="0"/>
              <w:snapToGrid w:val="0"/>
              <w:spacing w:line="360" w:lineRule="auto"/>
              <w:ind w:firstLine="480" w:firstLineChars="200"/>
              <w:rPr>
                <w:sz w:val="24"/>
              </w:rPr>
            </w:pPr>
            <w:r>
              <w:rPr>
                <w:sz w:val="24"/>
              </w:rPr>
              <w:t>本项目固体废物产生量见下表。</w:t>
            </w:r>
          </w:p>
          <w:p w14:paraId="38D88E75">
            <w:pPr>
              <w:pStyle w:val="57"/>
              <w:wordWrap w:val="0"/>
            </w:pPr>
            <w:r>
              <w:t>表</w:t>
            </w:r>
            <w:r>
              <w:rPr>
                <w:rFonts w:hint="eastAsia"/>
                <w:lang w:val="en-US"/>
              </w:rPr>
              <w:t>4-1</w:t>
            </w:r>
            <w:r>
              <w:rPr>
                <w:rFonts w:hint="eastAsia"/>
                <w:lang w:val="en-US" w:eastAsia="zh-CN"/>
              </w:rPr>
              <w:t>1</w:t>
            </w:r>
            <w:r>
              <w:t>项目固体废物产生情况一览表</w:t>
            </w:r>
          </w:p>
          <w:tbl>
            <w:tblPr>
              <w:tblStyle w:val="35"/>
              <w:tblW w:w="499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10"/>
              <w:gridCol w:w="2642"/>
              <w:gridCol w:w="1068"/>
              <w:gridCol w:w="793"/>
              <w:gridCol w:w="1359"/>
              <w:gridCol w:w="2831"/>
            </w:tblGrid>
            <w:tr w14:paraId="3AF364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26" w:type="pct"/>
                  <w:vMerge w:val="restart"/>
                  <w:vAlign w:val="center"/>
                </w:tcPr>
                <w:p w14:paraId="66DDE6BC">
                  <w:pPr>
                    <w:pStyle w:val="57"/>
                  </w:pPr>
                  <w:r>
                    <w:t>序号</w:t>
                  </w:r>
                </w:p>
              </w:tc>
              <w:tc>
                <w:tcPr>
                  <w:tcW w:w="1390" w:type="pct"/>
                  <w:vMerge w:val="restart"/>
                  <w:vAlign w:val="center"/>
                </w:tcPr>
                <w:p w14:paraId="69E99808">
                  <w:pPr>
                    <w:pStyle w:val="57"/>
                  </w:pPr>
                  <w:r>
                    <w:t>名称</w:t>
                  </w:r>
                </w:p>
              </w:tc>
              <w:tc>
                <w:tcPr>
                  <w:tcW w:w="561" w:type="pct"/>
                  <w:vMerge w:val="restart"/>
                  <w:vAlign w:val="center"/>
                </w:tcPr>
                <w:p w14:paraId="417A4DA9">
                  <w:pPr>
                    <w:pStyle w:val="57"/>
                  </w:pPr>
                  <w:r>
                    <w:t>产生量t/a</w:t>
                  </w:r>
                </w:p>
              </w:tc>
              <w:tc>
                <w:tcPr>
                  <w:tcW w:w="417" w:type="pct"/>
                  <w:vMerge w:val="restart"/>
                  <w:vAlign w:val="center"/>
                </w:tcPr>
                <w:p w14:paraId="0C0235AC">
                  <w:pPr>
                    <w:pStyle w:val="57"/>
                  </w:pPr>
                  <w:r>
                    <w:t>固废属性</w:t>
                  </w:r>
                </w:p>
              </w:tc>
              <w:tc>
                <w:tcPr>
                  <w:tcW w:w="714" w:type="pct"/>
                  <w:vMerge w:val="restart"/>
                  <w:vAlign w:val="center"/>
                </w:tcPr>
                <w:p w14:paraId="4BD1C2D4">
                  <w:pPr>
                    <w:pStyle w:val="57"/>
                  </w:pPr>
                  <w:r>
                    <w:t>代码</w:t>
                  </w:r>
                </w:p>
              </w:tc>
              <w:tc>
                <w:tcPr>
                  <w:tcW w:w="1489" w:type="pct"/>
                  <w:vMerge w:val="restart"/>
                  <w:vAlign w:val="center"/>
                </w:tcPr>
                <w:p w14:paraId="492C1376">
                  <w:pPr>
                    <w:pStyle w:val="57"/>
                  </w:pPr>
                  <w:r>
                    <w:t>利用处置方式和去向</w:t>
                  </w:r>
                </w:p>
              </w:tc>
            </w:tr>
            <w:tr w14:paraId="76C18C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426" w:type="pct"/>
                  <w:vMerge w:val="continue"/>
                  <w:vAlign w:val="center"/>
                </w:tcPr>
                <w:p w14:paraId="2664F7B2">
                  <w:pPr>
                    <w:pStyle w:val="57"/>
                    <w:rPr>
                      <w:b w:val="0"/>
                      <w:bCs/>
                    </w:rPr>
                  </w:pPr>
                </w:p>
              </w:tc>
              <w:tc>
                <w:tcPr>
                  <w:tcW w:w="1390" w:type="pct"/>
                  <w:vMerge w:val="continue"/>
                  <w:vAlign w:val="center"/>
                </w:tcPr>
                <w:p w14:paraId="0A7F4148">
                  <w:pPr>
                    <w:pStyle w:val="57"/>
                    <w:rPr>
                      <w:b w:val="0"/>
                      <w:bCs/>
                    </w:rPr>
                  </w:pPr>
                </w:p>
              </w:tc>
              <w:tc>
                <w:tcPr>
                  <w:tcW w:w="561" w:type="pct"/>
                  <w:vMerge w:val="continue"/>
                  <w:vAlign w:val="center"/>
                </w:tcPr>
                <w:p w14:paraId="4EF823EC">
                  <w:pPr>
                    <w:pStyle w:val="57"/>
                    <w:rPr>
                      <w:b w:val="0"/>
                      <w:bCs/>
                      <w:lang w:val="en-US"/>
                    </w:rPr>
                  </w:pPr>
                </w:p>
              </w:tc>
              <w:tc>
                <w:tcPr>
                  <w:tcW w:w="417" w:type="pct"/>
                  <w:vMerge w:val="continue"/>
                  <w:vAlign w:val="center"/>
                </w:tcPr>
                <w:p w14:paraId="2086FA7D">
                  <w:pPr>
                    <w:pStyle w:val="57"/>
                    <w:rPr>
                      <w:b w:val="0"/>
                      <w:bCs/>
                    </w:rPr>
                  </w:pPr>
                </w:p>
              </w:tc>
              <w:tc>
                <w:tcPr>
                  <w:tcW w:w="714" w:type="pct"/>
                  <w:vMerge w:val="continue"/>
                  <w:vAlign w:val="center"/>
                </w:tcPr>
                <w:p w14:paraId="75445A82">
                  <w:pPr>
                    <w:pStyle w:val="57"/>
                    <w:rPr>
                      <w:b w:val="0"/>
                      <w:bCs/>
                    </w:rPr>
                  </w:pPr>
                </w:p>
              </w:tc>
              <w:tc>
                <w:tcPr>
                  <w:tcW w:w="1489" w:type="pct"/>
                  <w:vMerge w:val="continue"/>
                  <w:vAlign w:val="center"/>
                </w:tcPr>
                <w:p w14:paraId="5A5129E8">
                  <w:pPr>
                    <w:pStyle w:val="57"/>
                    <w:rPr>
                      <w:b w:val="0"/>
                      <w:bCs/>
                    </w:rPr>
                  </w:pPr>
                </w:p>
              </w:tc>
            </w:tr>
            <w:tr w14:paraId="787CCB9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26" w:type="pct"/>
                  <w:vAlign w:val="center"/>
                </w:tcPr>
                <w:p w14:paraId="7A3FFD60">
                  <w:pPr>
                    <w:pStyle w:val="57"/>
                    <w:rPr>
                      <w:b w:val="0"/>
                      <w:bCs/>
                    </w:rPr>
                  </w:pPr>
                  <w:r>
                    <w:rPr>
                      <w:b w:val="0"/>
                      <w:bCs/>
                    </w:rPr>
                    <w:t>1</w:t>
                  </w:r>
                </w:p>
              </w:tc>
              <w:tc>
                <w:tcPr>
                  <w:tcW w:w="1390" w:type="pct"/>
                  <w:shd w:val="clear" w:color="auto" w:fill="auto"/>
                  <w:vAlign w:val="center"/>
                </w:tcPr>
                <w:p w14:paraId="03E8555F">
                  <w:pPr>
                    <w:pStyle w:val="57"/>
                    <w:rPr>
                      <w:b w:val="0"/>
                      <w:bCs/>
                    </w:rPr>
                  </w:pPr>
                  <w:r>
                    <w:rPr>
                      <w:rFonts w:hint="eastAsia"/>
                      <w:b w:val="0"/>
                      <w:bCs/>
                    </w:rPr>
                    <w:t>蒸发干化物（钨酸钠杂盐）</w:t>
                  </w:r>
                </w:p>
              </w:tc>
              <w:tc>
                <w:tcPr>
                  <w:tcW w:w="561" w:type="pct"/>
                  <w:shd w:val="clear" w:color="auto" w:fill="auto"/>
                  <w:vAlign w:val="center"/>
                </w:tcPr>
                <w:p w14:paraId="031FDCFB">
                  <w:pPr>
                    <w:pStyle w:val="57"/>
                    <w:rPr>
                      <w:b w:val="0"/>
                      <w:bCs/>
                      <w:lang w:val="en-US"/>
                    </w:rPr>
                  </w:pPr>
                  <w:r>
                    <w:rPr>
                      <w:rFonts w:hint="eastAsia"/>
                      <w:b w:val="0"/>
                      <w:bCs/>
                      <w:lang w:val="en-US"/>
                    </w:rPr>
                    <w:t>226.8</w:t>
                  </w:r>
                </w:p>
              </w:tc>
              <w:tc>
                <w:tcPr>
                  <w:tcW w:w="417" w:type="pct"/>
                  <w:vAlign w:val="center"/>
                </w:tcPr>
                <w:p w14:paraId="786D36E3">
                  <w:pPr>
                    <w:pStyle w:val="57"/>
                    <w:rPr>
                      <w:b w:val="0"/>
                      <w:bCs/>
                    </w:rPr>
                  </w:pPr>
                  <w:r>
                    <w:rPr>
                      <w:rFonts w:hint="eastAsia"/>
                      <w:b w:val="0"/>
                      <w:bCs/>
                    </w:rPr>
                    <w:t>一般固废</w:t>
                  </w:r>
                </w:p>
              </w:tc>
              <w:tc>
                <w:tcPr>
                  <w:tcW w:w="714" w:type="pct"/>
                  <w:vAlign w:val="center"/>
                </w:tcPr>
                <w:p w14:paraId="10DF9B08">
                  <w:pPr>
                    <w:pStyle w:val="57"/>
                    <w:rPr>
                      <w:b w:val="0"/>
                      <w:bCs/>
                      <w:lang w:val="en-US"/>
                    </w:rPr>
                  </w:pPr>
                  <w:r>
                    <w:rPr>
                      <w:rFonts w:hint="eastAsia"/>
                      <w:b w:val="0"/>
                      <w:bCs/>
                      <w:lang w:val="en-US"/>
                    </w:rPr>
                    <w:t>900-005-S17</w:t>
                  </w:r>
                </w:p>
              </w:tc>
              <w:tc>
                <w:tcPr>
                  <w:tcW w:w="1489" w:type="pct"/>
                  <w:vAlign w:val="center"/>
                </w:tcPr>
                <w:p w14:paraId="6D4B2FFC">
                  <w:pPr>
                    <w:pStyle w:val="57"/>
                    <w:rPr>
                      <w:b w:val="0"/>
                      <w:bCs/>
                    </w:rPr>
                  </w:pPr>
                  <w:r>
                    <w:rPr>
                      <w:b w:val="0"/>
                      <w:bCs/>
                    </w:rPr>
                    <w:t>交由物资回收公司进行回收利用</w:t>
                  </w:r>
                </w:p>
              </w:tc>
            </w:tr>
            <w:tr w14:paraId="49B0A6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26" w:type="pct"/>
                  <w:shd w:val="clear" w:color="auto" w:fill="auto"/>
                  <w:vAlign w:val="center"/>
                </w:tcPr>
                <w:p w14:paraId="669B08D7">
                  <w:pPr>
                    <w:pStyle w:val="57"/>
                    <w:rPr>
                      <w:b w:val="0"/>
                      <w:bCs/>
                      <w:lang w:val="en-US"/>
                    </w:rPr>
                  </w:pPr>
                  <w:r>
                    <w:rPr>
                      <w:rFonts w:hint="eastAsia"/>
                      <w:b w:val="0"/>
                      <w:bCs/>
                      <w:lang w:val="en-US"/>
                    </w:rPr>
                    <w:t>2</w:t>
                  </w:r>
                </w:p>
              </w:tc>
              <w:tc>
                <w:tcPr>
                  <w:tcW w:w="1390" w:type="pct"/>
                  <w:shd w:val="clear" w:color="auto" w:fill="auto"/>
                  <w:vAlign w:val="center"/>
                </w:tcPr>
                <w:p w14:paraId="64AF07BB">
                  <w:pPr>
                    <w:pStyle w:val="57"/>
                    <w:rPr>
                      <w:b w:val="0"/>
                      <w:bCs/>
                    </w:rPr>
                  </w:pPr>
                  <w:r>
                    <w:rPr>
                      <w:rFonts w:hint="eastAsia"/>
                      <w:b w:val="0"/>
                      <w:bCs/>
                    </w:rPr>
                    <w:t>废滤芯</w:t>
                  </w:r>
                </w:p>
              </w:tc>
              <w:tc>
                <w:tcPr>
                  <w:tcW w:w="561" w:type="pct"/>
                  <w:shd w:val="clear" w:color="auto" w:fill="auto"/>
                  <w:vAlign w:val="center"/>
                </w:tcPr>
                <w:p w14:paraId="29C872CB">
                  <w:pPr>
                    <w:pStyle w:val="57"/>
                    <w:rPr>
                      <w:b w:val="0"/>
                      <w:bCs/>
                      <w:highlight w:val="none"/>
                      <w:lang w:val="en-US"/>
                    </w:rPr>
                  </w:pPr>
                  <w:r>
                    <w:rPr>
                      <w:rFonts w:hint="eastAsia"/>
                      <w:b w:val="0"/>
                      <w:bCs/>
                      <w:highlight w:val="none"/>
                      <w:lang w:val="en-US"/>
                    </w:rPr>
                    <w:t>3</w:t>
                  </w:r>
                </w:p>
              </w:tc>
              <w:tc>
                <w:tcPr>
                  <w:tcW w:w="417" w:type="pct"/>
                  <w:vMerge w:val="restart"/>
                  <w:vAlign w:val="center"/>
                </w:tcPr>
                <w:p w14:paraId="09E891C4">
                  <w:pPr>
                    <w:pStyle w:val="57"/>
                    <w:rPr>
                      <w:b w:val="0"/>
                      <w:bCs/>
                      <w:lang w:val="en-US"/>
                    </w:rPr>
                  </w:pPr>
                  <w:r>
                    <w:rPr>
                      <w:rFonts w:hint="eastAsia"/>
                      <w:b w:val="0"/>
                      <w:bCs/>
                      <w:lang w:val="en-US"/>
                    </w:rPr>
                    <w:t>危险废物</w:t>
                  </w:r>
                </w:p>
              </w:tc>
              <w:tc>
                <w:tcPr>
                  <w:tcW w:w="714" w:type="pct"/>
                  <w:shd w:val="clear" w:color="auto" w:fill="auto"/>
                  <w:vAlign w:val="center"/>
                </w:tcPr>
                <w:p w14:paraId="3A2CD2A3">
                  <w:pPr>
                    <w:pStyle w:val="57"/>
                    <w:rPr>
                      <w:b w:val="0"/>
                      <w:bCs/>
                    </w:rPr>
                  </w:pPr>
                  <w:r>
                    <w:rPr>
                      <w:rFonts w:hint="eastAsia"/>
                      <w:b w:val="0"/>
                      <w:bCs/>
                    </w:rPr>
                    <w:t>HW49</w:t>
                  </w:r>
                </w:p>
                <w:p w14:paraId="64998729">
                  <w:pPr>
                    <w:pStyle w:val="57"/>
                    <w:rPr>
                      <w:b w:val="0"/>
                      <w:bCs/>
                      <w:lang w:val="en-US"/>
                    </w:rPr>
                  </w:pPr>
                  <w:r>
                    <w:rPr>
                      <w:rFonts w:hint="eastAsia"/>
                      <w:b w:val="0"/>
                      <w:bCs/>
                    </w:rPr>
                    <w:t>900-041-49</w:t>
                  </w:r>
                </w:p>
              </w:tc>
              <w:tc>
                <w:tcPr>
                  <w:tcW w:w="1489" w:type="pct"/>
                  <w:vMerge w:val="restart"/>
                  <w:vAlign w:val="center"/>
                </w:tcPr>
                <w:p w14:paraId="70E328D3">
                  <w:pPr>
                    <w:pStyle w:val="57"/>
                    <w:rPr>
                      <w:b w:val="0"/>
                      <w:bCs/>
                    </w:rPr>
                  </w:pPr>
                </w:p>
                <w:p w14:paraId="55A22D4C">
                  <w:pPr>
                    <w:pStyle w:val="57"/>
                    <w:rPr>
                      <w:b w:val="0"/>
                      <w:bCs/>
                      <w:lang w:val="en-US"/>
                    </w:rPr>
                  </w:pPr>
                  <w:r>
                    <w:rPr>
                      <w:rFonts w:hint="eastAsia"/>
                      <w:b w:val="0"/>
                      <w:bCs/>
                      <w:lang w:val="en-US"/>
                    </w:rPr>
                    <w:t>依托现有危险废物暂存间暂存，交资质单位处置</w:t>
                  </w:r>
                </w:p>
              </w:tc>
            </w:tr>
            <w:tr w14:paraId="7C39EC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26" w:type="pct"/>
                  <w:shd w:val="clear" w:color="auto" w:fill="auto"/>
                  <w:vAlign w:val="center"/>
                </w:tcPr>
                <w:p w14:paraId="18E4304B">
                  <w:pPr>
                    <w:pStyle w:val="57"/>
                    <w:rPr>
                      <w:b w:val="0"/>
                      <w:bCs/>
                      <w:lang w:val="en-US"/>
                    </w:rPr>
                  </w:pPr>
                  <w:r>
                    <w:rPr>
                      <w:rFonts w:hint="eastAsia"/>
                      <w:b w:val="0"/>
                      <w:bCs/>
                      <w:lang w:val="en-US"/>
                    </w:rPr>
                    <w:t>3</w:t>
                  </w:r>
                </w:p>
              </w:tc>
              <w:tc>
                <w:tcPr>
                  <w:tcW w:w="1390" w:type="pct"/>
                  <w:shd w:val="clear" w:color="auto" w:fill="auto"/>
                  <w:vAlign w:val="center"/>
                </w:tcPr>
                <w:p w14:paraId="051D7136">
                  <w:pPr>
                    <w:pStyle w:val="57"/>
                    <w:rPr>
                      <w:b w:val="0"/>
                      <w:bCs/>
                    </w:rPr>
                  </w:pPr>
                  <w:r>
                    <w:rPr>
                      <w:rFonts w:hint="eastAsia"/>
                      <w:b w:val="0"/>
                      <w:bCs/>
                    </w:rPr>
                    <w:t>废海绵</w:t>
                  </w:r>
                </w:p>
              </w:tc>
              <w:tc>
                <w:tcPr>
                  <w:tcW w:w="561" w:type="pct"/>
                  <w:shd w:val="clear" w:color="auto" w:fill="auto"/>
                  <w:vAlign w:val="center"/>
                </w:tcPr>
                <w:p w14:paraId="558CCE6D">
                  <w:pPr>
                    <w:pStyle w:val="57"/>
                    <w:rPr>
                      <w:b w:val="0"/>
                      <w:bCs/>
                      <w:highlight w:val="none"/>
                      <w:lang w:val="en-US"/>
                    </w:rPr>
                  </w:pPr>
                  <w:r>
                    <w:rPr>
                      <w:rFonts w:hint="eastAsia"/>
                      <w:b w:val="0"/>
                      <w:bCs/>
                      <w:highlight w:val="none"/>
                      <w:lang w:val="en-US"/>
                    </w:rPr>
                    <w:t>3</w:t>
                  </w:r>
                </w:p>
              </w:tc>
              <w:tc>
                <w:tcPr>
                  <w:tcW w:w="417" w:type="pct"/>
                  <w:vMerge w:val="continue"/>
                  <w:vAlign w:val="center"/>
                </w:tcPr>
                <w:p w14:paraId="15D81314">
                  <w:pPr>
                    <w:pStyle w:val="57"/>
                    <w:rPr>
                      <w:b w:val="0"/>
                      <w:bCs/>
                    </w:rPr>
                  </w:pPr>
                </w:p>
              </w:tc>
              <w:tc>
                <w:tcPr>
                  <w:tcW w:w="714" w:type="pct"/>
                  <w:shd w:val="clear" w:color="auto" w:fill="auto"/>
                  <w:vAlign w:val="center"/>
                </w:tcPr>
                <w:p w14:paraId="1D6093D3">
                  <w:pPr>
                    <w:pStyle w:val="57"/>
                    <w:rPr>
                      <w:b w:val="0"/>
                      <w:bCs/>
                    </w:rPr>
                  </w:pPr>
                  <w:r>
                    <w:rPr>
                      <w:rFonts w:hint="eastAsia"/>
                      <w:b w:val="0"/>
                      <w:bCs/>
                    </w:rPr>
                    <w:t>HW49</w:t>
                  </w:r>
                </w:p>
                <w:p w14:paraId="1D13C9EA">
                  <w:pPr>
                    <w:pStyle w:val="57"/>
                    <w:rPr>
                      <w:b w:val="0"/>
                      <w:bCs/>
                    </w:rPr>
                  </w:pPr>
                  <w:r>
                    <w:rPr>
                      <w:rFonts w:hint="eastAsia"/>
                      <w:b w:val="0"/>
                      <w:bCs/>
                    </w:rPr>
                    <w:t>900-041-49</w:t>
                  </w:r>
                </w:p>
              </w:tc>
              <w:tc>
                <w:tcPr>
                  <w:tcW w:w="1489" w:type="pct"/>
                  <w:vMerge w:val="continue"/>
                  <w:vAlign w:val="center"/>
                </w:tcPr>
                <w:p w14:paraId="1B35DBB2">
                  <w:pPr>
                    <w:pStyle w:val="57"/>
                    <w:rPr>
                      <w:b w:val="0"/>
                      <w:bCs/>
                    </w:rPr>
                  </w:pPr>
                </w:p>
              </w:tc>
            </w:tr>
            <w:tr w14:paraId="51FA6D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26" w:type="pct"/>
                  <w:shd w:val="clear" w:color="auto" w:fill="auto"/>
                  <w:vAlign w:val="center"/>
                </w:tcPr>
                <w:p w14:paraId="552ACEAA">
                  <w:pPr>
                    <w:pStyle w:val="57"/>
                    <w:rPr>
                      <w:b w:val="0"/>
                      <w:bCs/>
                      <w:lang w:val="en-US"/>
                    </w:rPr>
                  </w:pPr>
                  <w:r>
                    <w:rPr>
                      <w:rFonts w:hint="eastAsia"/>
                      <w:b w:val="0"/>
                      <w:bCs/>
                      <w:lang w:val="en-US"/>
                    </w:rPr>
                    <w:t>4</w:t>
                  </w:r>
                </w:p>
              </w:tc>
              <w:tc>
                <w:tcPr>
                  <w:tcW w:w="1390" w:type="pct"/>
                  <w:shd w:val="clear" w:color="auto" w:fill="auto"/>
                  <w:vAlign w:val="center"/>
                </w:tcPr>
                <w:p w14:paraId="66472C4B">
                  <w:pPr>
                    <w:pStyle w:val="57"/>
                    <w:rPr>
                      <w:b w:val="0"/>
                      <w:bCs/>
                    </w:rPr>
                  </w:pPr>
                  <w:r>
                    <w:rPr>
                      <w:rFonts w:hint="eastAsia"/>
                      <w:b w:val="0"/>
                      <w:bCs/>
                    </w:rPr>
                    <w:t>喷淋塔废液</w:t>
                  </w:r>
                </w:p>
              </w:tc>
              <w:tc>
                <w:tcPr>
                  <w:tcW w:w="561" w:type="pct"/>
                  <w:shd w:val="clear" w:color="auto" w:fill="auto"/>
                  <w:vAlign w:val="center"/>
                </w:tcPr>
                <w:p w14:paraId="537B1F99">
                  <w:pPr>
                    <w:pStyle w:val="57"/>
                    <w:rPr>
                      <w:b w:val="0"/>
                      <w:bCs/>
                      <w:lang w:val="en-US"/>
                    </w:rPr>
                  </w:pPr>
                  <w:r>
                    <w:rPr>
                      <w:rFonts w:hint="eastAsia"/>
                      <w:b w:val="0"/>
                      <w:bCs/>
                      <w:lang w:val="en-US"/>
                    </w:rPr>
                    <w:t>6</w:t>
                  </w:r>
                </w:p>
              </w:tc>
              <w:tc>
                <w:tcPr>
                  <w:tcW w:w="417" w:type="pct"/>
                  <w:vMerge w:val="continue"/>
                  <w:vAlign w:val="center"/>
                </w:tcPr>
                <w:p w14:paraId="35780F11">
                  <w:pPr>
                    <w:pStyle w:val="57"/>
                    <w:rPr>
                      <w:b w:val="0"/>
                      <w:bCs/>
                    </w:rPr>
                  </w:pPr>
                </w:p>
              </w:tc>
              <w:tc>
                <w:tcPr>
                  <w:tcW w:w="714" w:type="pct"/>
                  <w:shd w:val="clear" w:color="auto" w:fill="auto"/>
                  <w:vAlign w:val="center"/>
                </w:tcPr>
                <w:p w14:paraId="59E6DAE3">
                  <w:pPr>
                    <w:pStyle w:val="57"/>
                    <w:rPr>
                      <w:b w:val="0"/>
                      <w:bCs/>
                    </w:rPr>
                  </w:pPr>
                  <w:r>
                    <w:rPr>
                      <w:rFonts w:hint="eastAsia"/>
                      <w:b w:val="0"/>
                      <w:bCs/>
                    </w:rPr>
                    <w:t>HW35</w:t>
                  </w:r>
                </w:p>
                <w:p w14:paraId="08681CE5">
                  <w:pPr>
                    <w:pStyle w:val="57"/>
                    <w:rPr>
                      <w:b w:val="0"/>
                      <w:bCs/>
                    </w:rPr>
                  </w:pPr>
                  <w:r>
                    <w:rPr>
                      <w:rFonts w:hint="eastAsia"/>
                      <w:b w:val="0"/>
                      <w:bCs/>
                    </w:rPr>
                    <w:t>900-399-35</w:t>
                  </w:r>
                </w:p>
              </w:tc>
              <w:tc>
                <w:tcPr>
                  <w:tcW w:w="1489" w:type="pct"/>
                  <w:vMerge w:val="continue"/>
                  <w:vAlign w:val="center"/>
                </w:tcPr>
                <w:p w14:paraId="1D293C49">
                  <w:pPr>
                    <w:pStyle w:val="57"/>
                    <w:rPr>
                      <w:b w:val="0"/>
                      <w:bCs/>
                    </w:rPr>
                  </w:pPr>
                </w:p>
              </w:tc>
            </w:tr>
          </w:tbl>
          <w:p w14:paraId="0F511F31">
            <w:pPr>
              <w:pStyle w:val="111"/>
              <w:ind w:firstLine="482"/>
              <w:rPr>
                <w:rFonts w:hint="default"/>
                <w:b/>
                <w:bCs/>
                <w:color w:val="auto"/>
              </w:rPr>
            </w:pPr>
            <w:r>
              <w:rPr>
                <w:rFonts w:hint="eastAsia"/>
                <w:b/>
                <w:bCs/>
                <w:color w:val="auto"/>
                <w:lang w:eastAsia="zh-CN"/>
              </w:rPr>
              <w:t>2.</w:t>
            </w:r>
            <w:r>
              <w:rPr>
                <w:b/>
                <w:bCs/>
                <w:color w:val="auto"/>
              </w:rPr>
              <w:t>固体废物暂存设施可行性分析</w:t>
            </w:r>
          </w:p>
          <w:p w14:paraId="3626565F">
            <w:pPr>
              <w:pStyle w:val="111"/>
              <w:ind w:firstLine="482"/>
              <w:rPr>
                <w:rFonts w:hint="default"/>
                <w:b/>
                <w:bCs/>
                <w:color w:val="auto"/>
              </w:rPr>
            </w:pPr>
            <w:r>
              <w:rPr>
                <w:b/>
                <w:bCs/>
                <w:color w:val="auto"/>
              </w:rPr>
              <w:t>①一般工业固体废物</w:t>
            </w:r>
          </w:p>
          <w:p w14:paraId="77CC3D7F">
            <w:pPr>
              <w:pStyle w:val="111"/>
              <w:rPr>
                <w:rFonts w:hint="default"/>
                <w:color w:val="auto"/>
              </w:rPr>
            </w:pPr>
            <w:r>
              <w:rPr>
                <w:color w:val="auto"/>
              </w:rPr>
              <w:t>企业在</w:t>
            </w:r>
            <w:r>
              <w:rPr>
                <w:rFonts w:cs="Times New Roman"/>
                <w:color w:val="auto"/>
              </w:rPr>
              <w:t>2-8车间1楼设置一般固废暂存区，占地50m</w:t>
            </w:r>
            <w:r>
              <w:rPr>
                <w:rFonts w:cs="Times New Roman"/>
                <w:color w:val="auto"/>
                <w:vertAlign w:val="superscript"/>
              </w:rPr>
              <w:t>2</w:t>
            </w:r>
            <w:r>
              <w:rPr>
                <w:color w:val="auto"/>
              </w:rPr>
              <w:t>，本次扩建不新增一般固废暂存区，现有一般固废暂存区50m</w:t>
            </w:r>
            <w:r>
              <w:rPr>
                <w:color w:val="auto"/>
                <w:vertAlign w:val="superscript"/>
              </w:rPr>
              <w:t>2，</w:t>
            </w:r>
            <w:r>
              <w:rPr>
                <w:color w:val="auto"/>
              </w:rPr>
              <w:t>可满足本项目一般固废暂存，一般固废暂存区满足防渗漏、防雨淋、防扬尘等环境保护要求。</w:t>
            </w:r>
          </w:p>
          <w:p w14:paraId="716019CF">
            <w:pPr>
              <w:pStyle w:val="111"/>
              <w:rPr>
                <w:rFonts w:hint="default"/>
                <w:color w:val="auto"/>
              </w:rPr>
            </w:pPr>
            <w:r>
              <w:rPr>
                <w:color w:val="auto"/>
              </w:rPr>
              <w:t>本环评要求企业加强固体废物档案管理制度，将临时储存的一般工业固体废物的种类、数量和外运的一般工业固体废物的种类、数量详细记录在案，长期保存，供随时查阅。</w:t>
            </w:r>
          </w:p>
          <w:p w14:paraId="0ECB10F7">
            <w:pPr>
              <w:pStyle w:val="111"/>
              <w:ind w:firstLine="482"/>
              <w:rPr>
                <w:rFonts w:hint="default"/>
                <w:b/>
                <w:bCs/>
                <w:color w:val="auto"/>
              </w:rPr>
            </w:pPr>
            <w:r>
              <w:rPr>
                <w:b/>
                <w:bCs/>
                <w:color w:val="auto"/>
              </w:rPr>
              <w:t>②危险废物</w:t>
            </w:r>
          </w:p>
          <w:p w14:paraId="1F568376">
            <w:pPr>
              <w:pStyle w:val="111"/>
              <w:rPr>
                <w:rFonts w:hint="default"/>
                <w:color w:val="auto"/>
              </w:rPr>
            </w:pPr>
            <w:r>
              <w:rPr>
                <w:color w:val="auto"/>
              </w:rPr>
              <w:t>企业已建设危废贮存间，本项目不新增危废贮存间，依托现有危废贮存间，危废贮存间面积30m</w:t>
            </w:r>
            <w:r>
              <w:rPr>
                <w:color w:val="auto"/>
                <w:vertAlign w:val="superscript"/>
              </w:rPr>
              <w:t>2</w:t>
            </w:r>
            <w:r>
              <w:rPr>
                <w:color w:val="auto"/>
              </w:rPr>
              <w:t>，项目危废贮存间已于2024年9月验收通过，现有危废暂存间设置满足《危险废物贮存污染控制标准》（GB18597-2023）等相关要求，其暂存能力仍有富余，可满足本次新增危险废物的贮存要求。</w:t>
            </w:r>
          </w:p>
          <w:p w14:paraId="54FE1464">
            <w:pPr>
              <w:pStyle w:val="111"/>
              <w:rPr>
                <w:rFonts w:hint="default"/>
                <w:color w:val="auto"/>
              </w:rPr>
            </w:pPr>
            <w:r>
              <w:rPr>
                <w:color w:val="auto"/>
              </w:rPr>
              <w:t>危险废物暂存间设置安全锁，配备专人管理，危废暂存间内各类危险废物分区分类妥善暂存，针对每种危险废物设置台账记录本，详细记录不同种类的危险废物产生时间、产生量、存放方式，委托处置时间等，并由经手人签名，危废暂存间的制度完善、管理符合环保要求。</w:t>
            </w:r>
          </w:p>
          <w:p w14:paraId="326127F5">
            <w:pPr>
              <w:pStyle w:val="111"/>
              <w:rPr>
                <w:rFonts w:hint="default"/>
                <w:color w:val="auto"/>
              </w:rPr>
            </w:pPr>
            <w:r>
              <w:rPr>
                <w:color w:val="auto"/>
              </w:rPr>
              <w:t>因此，采取上述措施后，本项目产生的固体废物均采取了合理和安全的处置，处置率为100%，评价认为，项目产生的固体废物不会对项目所在地和周围环境产生二次不良影响。</w:t>
            </w:r>
          </w:p>
          <w:p w14:paraId="54469D7F">
            <w:pPr>
              <w:pStyle w:val="111"/>
              <w:ind w:firstLine="482"/>
              <w:rPr>
                <w:rFonts w:hint="default"/>
                <w:b/>
                <w:bCs/>
                <w:color w:val="auto"/>
              </w:rPr>
            </w:pPr>
            <w:r>
              <w:rPr>
                <w:b/>
                <w:bCs/>
                <w:color w:val="auto"/>
              </w:rPr>
              <w:t>五、地下水、土壤环境影响分析</w:t>
            </w:r>
          </w:p>
          <w:p w14:paraId="3414F385">
            <w:pPr>
              <w:pStyle w:val="111"/>
              <w:rPr>
                <w:rFonts w:hint="default"/>
                <w:color w:val="auto"/>
              </w:rPr>
            </w:pPr>
            <w:r>
              <w:rPr>
                <w:color w:val="auto"/>
              </w:rPr>
              <w:t>（1）污染源、污染物类型和污染途径</w:t>
            </w:r>
          </w:p>
          <w:p w14:paraId="22CEFBC0">
            <w:pPr>
              <w:pStyle w:val="57"/>
            </w:pPr>
            <w:r>
              <w:t>表4</w:t>
            </w:r>
            <w:r>
              <w:rPr>
                <w:rFonts w:hint="eastAsia"/>
                <w:lang w:val="en-US"/>
              </w:rPr>
              <w:t>-1</w:t>
            </w:r>
            <w:r>
              <w:rPr>
                <w:rFonts w:hint="eastAsia"/>
                <w:lang w:val="en-US" w:eastAsia="zh-CN"/>
              </w:rPr>
              <w:t>2</w:t>
            </w:r>
            <w:r>
              <w:t>污染源、污染物类型和污染途径分析一览表</w:t>
            </w:r>
          </w:p>
          <w:tbl>
            <w:tblPr>
              <w:tblStyle w:val="96"/>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36"/>
              <w:gridCol w:w="1427"/>
              <w:gridCol w:w="1402"/>
              <w:gridCol w:w="1255"/>
              <w:gridCol w:w="4680"/>
            </w:tblGrid>
            <w:tr w14:paraId="0EBE3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730" w:type="dxa"/>
                  <w:vAlign w:val="center"/>
                </w:tcPr>
                <w:p w14:paraId="799CC4B2">
                  <w:pPr>
                    <w:pStyle w:val="57"/>
                  </w:pPr>
                  <w:r>
                    <w:t>序号</w:t>
                  </w:r>
                </w:p>
              </w:tc>
              <w:tc>
                <w:tcPr>
                  <w:tcW w:w="1416" w:type="dxa"/>
                  <w:vAlign w:val="center"/>
                </w:tcPr>
                <w:p w14:paraId="0E32D99A">
                  <w:pPr>
                    <w:pStyle w:val="57"/>
                  </w:pPr>
                  <w:r>
                    <w:t>污染源</w:t>
                  </w:r>
                </w:p>
              </w:tc>
              <w:tc>
                <w:tcPr>
                  <w:tcW w:w="1391" w:type="dxa"/>
                  <w:vAlign w:val="center"/>
                </w:tcPr>
                <w:p w14:paraId="4FD2A304">
                  <w:pPr>
                    <w:pStyle w:val="57"/>
                  </w:pPr>
                  <w:r>
                    <w:t>污染物类型</w:t>
                  </w:r>
                </w:p>
              </w:tc>
              <w:tc>
                <w:tcPr>
                  <w:tcW w:w="1246" w:type="dxa"/>
                  <w:vAlign w:val="center"/>
                </w:tcPr>
                <w:p w14:paraId="5EC4A186">
                  <w:pPr>
                    <w:pStyle w:val="57"/>
                    <w:rPr>
                      <w:lang w:val="en-US"/>
                    </w:rPr>
                  </w:pPr>
                  <w:r>
                    <w:rPr>
                      <w:rFonts w:hint="eastAsia"/>
                      <w:lang w:val="en-US"/>
                    </w:rPr>
                    <w:t>污染物</w:t>
                  </w:r>
                </w:p>
              </w:tc>
              <w:tc>
                <w:tcPr>
                  <w:tcW w:w="4647" w:type="dxa"/>
                  <w:vAlign w:val="center"/>
                </w:tcPr>
                <w:p w14:paraId="3875800D">
                  <w:pPr>
                    <w:pStyle w:val="57"/>
                  </w:pPr>
                  <w:r>
                    <w:t>污染途径分析</w:t>
                  </w:r>
                </w:p>
              </w:tc>
            </w:tr>
            <w:tr w14:paraId="12468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0" w:type="dxa"/>
                  <w:vAlign w:val="center"/>
                </w:tcPr>
                <w:p w14:paraId="32FF7F58">
                  <w:pPr>
                    <w:pStyle w:val="57"/>
                    <w:rPr>
                      <w:b w:val="0"/>
                      <w:bCs/>
                    </w:rPr>
                  </w:pPr>
                  <w:r>
                    <w:rPr>
                      <w:b w:val="0"/>
                      <w:bCs/>
                    </w:rPr>
                    <w:t>1</w:t>
                  </w:r>
                </w:p>
              </w:tc>
              <w:tc>
                <w:tcPr>
                  <w:tcW w:w="1416" w:type="dxa"/>
                  <w:vAlign w:val="center"/>
                </w:tcPr>
                <w:p w14:paraId="0EC514C2">
                  <w:pPr>
                    <w:pStyle w:val="57"/>
                    <w:rPr>
                      <w:b w:val="0"/>
                      <w:bCs/>
                      <w:lang w:val="en-US"/>
                    </w:rPr>
                  </w:pPr>
                  <w:r>
                    <w:rPr>
                      <w:rFonts w:hint="eastAsia"/>
                      <w:b w:val="0"/>
                      <w:bCs/>
                      <w:lang w:val="en-US"/>
                    </w:rPr>
                    <w:t>危废暂存间</w:t>
                  </w:r>
                </w:p>
              </w:tc>
              <w:tc>
                <w:tcPr>
                  <w:tcW w:w="1391" w:type="dxa"/>
                  <w:vAlign w:val="center"/>
                </w:tcPr>
                <w:p w14:paraId="39BA1C63">
                  <w:pPr>
                    <w:pStyle w:val="57"/>
                    <w:rPr>
                      <w:b w:val="0"/>
                      <w:bCs/>
                      <w:lang w:val="en-US"/>
                    </w:rPr>
                  </w:pPr>
                  <w:r>
                    <w:rPr>
                      <w:rFonts w:hint="eastAsia"/>
                      <w:b w:val="0"/>
                      <w:bCs/>
                      <w:lang w:val="en-US"/>
                    </w:rPr>
                    <w:t>垂直入渗</w:t>
                  </w:r>
                </w:p>
              </w:tc>
              <w:tc>
                <w:tcPr>
                  <w:tcW w:w="1246" w:type="dxa"/>
                  <w:vAlign w:val="center"/>
                </w:tcPr>
                <w:p w14:paraId="33DFC780">
                  <w:pPr>
                    <w:pStyle w:val="57"/>
                    <w:rPr>
                      <w:b w:val="0"/>
                      <w:bCs/>
                      <w:lang w:val="en-US"/>
                    </w:rPr>
                  </w:pPr>
                  <w:r>
                    <w:rPr>
                      <w:rFonts w:hint="eastAsia"/>
                      <w:b w:val="0"/>
                      <w:bCs/>
                      <w:lang w:val="en-US"/>
                    </w:rPr>
                    <w:t>pH</w:t>
                  </w:r>
                </w:p>
              </w:tc>
              <w:tc>
                <w:tcPr>
                  <w:tcW w:w="4647" w:type="dxa"/>
                  <w:vAlign w:val="center"/>
                </w:tcPr>
                <w:p w14:paraId="2AF5428F">
                  <w:pPr>
                    <w:pStyle w:val="57"/>
                    <w:rPr>
                      <w:b w:val="0"/>
                      <w:bCs/>
                    </w:rPr>
                  </w:pPr>
                  <w:r>
                    <w:rPr>
                      <w:b w:val="0"/>
                      <w:bCs/>
                    </w:rPr>
                    <w:t>按照《危险废物贮存污染控制标准》</w:t>
                  </w:r>
                </w:p>
                <w:p w14:paraId="1E071F40">
                  <w:pPr>
                    <w:pStyle w:val="57"/>
                    <w:rPr>
                      <w:b w:val="0"/>
                      <w:bCs/>
                    </w:rPr>
                  </w:pPr>
                  <w:r>
                    <w:rPr>
                      <w:b w:val="0"/>
                      <w:bCs/>
                    </w:rPr>
                    <w:t>（GB18597-2023）进行建设，地面采取防渗措施，无土壤和地下水污染途径。</w:t>
                  </w:r>
                </w:p>
              </w:tc>
            </w:tr>
            <w:tr w14:paraId="219B8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0" w:type="dxa"/>
                  <w:vAlign w:val="center"/>
                </w:tcPr>
                <w:p w14:paraId="3802A6E1">
                  <w:pPr>
                    <w:pStyle w:val="57"/>
                    <w:rPr>
                      <w:b w:val="0"/>
                      <w:bCs/>
                    </w:rPr>
                  </w:pPr>
                  <w:r>
                    <w:rPr>
                      <w:rFonts w:hint="eastAsia"/>
                      <w:b w:val="0"/>
                      <w:bCs/>
                      <w:lang w:val="en-US"/>
                    </w:rPr>
                    <w:t>2</w:t>
                  </w:r>
                </w:p>
              </w:tc>
              <w:tc>
                <w:tcPr>
                  <w:tcW w:w="1416" w:type="dxa"/>
                  <w:vAlign w:val="center"/>
                </w:tcPr>
                <w:p w14:paraId="58C8E712">
                  <w:pPr>
                    <w:pStyle w:val="57"/>
                    <w:rPr>
                      <w:b w:val="0"/>
                      <w:bCs/>
                    </w:rPr>
                  </w:pPr>
                  <w:r>
                    <w:rPr>
                      <w:rFonts w:hint="eastAsia"/>
                      <w:b w:val="0"/>
                      <w:bCs/>
                      <w:lang w:val="en-US"/>
                    </w:rPr>
                    <w:t>生产线</w:t>
                  </w:r>
                </w:p>
              </w:tc>
              <w:tc>
                <w:tcPr>
                  <w:tcW w:w="1391" w:type="dxa"/>
                  <w:vAlign w:val="center"/>
                </w:tcPr>
                <w:p w14:paraId="2E557582">
                  <w:pPr>
                    <w:pStyle w:val="57"/>
                    <w:rPr>
                      <w:b w:val="0"/>
                      <w:bCs/>
                      <w:lang w:val="en-US"/>
                    </w:rPr>
                  </w:pPr>
                  <w:r>
                    <w:rPr>
                      <w:rFonts w:hint="eastAsia"/>
                      <w:b w:val="0"/>
                      <w:bCs/>
                      <w:lang w:val="en-US"/>
                    </w:rPr>
                    <w:t>垂直入渗、大气沉降</w:t>
                  </w:r>
                </w:p>
              </w:tc>
              <w:tc>
                <w:tcPr>
                  <w:tcW w:w="1246" w:type="dxa"/>
                  <w:vAlign w:val="center"/>
                </w:tcPr>
                <w:p w14:paraId="1F89B925">
                  <w:pPr>
                    <w:jc w:val="center"/>
                    <w:rPr>
                      <w:bCs/>
                    </w:rPr>
                  </w:pPr>
                  <w:r>
                    <w:rPr>
                      <w:rFonts w:hint="eastAsia"/>
                      <w:bCs/>
                    </w:rPr>
                    <w:t>pH</w:t>
                  </w:r>
                </w:p>
              </w:tc>
              <w:tc>
                <w:tcPr>
                  <w:tcW w:w="4647" w:type="dxa"/>
                  <w:vAlign w:val="center"/>
                </w:tcPr>
                <w:p w14:paraId="01908DC6">
                  <w:pPr>
                    <w:pStyle w:val="57"/>
                    <w:rPr>
                      <w:b w:val="0"/>
                      <w:bCs/>
                    </w:rPr>
                  </w:pPr>
                  <w:r>
                    <w:rPr>
                      <w:rFonts w:hint="eastAsia"/>
                      <w:b w:val="0"/>
                      <w:bCs/>
                      <w:lang w:val="en-US"/>
                    </w:rPr>
                    <w:t>生产车间位于3F，各槽体均</w:t>
                  </w:r>
                  <w:r>
                    <w:rPr>
                      <w:b w:val="0"/>
                      <w:bCs/>
                    </w:rPr>
                    <w:t>采用</w:t>
                  </w:r>
                  <w:r>
                    <w:rPr>
                      <w:rFonts w:hint="eastAsia"/>
                      <w:b w:val="0"/>
                      <w:bCs/>
                      <w:lang w:val="en-US"/>
                    </w:rPr>
                    <w:t>不锈钢</w:t>
                  </w:r>
                  <w:r>
                    <w:rPr>
                      <w:b w:val="0"/>
                      <w:bCs/>
                    </w:rPr>
                    <w:t>防腐防渗材质，均为地上布置（离地式），地面采取</w:t>
                  </w:r>
                  <w:r>
                    <w:rPr>
                      <w:rFonts w:hint="eastAsia"/>
                      <w:b w:val="0"/>
                      <w:bCs/>
                      <w:lang w:val="en-US"/>
                    </w:rPr>
                    <w:t>硬化处理</w:t>
                  </w:r>
                  <w:r>
                    <w:rPr>
                      <w:b w:val="0"/>
                      <w:bCs/>
                    </w:rPr>
                    <w:t>。无土壤和地下水污染途径。</w:t>
                  </w:r>
                </w:p>
              </w:tc>
            </w:tr>
            <w:tr w14:paraId="0A496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0" w:type="dxa"/>
                  <w:vAlign w:val="center"/>
                </w:tcPr>
                <w:p w14:paraId="660DC3AA">
                  <w:pPr>
                    <w:pStyle w:val="57"/>
                    <w:rPr>
                      <w:b w:val="0"/>
                      <w:bCs/>
                    </w:rPr>
                  </w:pPr>
                  <w:r>
                    <w:rPr>
                      <w:rFonts w:hint="eastAsia"/>
                      <w:b w:val="0"/>
                      <w:bCs/>
                      <w:lang w:val="en-US"/>
                    </w:rPr>
                    <w:t>3</w:t>
                  </w:r>
                </w:p>
              </w:tc>
              <w:tc>
                <w:tcPr>
                  <w:tcW w:w="1416" w:type="dxa"/>
                  <w:vAlign w:val="center"/>
                </w:tcPr>
                <w:p w14:paraId="391838A6">
                  <w:pPr>
                    <w:pStyle w:val="57"/>
                    <w:rPr>
                      <w:b w:val="0"/>
                      <w:bCs/>
                      <w:lang w:val="en-US"/>
                    </w:rPr>
                  </w:pPr>
                  <w:r>
                    <w:rPr>
                      <w:rFonts w:hint="eastAsia"/>
                      <w:b w:val="0"/>
                      <w:bCs/>
                      <w:lang w:val="en-US"/>
                    </w:rPr>
                    <w:t>污水处理</w:t>
                  </w:r>
                </w:p>
              </w:tc>
              <w:tc>
                <w:tcPr>
                  <w:tcW w:w="1391" w:type="dxa"/>
                  <w:vAlign w:val="center"/>
                </w:tcPr>
                <w:p w14:paraId="7141F90A">
                  <w:pPr>
                    <w:pStyle w:val="57"/>
                    <w:rPr>
                      <w:b w:val="0"/>
                      <w:bCs/>
                    </w:rPr>
                  </w:pPr>
                  <w:r>
                    <w:rPr>
                      <w:rFonts w:hint="eastAsia"/>
                      <w:b w:val="0"/>
                      <w:bCs/>
                      <w:lang w:val="en-US"/>
                    </w:rPr>
                    <w:t>垂直入渗、大气沉降</w:t>
                  </w:r>
                </w:p>
              </w:tc>
              <w:tc>
                <w:tcPr>
                  <w:tcW w:w="1246" w:type="dxa"/>
                  <w:vAlign w:val="center"/>
                </w:tcPr>
                <w:p w14:paraId="0AFBF271">
                  <w:pPr>
                    <w:jc w:val="center"/>
                    <w:rPr>
                      <w:bCs/>
                    </w:rPr>
                  </w:pPr>
                  <w:r>
                    <w:rPr>
                      <w:rFonts w:hint="eastAsia"/>
                      <w:bCs/>
                    </w:rPr>
                    <w:t>pH</w:t>
                  </w:r>
                </w:p>
              </w:tc>
              <w:tc>
                <w:tcPr>
                  <w:tcW w:w="4647" w:type="dxa"/>
                  <w:vAlign w:val="center"/>
                </w:tcPr>
                <w:p w14:paraId="7E908BA0">
                  <w:pPr>
                    <w:pStyle w:val="57"/>
                    <w:rPr>
                      <w:b w:val="0"/>
                      <w:bCs/>
                    </w:rPr>
                  </w:pPr>
                  <w:r>
                    <w:rPr>
                      <w:rFonts w:hint="eastAsia"/>
                      <w:b w:val="0"/>
                      <w:bCs/>
                      <w:lang w:val="en-US"/>
                    </w:rPr>
                    <w:t>污水罐</w:t>
                  </w:r>
                  <w:r>
                    <w:rPr>
                      <w:b w:val="0"/>
                      <w:bCs/>
                    </w:rPr>
                    <w:t>地面采取重点防渗措施，四周设置围堰</w:t>
                  </w:r>
                  <w:r>
                    <w:rPr>
                      <w:rFonts w:hint="eastAsia"/>
                      <w:b w:val="0"/>
                      <w:bCs/>
                    </w:rPr>
                    <w:t>；</w:t>
                  </w:r>
                  <w:r>
                    <w:rPr>
                      <w:rFonts w:hint="eastAsia"/>
                      <w:b w:val="0"/>
                      <w:bCs/>
                      <w:lang w:val="en-US"/>
                    </w:rPr>
                    <w:t>蒸发干化设备位于车间5F，蒸发干化设备均</w:t>
                  </w:r>
                  <w:r>
                    <w:rPr>
                      <w:b w:val="0"/>
                      <w:bCs/>
                    </w:rPr>
                    <w:t>采用</w:t>
                  </w:r>
                  <w:r>
                    <w:rPr>
                      <w:rFonts w:hint="eastAsia"/>
                      <w:b w:val="0"/>
                      <w:bCs/>
                      <w:lang w:val="en-US"/>
                    </w:rPr>
                    <w:t>不锈钢</w:t>
                  </w:r>
                  <w:r>
                    <w:rPr>
                      <w:b w:val="0"/>
                      <w:bCs/>
                    </w:rPr>
                    <w:t>防腐防渗材质，均为地上布置（离地式），地面采取</w:t>
                  </w:r>
                  <w:r>
                    <w:rPr>
                      <w:rFonts w:hint="eastAsia"/>
                      <w:b w:val="0"/>
                      <w:bCs/>
                      <w:lang w:val="en-US"/>
                    </w:rPr>
                    <w:t>硬化处理</w:t>
                  </w:r>
                  <w:r>
                    <w:rPr>
                      <w:b w:val="0"/>
                      <w:bCs/>
                    </w:rPr>
                    <w:t>。无土壤和地下水污染途径。</w:t>
                  </w:r>
                </w:p>
              </w:tc>
            </w:tr>
            <w:tr w14:paraId="45B9C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0" w:type="dxa"/>
                  <w:vAlign w:val="center"/>
                </w:tcPr>
                <w:p w14:paraId="3D7E9755">
                  <w:pPr>
                    <w:pStyle w:val="57"/>
                    <w:rPr>
                      <w:b w:val="0"/>
                      <w:bCs/>
                    </w:rPr>
                  </w:pPr>
                  <w:r>
                    <w:rPr>
                      <w:rFonts w:hint="eastAsia"/>
                      <w:b w:val="0"/>
                      <w:bCs/>
                      <w:lang w:val="en-US"/>
                    </w:rPr>
                    <w:t>4</w:t>
                  </w:r>
                </w:p>
              </w:tc>
              <w:tc>
                <w:tcPr>
                  <w:tcW w:w="1416" w:type="dxa"/>
                  <w:vAlign w:val="center"/>
                </w:tcPr>
                <w:p w14:paraId="3C806F8C">
                  <w:pPr>
                    <w:pStyle w:val="57"/>
                    <w:rPr>
                      <w:b w:val="0"/>
                      <w:bCs/>
                    </w:rPr>
                  </w:pPr>
                  <w:r>
                    <w:rPr>
                      <w:b w:val="0"/>
                      <w:bCs/>
                    </w:rPr>
                    <w:t>碱喷淋塔</w:t>
                  </w:r>
                </w:p>
              </w:tc>
              <w:tc>
                <w:tcPr>
                  <w:tcW w:w="1391" w:type="dxa"/>
                  <w:vAlign w:val="center"/>
                </w:tcPr>
                <w:p w14:paraId="26441545">
                  <w:pPr>
                    <w:pStyle w:val="57"/>
                    <w:rPr>
                      <w:b w:val="0"/>
                      <w:bCs/>
                    </w:rPr>
                  </w:pPr>
                  <w:r>
                    <w:rPr>
                      <w:rFonts w:hint="eastAsia"/>
                      <w:b w:val="0"/>
                      <w:bCs/>
                      <w:lang w:val="en-US"/>
                    </w:rPr>
                    <w:t>垂直入渗</w:t>
                  </w:r>
                </w:p>
              </w:tc>
              <w:tc>
                <w:tcPr>
                  <w:tcW w:w="1246" w:type="dxa"/>
                  <w:shd w:val="clear" w:color="auto" w:fill="auto"/>
                  <w:vAlign w:val="center"/>
                </w:tcPr>
                <w:p w14:paraId="1CF0AF84">
                  <w:pPr>
                    <w:jc w:val="center"/>
                    <w:rPr>
                      <w:bCs/>
                      <w:lang w:val="en-GB"/>
                    </w:rPr>
                  </w:pPr>
                  <w:r>
                    <w:rPr>
                      <w:rFonts w:hint="eastAsia"/>
                      <w:bCs/>
                    </w:rPr>
                    <w:t>pH</w:t>
                  </w:r>
                </w:p>
              </w:tc>
              <w:tc>
                <w:tcPr>
                  <w:tcW w:w="4647" w:type="dxa"/>
                  <w:vAlign w:val="center"/>
                </w:tcPr>
                <w:p w14:paraId="588A1E50">
                  <w:pPr>
                    <w:pStyle w:val="57"/>
                    <w:rPr>
                      <w:b w:val="0"/>
                      <w:bCs/>
                    </w:rPr>
                  </w:pPr>
                  <w:r>
                    <w:rPr>
                      <w:b w:val="0"/>
                      <w:bCs/>
                    </w:rPr>
                    <w:t>喷淋塔地面采取重点防渗措施，四周设置围堰。无土壤和地下水污染途径。</w:t>
                  </w:r>
                </w:p>
              </w:tc>
            </w:tr>
          </w:tbl>
          <w:p w14:paraId="0342C811">
            <w:pPr>
              <w:pStyle w:val="111"/>
              <w:rPr>
                <w:rFonts w:hint="default"/>
                <w:color w:val="auto"/>
              </w:rPr>
            </w:pPr>
            <w:r>
              <w:rPr>
                <w:color w:val="auto"/>
              </w:rPr>
              <w:t>本项目地下水和土壤污染源主要为危废暂存间、生产线、污水处理、碱喷淋塔；主要污染物类型为</w:t>
            </w:r>
            <w:r>
              <w:rPr>
                <w:bCs/>
                <w:color w:val="auto"/>
              </w:rPr>
              <w:t>pH</w:t>
            </w:r>
            <w:r>
              <w:rPr>
                <w:color w:val="auto"/>
              </w:rPr>
              <w:t>，本项目可能对地下水和土壤造成的污染的途径为垂直入渗及大气沉降。</w:t>
            </w:r>
          </w:p>
          <w:p w14:paraId="3401DEBC">
            <w:pPr>
              <w:pStyle w:val="111"/>
              <w:rPr>
                <w:rFonts w:hint="default"/>
                <w:color w:val="auto"/>
              </w:rPr>
            </w:pPr>
            <w:r>
              <w:rPr>
                <w:color w:val="auto"/>
              </w:rPr>
              <w:t>项目废气排放量较小，且采用相应废气治理设施；对为了切断地下水和土壤污染途径，拟对污染源采取源头控制和分区防控措施，且项目污染源均在地上布置，如发生泄漏可以及时发现和处理。因此，本项目正常运行情况下无地下水和土壤污染途径。</w:t>
            </w:r>
          </w:p>
          <w:p w14:paraId="46CAB2BB">
            <w:pPr>
              <w:pStyle w:val="111"/>
              <w:rPr>
                <w:rFonts w:hint="default"/>
                <w:color w:val="auto"/>
              </w:rPr>
            </w:pPr>
            <w:r>
              <w:rPr>
                <w:color w:val="auto"/>
              </w:rPr>
              <w:t>（2）防控措施</w:t>
            </w:r>
          </w:p>
          <w:p w14:paraId="69379802">
            <w:pPr>
              <w:pStyle w:val="111"/>
              <w:rPr>
                <w:rFonts w:hint="default"/>
                <w:color w:val="auto"/>
              </w:rPr>
            </w:pPr>
            <w:r>
              <w:rPr>
                <w:color w:val="auto"/>
              </w:rPr>
              <w:t>①源头控制：危废暂存间、生产线、污水处理、碱喷淋塔满足相应防腐防渗要求，且项目酸碱洗槽体均采取地上布置（离地式），满足可视化要求，运营期加强以上区域的管理，定期进行检查、维护，一旦发生泄漏，及时进行处理，避免对土壤和地下水造成污染。</w:t>
            </w:r>
          </w:p>
          <w:p w14:paraId="14CF6A08">
            <w:pPr>
              <w:pStyle w:val="111"/>
              <w:rPr>
                <w:rFonts w:hint="default"/>
                <w:color w:val="auto"/>
              </w:rPr>
            </w:pPr>
            <w:r>
              <w:rPr>
                <w:color w:val="auto"/>
              </w:rPr>
              <w:t>②分区防渗：</w:t>
            </w:r>
          </w:p>
          <w:p w14:paraId="74237E8F">
            <w:pPr>
              <w:ind w:firstLine="422" w:firstLineChars="200"/>
              <w:jc w:val="center"/>
              <w:rPr>
                <w:rFonts w:cs="宋体"/>
                <w:b/>
                <w:bCs/>
                <w:szCs w:val="21"/>
              </w:rPr>
            </w:pPr>
            <w:r>
              <w:rPr>
                <w:rFonts w:hint="eastAsia" w:cs="宋体"/>
                <w:b/>
                <w:bCs/>
                <w:szCs w:val="21"/>
              </w:rPr>
              <w:t>表4-14项目各工作区防腐防渗要求</w:t>
            </w:r>
          </w:p>
          <w:tbl>
            <w:tblPr>
              <w:tblStyle w:val="35"/>
              <w:tblW w:w="501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1348"/>
              <w:gridCol w:w="1910"/>
              <w:gridCol w:w="3887"/>
              <w:gridCol w:w="2407"/>
            </w:tblGrid>
            <w:tr w14:paraId="74434C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72" w:hRule="atLeast"/>
                <w:jc w:val="center"/>
              </w:trPr>
              <w:tc>
                <w:tcPr>
                  <w:tcW w:w="1176" w:type="dxa"/>
                  <w:vAlign w:val="center"/>
                </w:tcPr>
                <w:p w14:paraId="10BB22FF">
                  <w:pPr>
                    <w:pStyle w:val="57"/>
                  </w:pPr>
                  <w:r>
                    <w:t>防渗分区</w:t>
                  </w:r>
                </w:p>
              </w:tc>
              <w:tc>
                <w:tcPr>
                  <w:tcW w:w="1666" w:type="dxa"/>
                  <w:vAlign w:val="center"/>
                </w:tcPr>
                <w:p w14:paraId="763A4B9A">
                  <w:pPr>
                    <w:pStyle w:val="57"/>
                  </w:pPr>
                  <w:r>
                    <w:t>工作区</w:t>
                  </w:r>
                </w:p>
              </w:tc>
              <w:tc>
                <w:tcPr>
                  <w:tcW w:w="3393" w:type="dxa"/>
                  <w:vAlign w:val="center"/>
                </w:tcPr>
                <w:p w14:paraId="35735147">
                  <w:pPr>
                    <w:pStyle w:val="57"/>
                  </w:pPr>
                  <w:r>
                    <w:t>防渗要求</w:t>
                  </w:r>
                </w:p>
              </w:tc>
              <w:tc>
                <w:tcPr>
                  <w:tcW w:w="2101" w:type="dxa"/>
                  <w:vAlign w:val="center"/>
                </w:tcPr>
                <w:p w14:paraId="2401CDDD">
                  <w:pPr>
                    <w:pStyle w:val="57"/>
                  </w:pPr>
                  <w:r>
                    <w:t>防腐防渗措施</w:t>
                  </w:r>
                </w:p>
              </w:tc>
            </w:tr>
            <w:tr w14:paraId="179DDF9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1207" w:hRule="atLeast"/>
                <w:jc w:val="center"/>
              </w:trPr>
              <w:tc>
                <w:tcPr>
                  <w:tcW w:w="1176" w:type="dxa"/>
                  <w:vAlign w:val="center"/>
                </w:tcPr>
                <w:p w14:paraId="54CE8A0E">
                  <w:pPr>
                    <w:pStyle w:val="57"/>
                    <w:rPr>
                      <w:b w:val="0"/>
                      <w:bCs/>
                    </w:rPr>
                  </w:pPr>
                  <w:r>
                    <w:rPr>
                      <w:rFonts w:hint="eastAsia"/>
                      <w:b w:val="0"/>
                      <w:bCs/>
                    </w:rPr>
                    <w:t>重点防渗区</w:t>
                  </w:r>
                </w:p>
              </w:tc>
              <w:tc>
                <w:tcPr>
                  <w:tcW w:w="1666" w:type="dxa"/>
                  <w:vAlign w:val="center"/>
                </w:tcPr>
                <w:p w14:paraId="129312FB">
                  <w:pPr>
                    <w:pStyle w:val="57"/>
                    <w:rPr>
                      <w:b w:val="0"/>
                      <w:bCs/>
                    </w:rPr>
                  </w:pPr>
                  <w:r>
                    <w:rPr>
                      <w:rFonts w:hint="eastAsia"/>
                      <w:b w:val="0"/>
                      <w:bCs/>
                    </w:rPr>
                    <w:t>危废暂存间、生产线（</w:t>
                  </w:r>
                  <w:r>
                    <w:rPr>
                      <w:rFonts w:hint="eastAsia"/>
                      <w:b w:val="0"/>
                      <w:bCs/>
                      <w:lang w:val="en-US"/>
                    </w:rPr>
                    <w:t>碱液循环系统</w:t>
                  </w:r>
                  <w:r>
                    <w:rPr>
                      <w:rFonts w:hint="eastAsia"/>
                      <w:b w:val="0"/>
                      <w:bCs/>
                    </w:rPr>
                    <w:t>）、污水处理（</w:t>
                  </w:r>
                  <w:r>
                    <w:rPr>
                      <w:rFonts w:hint="eastAsia"/>
                      <w:b w:val="0"/>
                      <w:bCs/>
                      <w:lang w:val="en-US"/>
                    </w:rPr>
                    <w:t>污水收集罐、蒸发干化设备</w:t>
                  </w:r>
                  <w:r>
                    <w:rPr>
                      <w:rFonts w:hint="eastAsia"/>
                      <w:b w:val="0"/>
                      <w:bCs/>
                    </w:rPr>
                    <w:t>）、碱喷淋塔</w:t>
                  </w:r>
                </w:p>
              </w:tc>
              <w:tc>
                <w:tcPr>
                  <w:tcW w:w="3393" w:type="dxa"/>
                  <w:vAlign w:val="center"/>
                </w:tcPr>
                <w:p w14:paraId="2F4BDD22">
                  <w:pPr>
                    <w:pStyle w:val="57"/>
                    <w:rPr>
                      <w:b w:val="0"/>
                      <w:bCs/>
                    </w:rPr>
                  </w:pPr>
                  <w:r>
                    <w:rPr>
                      <w:rFonts w:hint="eastAsia"/>
                      <w:b w:val="0"/>
                      <w:bCs/>
                    </w:rPr>
                    <w:t>属于对环境有污染的物料或者可能发生泄漏后，不能及时发现和处理的区域或部位，本次均按重点防渗区要求进行防渗</w:t>
                  </w:r>
                </w:p>
              </w:tc>
              <w:tc>
                <w:tcPr>
                  <w:tcW w:w="2101" w:type="dxa"/>
                  <w:vAlign w:val="center"/>
                </w:tcPr>
                <w:p w14:paraId="0C6F32CD">
                  <w:pPr>
                    <w:pStyle w:val="57"/>
                    <w:rPr>
                      <w:b w:val="0"/>
                      <w:bCs/>
                    </w:rPr>
                  </w:pPr>
                  <w:r>
                    <w:rPr>
                      <w:b w:val="0"/>
                      <w:bCs/>
                    </w:rPr>
                    <w:t>等效黏土防渗层Mb</w:t>
                  </w:r>
                </w:p>
                <w:p w14:paraId="20FCA6F6">
                  <w:pPr>
                    <w:pStyle w:val="57"/>
                    <w:rPr>
                      <w:b w:val="0"/>
                      <w:bCs/>
                    </w:rPr>
                  </w:pPr>
                  <w:r>
                    <w:rPr>
                      <w:b w:val="0"/>
                      <w:bCs/>
                    </w:rPr>
                    <w:t>≥6.0m，K≦1×10</w:t>
                  </w:r>
                  <w:r>
                    <w:rPr>
                      <w:b w:val="0"/>
                      <w:bCs/>
                      <w:vertAlign w:val="superscript"/>
                    </w:rPr>
                    <w:t>-7</w:t>
                  </w:r>
                  <w:r>
                    <w:rPr>
                      <w:b w:val="0"/>
                      <w:bCs/>
                    </w:rPr>
                    <w:t>cm/s；或按照GB18598执行</w:t>
                  </w:r>
                </w:p>
              </w:tc>
            </w:tr>
            <w:tr w14:paraId="4CF880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44" w:hRule="atLeast"/>
                <w:jc w:val="center"/>
              </w:trPr>
              <w:tc>
                <w:tcPr>
                  <w:tcW w:w="1176" w:type="dxa"/>
                  <w:vAlign w:val="center"/>
                </w:tcPr>
                <w:p w14:paraId="1E9794DA">
                  <w:pPr>
                    <w:pStyle w:val="57"/>
                    <w:rPr>
                      <w:b w:val="0"/>
                      <w:bCs/>
                    </w:rPr>
                  </w:pPr>
                  <w:r>
                    <w:rPr>
                      <w:rFonts w:hint="eastAsia"/>
                      <w:b w:val="0"/>
                      <w:bCs/>
                    </w:rPr>
                    <w:t>简单防渗区</w:t>
                  </w:r>
                </w:p>
              </w:tc>
              <w:tc>
                <w:tcPr>
                  <w:tcW w:w="1666" w:type="dxa"/>
                  <w:vAlign w:val="center"/>
                </w:tcPr>
                <w:p w14:paraId="38361F60">
                  <w:pPr>
                    <w:pStyle w:val="57"/>
                    <w:rPr>
                      <w:b w:val="0"/>
                      <w:bCs/>
                    </w:rPr>
                  </w:pPr>
                  <w:r>
                    <w:rPr>
                      <w:b w:val="0"/>
                      <w:bCs/>
                    </w:rPr>
                    <w:t>其他区域</w:t>
                  </w:r>
                </w:p>
              </w:tc>
              <w:tc>
                <w:tcPr>
                  <w:tcW w:w="3393" w:type="dxa"/>
                  <w:vAlign w:val="center"/>
                </w:tcPr>
                <w:p w14:paraId="0F5E77DA">
                  <w:pPr>
                    <w:pStyle w:val="57"/>
                    <w:rPr>
                      <w:b w:val="0"/>
                      <w:bCs/>
                    </w:rPr>
                  </w:pPr>
                  <w:r>
                    <w:rPr>
                      <w:b w:val="0"/>
                      <w:bCs/>
                    </w:rPr>
                    <w:t>地面硬化处理</w:t>
                  </w:r>
                </w:p>
              </w:tc>
              <w:tc>
                <w:tcPr>
                  <w:tcW w:w="2101" w:type="dxa"/>
                  <w:vAlign w:val="center"/>
                </w:tcPr>
                <w:p w14:paraId="36288EBC">
                  <w:pPr>
                    <w:pStyle w:val="57"/>
                    <w:rPr>
                      <w:b w:val="0"/>
                      <w:bCs/>
                    </w:rPr>
                  </w:pPr>
                  <w:r>
                    <w:rPr>
                      <w:b w:val="0"/>
                      <w:bCs/>
                    </w:rPr>
                    <w:t>地面硬化处理</w:t>
                  </w:r>
                </w:p>
              </w:tc>
            </w:tr>
          </w:tbl>
          <w:p w14:paraId="7454CCE2">
            <w:pPr>
              <w:pStyle w:val="111"/>
              <w:rPr>
                <w:rFonts w:hint="default"/>
                <w:color w:val="auto"/>
              </w:rPr>
            </w:pPr>
            <w:r>
              <w:rPr>
                <w:rFonts w:cs="Times New Roman"/>
                <w:color w:val="auto"/>
              </w:rPr>
              <w:t>项目对可能产生土壤、地下水影响的各项途径均进行有效预防，在确保各项防渗措施得以落实，并加强维护和厂区环境管理的前提下，可有效控制厂区内各污染物泄漏下渗现象，对区域内土壤、地下水环境的影响很小</w:t>
            </w:r>
            <w:r>
              <w:rPr>
                <w:color w:val="auto"/>
              </w:rPr>
              <w:t>。</w:t>
            </w:r>
          </w:p>
          <w:p w14:paraId="7444DE5A">
            <w:pPr>
              <w:pStyle w:val="67"/>
              <w:spacing w:line="360" w:lineRule="auto"/>
              <w:ind w:firstLine="482" w:firstLineChars="200"/>
              <w:rPr>
                <w:b/>
                <w:bCs/>
                <w:sz w:val="24"/>
                <w:szCs w:val="24"/>
              </w:rPr>
            </w:pPr>
            <w:r>
              <w:rPr>
                <w:rFonts w:hint="eastAsia"/>
                <w:b/>
                <w:bCs/>
                <w:sz w:val="24"/>
                <w:szCs w:val="24"/>
              </w:rPr>
              <w:t>七</w:t>
            </w:r>
            <w:r>
              <w:rPr>
                <w:rFonts w:hint="eastAsia"/>
                <w:b/>
                <w:spacing w:val="-10"/>
                <w:sz w:val="24"/>
              </w:rPr>
              <w:t>、环境风险</w:t>
            </w:r>
          </w:p>
          <w:p w14:paraId="11132466">
            <w:pPr>
              <w:pStyle w:val="67"/>
              <w:spacing w:line="360" w:lineRule="auto"/>
              <w:ind w:firstLine="482" w:firstLineChars="200"/>
              <w:rPr>
                <w:b/>
                <w:bCs/>
                <w:sz w:val="24"/>
                <w:szCs w:val="24"/>
              </w:rPr>
            </w:pPr>
            <w:r>
              <w:rPr>
                <w:rFonts w:hint="eastAsia"/>
                <w:b/>
                <w:bCs/>
                <w:sz w:val="24"/>
                <w:szCs w:val="24"/>
                <w:lang w:eastAsia="zh-CN"/>
              </w:rPr>
              <w:t>1.</w:t>
            </w:r>
            <w:r>
              <w:rPr>
                <w:rFonts w:hint="eastAsia"/>
                <w:b/>
                <w:bCs/>
                <w:sz w:val="24"/>
                <w:szCs w:val="24"/>
              </w:rPr>
              <w:t>环境风险潜势判定</w:t>
            </w:r>
          </w:p>
          <w:p w14:paraId="266820B8">
            <w:pPr>
              <w:pStyle w:val="67"/>
              <w:spacing w:line="360" w:lineRule="auto"/>
              <w:ind w:firstLine="480" w:firstLineChars="200"/>
              <w:rPr>
                <w:sz w:val="24"/>
                <w:szCs w:val="24"/>
              </w:rPr>
            </w:pPr>
            <w:r>
              <w:rPr>
                <w:sz w:val="24"/>
                <w:szCs w:val="24"/>
              </w:rPr>
              <w:t>对比《建设项目环境风险评价技术导则》（HJ169-2018）附录B和企业突发环境事件风险分级方法（HJ941-2018）附录A，</w:t>
            </w:r>
            <w:r>
              <w:rPr>
                <w:rFonts w:hint="eastAsia"/>
                <w:sz w:val="24"/>
                <w:szCs w:val="24"/>
              </w:rPr>
              <w:t>危险废物、润滑油、天然气</w:t>
            </w:r>
            <w:r>
              <w:rPr>
                <w:sz w:val="24"/>
                <w:szCs w:val="24"/>
              </w:rPr>
              <w:t>属于HJ169-201表B.1中的突发环境事件风险物质。根据《建设项目环境风险评价技术导则》（HJ169-2018）要求，本项目环境风险潜势初判如下：</w:t>
            </w:r>
          </w:p>
          <w:p w14:paraId="03BBE726">
            <w:pPr>
              <w:jc w:val="center"/>
              <w:rPr>
                <w:b/>
                <w:bCs/>
                <w:szCs w:val="32"/>
                <w:lang w:val="zh-CN"/>
              </w:rPr>
            </w:pPr>
            <w:r>
              <w:rPr>
                <w:b/>
                <w:bCs/>
                <w:szCs w:val="32"/>
                <w:lang w:val="zh-CN"/>
              </w:rPr>
              <w:t>表</w:t>
            </w:r>
            <w:r>
              <w:rPr>
                <w:rFonts w:hint="eastAsia"/>
                <w:b/>
                <w:bCs/>
                <w:szCs w:val="32"/>
              </w:rPr>
              <w:t>4-19</w:t>
            </w:r>
            <w:r>
              <w:rPr>
                <w:b/>
                <w:bCs/>
                <w:szCs w:val="32"/>
                <w:lang w:val="zh-CN"/>
              </w:rPr>
              <w:t>项目危险物质数量与临界量分析</w:t>
            </w:r>
          </w:p>
          <w:tbl>
            <w:tblPr>
              <w:tblStyle w:val="36"/>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71"/>
              <w:gridCol w:w="1212"/>
              <w:gridCol w:w="2105"/>
              <w:gridCol w:w="1782"/>
              <w:gridCol w:w="1437"/>
              <w:gridCol w:w="1298"/>
              <w:gridCol w:w="1113"/>
            </w:tblGrid>
            <w:tr w14:paraId="3C7FD5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99" w:type="pct"/>
                  <w:tcBorders>
                    <w:tl2br w:val="nil"/>
                    <w:tr2bl w:val="nil"/>
                  </w:tcBorders>
                  <w:vAlign w:val="center"/>
                </w:tcPr>
                <w:p w14:paraId="5A9F4809">
                  <w:pPr>
                    <w:pStyle w:val="108"/>
                    <w:adjustRightInd/>
                    <w:spacing w:before="0" w:after="0"/>
                    <w:jc w:val="center"/>
                    <w:rPr>
                      <w:rFonts w:ascii="Times New Roman"/>
                      <w:b/>
                      <w:color w:val="auto"/>
                      <w:sz w:val="21"/>
                      <w:szCs w:val="21"/>
                    </w:rPr>
                  </w:pPr>
                  <w:r>
                    <w:rPr>
                      <w:rFonts w:hint="eastAsia" w:ascii="Times New Roman"/>
                      <w:b/>
                      <w:color w:val="auto"/>
                      <w:sz w:val="21"/>
                      <w:szCs w:val="21"/>
                    </w:rPr>
                    <w:t>序号</w:t>
                  </w:r>
                </w:p>
              </w:tc>
              <w:tc>
                <w:tcPr>
                  <w:tcW w:w="636" w:type="pct"/>
                  <w:tcBorders>
                    <w:tl2br w:val="nil"/>
                    <w:tr2bl w:val="nil"/>
                  </w:tcBorders>
                  <w:vAlign w:val="center"/>
                </w:tcPr>
                <w:p w14:paraId="2B9B7A0E">
                  <w:pPr>
                    <w:pStyle w:val="108"/>
                    <w:adjustRightInd/>
                    <w:spacing w:before="0" w:after="0"/>
                    <w:jc w:val="center"/>
                    <w:rPr>
                      <w:rFonts w:ascii="Times New Roman"/>
                      <w:b/>
                      <w:color w:val="auto"/>
                      <w:sz w:val="21"/>
                      <w:szCs w:val="21"/>
                    </w:rPr>
                  </w:pPr>
                  <w:r>
                    <w:rPr>
                      <w:rFonts w:hint="eastAsia" w:ascii="Times New Roman"/>
                      <w:b/>
                      <w:color w:val="auto"/>
                      <w:sz w:val="21"/>
                      <w:szCs w:val="21"/>
                    </w:rPr>
                    <w:t>名称</w:t>
                  </w:r>
                </w:p>
              </w:tc>
              <w:tc>
                <w:tcPr>
                  <w:tcW w:w="1106" w:type="pct"/>
                  <w:tcBorders>
                    <w:tl2br w:val="nil"/>
                    <w:tr2bl w:val="nil"/>
                  </w:tcBorders>
                  <w:vAlign w:val="center"/>
                </w:tcPr>
                <w:p w14:paraId="06A63D70">
                  <w:pPr>
                    <w:pStyle w:val="108"/>
                    <w:adjustRightInd/>
                    <w:spacing w:before="0" w:after="0"/>
                    <w:jc w:val="center"/>
                    <w:rPr>
                      <w:rFonts w:ascii="Times New Roman"/>
                      <w:b/>
                      <w:color w:val="auto"/>
                      <w:sz w:val="21"/>
                      <w:szCs w:val="21"/>
                    </w:rPr>
                  </w:pPr>
                  <w:r>
                    <w:rPr>
                      <w:rFonts w:hint="eastAsia" w:ascii="Times New Roman"/>
                      <w:b/>
                      <w:color w:val="auto"/>
                      <w:sz w:val="21"/>
                      <w:szCs w:val="21"/>
                    </w:rPr>
                    <w:t>现有及在建工程</w:t>
                  </w:r>
                </w:p>
                <w:p w14:paraId="328F96B4">
                  <w:pPr>
                    <w:pStyle w:val="108"/>
                    <w:adjustRightInd/>
                    <w:spacing w:before="0" w:after="0"/>
                    <w:jc w:val="center"/>
                    <w:rPr>
                      <w:rFonts w:ascii="Times New Roman"/>
                      <w:b/>
                      <w:color w:val="auto"/>
                      <w:sz w:val="21"/>
                      <w:szCs w:val="21"/>
                    </w:rPr>
                  </w:pPr>
                  <w:r>
                    <w:rPr>
                      <w:rFonts w:hint="eastAsia" w:ascii="Times New Roman"/>
                      <w:b/>
                      <w:color w:val="auto"/>
                      <w:sz w:val="21"/>
                      <w:szCs w:val="21"/>
                    </w:rPr>
                    <w:t>最大储存量</w:t>
                  </w:r>
                </w:p>
              </w:tc>
              <w:tc>
                <w:tcPr>
                  <w:tcW w:w="936" w:type="pct"/>
                  <w:tcBorders>
                    <w:tl2br w:val="nil"/>
                    <w:tr2bl w:val="nil"/>
                  </w:tcBorders>
                  <w:vAlign w:val="center"/>
                </w:tcPr>
                <w:p w14:paraId="499546E4">
                  <w:pPr>
                    <w:pStyle w:val="108"/>
                    <w:adjustRightInd/>
                    <w:spacing w:before="0" w:after="0"/>
                    <w:jc w:val="center"/>
                    <w:rPr>
                      <w:rFonts w:ascii="Times New Roman"/>
                      <w:b/>
                      <w:color w:val="auto"/>
                      <w:sz w:val="21"/>
                      <w:szCs w:val="21"/>
                    </w:rPr>
                  </w:pPr>
                  <w:r>
                    <w:rPr>
                      <w:rFonts w:hint="eastAsia" w:ascii="Times New Roman"/>
                      <w:b/>
                      <w:color w:val="auto"/>
                      <w:sz w:val="21"/>
                      <w:szCs w:val="21"/>
                    </w:rPr>
                    <w:t>本工程</w:t>
                  </w:r>
                </w:p>
                <w:p w14:paraId="7ECD67F3">
                  <w:pPr>
                    <w:pStyle w:val="108"/>
                    <w:adjustRightInd/>
                    <w:spacing w:before="0" w:after="0"/>
                    <w:jc w:val="center"/>
                    <w:rPr>
                      <w:rFonts w:ascii="Times New Roman"/>
                      <w:b/>
                      <w:color w:val="auto"/>
                      <w:sz w:val="21"/>
                      <w:szCs w:val="21"/>
                    </w:rPr>
                  </w:pPr>
                  <w:r>
                    <w:rPr>
                      <w:rFonts w:hint="eastAsia" w:ascii="Times New Roman"/>
                      <w:b/>
                      <w:color w:val="auto"/>
                      <w:sz w:val="21"/>
                      <w:szCs w:val="21"/>
                    </w:rPr>
                    <w:t>最大储存量</w:t>
                  </w:r>
                </w:p>
              </w:tc>
              <w:tc>
                <w:tcPr>
                  <w:tcW w:w="755" w:type="pct"/>
                  <w:tcBorders>
                    <w:tl2br w:val="nil"/>
                    <w:tr2bl w:val="nil"/>
                  </w:tcBorders>
                  <w:vAlign w:val="center"/>
                </w:tcPr>
                <w:p w14:paraId="2919CE4A">
                  <w:pPr>
                    <w:pStyle w:val="108"/>
                    <w:adjustRightInd/>
                    <w:spacing w:before="0" w:after="0"/>
                    <w:jc w:val="center"/>
                    <w:rPr>
                      <w:rFonts w:ascii="Times New Roman"/>
                      <w:b/>
                      <w:color w:val="auto"/>
                      <w:sz w:val="21"/>
                      <w:szCs w:val="21"/>
                    </w:rPr>
                  </w:pPr>
                  <w:r>
                    <w:rPr>
                      <w:rFonts w:hint="eastAsia" w:ascii="Times New Roman"/>
                      <w:b/>
                      <w:color w:val="auto"/>
                      <w:sz w:val="21"/>
                      <w:szCs w:val="21"/>
                    </w:rPr>
                    <w:t>临界量</w:t>
                  </w:r>
                </w:p>
              </w:tc>
              <w:tc>
                <w:tcPr>
                  <w:tcW w:w="681" w:type="pct"/>
                  <w:tcBorders>
                    <w:tl2br w:val="nil"/>
                    <w:tr2bl w:val="nil"/>
                  </w:tcBorders>
                  <w:vAlign w:val="center"/>
                </w:tcPr>
                <w:p w14:paraId="5E0BADD8">
                  <w:pPr>
                    <w:pStyle w:val="108"/>
                    <w:adjustRightInd/>
                    <w:spacing w:before="0" w:after="0"/>
                    <w:jc w:val="center"/>
                    <w:rPr>
                      <w:rFonts w:ascii="Times New Roman"/>
                      <w:b/>
                      <w:color w:val="auto"/>
                      <w:sz w:val="21"/>
                      <w:szCs w:val="21"/>
                    </w:rPr>
                  </w:pPr>
                  <w:r>
                    <w:rPr>
                      <w:rFonts w:hint="eastAsia" w:ascii="Times New Roman"/>
                      <w:b/>
                      <w:color w:val="auto"/>
                      <w:sz w:val="21"/>
                      <w:szCs w:val="21"/>
                    </w:rPr>
                    <w:t>储存位置</w:t>
                  </w:r>
                </w:p>
              </w:tc>
              <w:tc>
                <w:tcPr>
                  <w:tcW w:w="585" w:type="pct"/>
                  <w:tcBorders>
                    <w:tl2br w:val="nil"/>
                    <w:tr2bl w:val="nil"/>
                  </w:tcBorders>
                  <w:vAlign w:val="center"/>
                </w:tcPr>
                <w:p w14:paraId="011923D2">
                  <w:pPr>
                    <w:pStyle w:val="108"/>
                    <w:adjustRightInd/>
                    <w:spacing w:before="0" w:after="0"/>
                    <w:jc w:val="center"/>
                    <w:rPr>
                      <w:rFonts w:ascii="Times New Roman"/>
                      <w:b/>
                      <w:color w:val="auto"/>
                      <w:sz w:val="21"/>
                      <w:szCs w:val="21"/>
                    </w:rPr>
                  </w:pPr>
                  <w:r>
                    <w:rPr>
                      <w:rFonts w:hint="eastAsia" w:ascii="Times New Roman"/>
                      <w:b/>
                      <w:color w:val="auto"/>
                      <w:sz w:val="21"/>
                      <w:szCs w:val="21"/>
                    </w:rPr>
                    <w:t>计算结果</w:t>
                  </w:r>
                </w:p>
              </w:tc>
            </w:tr>
            <w:tr w14:paraId="12C0D1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99" w:type="pct"/>
                  <w:tcBorders>
                    <w:tl2br w:val="nil"/>
                    <w:tr2bl w:val="nil"/>
                  </w:tcBorders>
                  <w:vAlign w:val="center"/>
                </w:tcPr>
                <w:p w14:paraId="0F2BA1E6">
                  <w:pPr>
                    <w:pStyle w:val="108"/>
                    <w:adjustRightInd/>
                    <w:spacing w:before="0" w:after="0"/>
                    <w:jc w:val="center"/>
                    <w:rPr>
                      <w:rFonts w:ascii="Times New Roman"/>
                      <w:bCs/>
                      <w:color w:val="auto"/>
                      <w:sz w:val="21"/>
                      <w:szCs w:val="21"/>
                    </w:rPr>
                  </w:pPr>
                  <w:r>
                    <w:rPr>
                      <w:rFonts w:hint="eastAsia" w:ascii="Times New Roman"/>
                      <w:bCs/>
                      <w:color w:val="auto"/>
                      <w:sz w:val="21"/>
                      <w:szCs w:val="21"/>
                    </w:rPr>
                    <w:t>1</w:t>
                  </w:r>
                </w:p>
              </w:tc>
              <w:tc>
                <w:tcPr>
                  <w:tcW w:w="636" w:type="pct"/>
                  <w:tcBorders>
                    <w:tl2br w:val="nil"/>
                    <w:tr2bl w:val="nil"/>
                  </w:tcBorders>
                  <w:vAlign w:val="center"/>
                </w:tcPr>
                <w:p w14:paraId="17EEB7B1">
                  <w:pPr>
                    <w:pStyle w:val="108"/>
                    <w:adjustRightInd/>
                    <w:spacing w:before="0" w:after="0"/>
                    <w:jc w:val="center"/>
                    <w:rPr>
                      <w:rFonts w:ascii="Times New Roman"/>
                      <w:bCs/>
                      <w:color w:val="auto"/>
                      <w:sz w:val="21"/>
                      <w:szCs w:val="21"/>
                    </w:rPr>
                  </w:pPr>
                  <w:r>
                    <w:rPr>
                      <w:rFonts w:hint="eastAsia" w:ascii="Times New Roman"/>
                      <w:bCs/>
                      <w:color w:val="auto"/>
                      <w:sz w:val="21"/>
                      <w:szCs w:val="21"/>
                    </w:rPr>
                    <w:t>润滑油</w:t>
                  </w:r>
                </w:p>
              </w:tc>
              <w:tc>
                <w:tcPr>
                  <w:tcW w:w="1106" w:type="pct"/>
                  <w:tcBorders>
                    <w:tl2br w:val="nil"/>
                    <w:tr2bl w:val="nil"/>
                  </w:tcBorders>
                  <w:shd w:val="clear" w:color="auto" w:fill="auto"/>
                  <w:vAlign w:val="center"/>
                </w:tcPr>
                <w:p w14:paraId="3C09D18D">
                  <w:pPr>
                    <w:pStyle w:val="108"/>
                    <w:adjustRightInd/>
                    <w:spacing w:before="0" w:after="0"/>
                    <w:jc w:val="center"/>
                    <w:rPr>
                      <w:rFonts w:ascii="Times New Roman"/>
                      <w:bCs/>
                      <w:color w:val="auto"/>
                      <w:sz w:val="21"/>
                      <w:szCs w:val="21"/>
                    </w:rPr>
                  </w:pPr>
                  <w:r>
                    <w:rPr>
                      <w:rFonts w:hint="eastAsia" w:ascii="Times New Roman"/>
                      <w:bCs/>
                      <w:color w:val="auto"/>
                      <w:sz w:val="21"/>
                      <w:szCs w:val="21"/>
                    </w:rPr>
                    <w:t>1t</w:t>
                  </w:r>
                </w:p>
              </w:tc>
              <w:tc>
                <w:tcPr>
                  <w:tcW w:w="936" w:type="pct"/>
                  <w:tcBorders>
                    <w:tl2br w:val="nil"/>
                    <w:tr2bl w:val="nil"/>
                  </w:tcBorders>
                  <w:vAlign w:val="center"/>
                </w:tcPr>
                <w:p w14:paraId="5FB8D64D">
                  <w:pPr>
                    <w:pStyle w:val="108"/>
                    <w:adjustRightInd/>
                    <w:spacing w:before="0" w:after="0"/>
                    <w:jc w:val="center"/>
                    <w:rPr>
                      <w:rFonts w:ascii="Times New Roman"/>
                      <w:bCs/>
                      <w:color w:val="auto"/>
                      <w:sz w:val="21"/>
                      <w:szCs w:val="21"/>
                    </w:rPr>
                  </w:pPr>
                  <w:r>
                    <w:rPr>
                      <w:rFonts w:hint="eastAsia" w:ascii="Times New Roman"/>
                      <w:bCs/>
                      <w:color w:val="auto"/>
                      <w:sz w:val="21"/>
                      <w:szCs w:val="21"/>
                    </w:rPr>
                    <w:t>/</w:t>
                  </w:r>
                </w:p>
              </w:tc>
              <w:tc>
                <w:tcPr>
                  <w:tcW w:w="755" w:type="pct"/>
                  <w:tcBorders>
                    <w:tl2br w:val="nil"/>
                    <w:tr2bl w:val="nil"/>
                  </w:tcBorders>
                  <w:vAlign w:val="center"/>
                </w:tcPr>
                <w:p w14:paraId="51023E22">
                  <w:pPr>
                    <w:pStyle w:val="108"/>
                    <w:adjustRightInd/>
                    <w:spacing w:before="0" w:after="0"/>
                    <w:jc w:val="center"/>
                    <w:rPr>
                      <w:rFonts w:ascii="Times New Roman"/>
                      <w:bCs/>
                      <w:color w:val="auto"/>
                      <w:sz w:val="21"/>
                      <w:szCs w:val="21"/>
                    </w:rPr>
                  </w:pPr>
                  <w:r>
                    <w:rPr>
                      <w:rFonts w:hint="eastAsia" w:ascii="Times New Roman"/>
                      <w:bCs/>
                      <w:color w:val="auto"/>
                      <w:sz w:val="21"/>
                      <w:szCs w:val="21"/>
                    </w:rPr>
                    <w:t>2500t</w:t>
                  </w:r>
                </w:p>
              </w:tc>
              <w:tc>
                <w:tcPr>
                  <w:tcW w:w="681" w:type="pct"/>
                  <w:tcBorders>
                    <w:tl2br w:val="nil"/>
                    <w:tr2bl w:val="nil"/>
                  </w:tcBorders>
                  <w:vAlign w:val="center"/>
                </w:tcPr>
                <w:p w14:paraId="5E168959">
                  <w:pPr>
                    <w:pStyle w:val="108"/>
                    <w:adjustRightInd/>
                    <w:spacing w:before="0" w:after="0"/>
                    <w:jc w:val="center"/>
                    <w:rPr>
                      <w:rFonts w:ascii="Times New Roman"/>
                      <w:bCs/>
                      <w:color w:val="auto"/>
                      <w:sz w:val="21"/>
                      <w:szCs w:val="21"/>
                    </w:rPr>
                  </w:pPr>
                  <w:r>
                    <w:rPr>
                      <w:rFonts w:hint="eastAsia" w:ascii="Times New Roman"/>
                      <w:bCs/>
                      <w:color w:val="auto"/>
                      <w:sz w:val="21"/>
                      <w:szCs w:val="21"/>
                    </w:rPr>
                    <w:t>库房</w:t>
                  </w:r>
                </w:p>
              </w:tc>
              <w:tc>
                <w:tcPr>
                  <w:tcW w:w="585" w:type="pct"/>
                  <w:tcBorders>
                    <w:tl2br w:val="nil"/>
                    <w:tr2bl w:val="nil"/>
                  </w:tcBorders>
                  <w:vAlign w:val="center"/>
                </w:tcPr>
                <w:p w14:paraId="21A003DC">
                  <w:pPr>
                    <w:pStyle w:val="108"/>
                    <w:adjustRightInd/>
                    <w:spacing w:before="0" w:after="0"/>
                    <w:jc w:val="center"/>
                    <w:rPr>
                      <w:rFonts w:ascii="Times New Roman"/>
                      <w:bCs/>
                      <w:color w:val="auto"/>
                      <w:sz w:val="21"/>
                      <w:szCs w:val="21"/>
                    </w:rPr>
                  </w:pPr>
                  <w:r>
                    <w:rPr>
                      <w:rFonts w:hint="eastAsia" w:ascii="Times New Roman"/>
                      <w:bCs/>
                      <w:color w:val="auto"/>
                      <w:sz w:val="21"/>
                      <w:szCs w:val="21"/>
                    </w:rPr>
                    <w:t>0.0004</w:t>
                  </w:r>
                </w:p>
              </w:tc>
            </w:tr>
            <w:tr w14:paraId="3CF7B8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99" w:type="pct"/>
                  <w:tcBorders>
                    <w:tl2br w:val="nil"/>
                    <w:tr2bl w:val="nil"/>
                  </w:tcBorders>
                  <w:vAlign w:val="center"/>
                </w:tcPr>
                <w:p w14:paraId="0A2A9AFF">
                  <w:pPr>
                    <w:pStyle w:val="108"/>
                    <w:adjustRightInd/>
                    <w:spacing w:before="0" w:after="0"/>
                    <w:jc w:val="center"/>
                    <w:rPr>
                      <w:rFonts w:ascii="Times New Roman"/>
                      <w:bCs/>
                      <w:color w:val="auto"/>
                      <w:sz w:val="21"/>
                      <w:szCs w:val="21"/>
                    </w:rPr>
                  </w:pPr>
                  <w:r>
                    <w:rPr>
                      <w:rFonts w:hint="eastAsia" w:ascii="Times New Roman"/>
                      <w:bCs/>
                      <w:color w:val="auto"/>
                      <w:sz w:val="21"/>
                      <w:szCs w:val="21"/>
                    </w:rPr>
                    <w:t>2</w:t>
                  </w:r>
                </w:p>
              </w:tc>
              <w:tc>
                <w:tcPr>
                  <w:tcW w:w="636" w:type="pct"/>
                  <w:tcBorders>
                    <w:tl2br w:val="nil"/>
                    <w:tr2bl w:val="nil"/>
                  </w:tcBorders>
                  <w:vAlign w:val="center"/>
                </w:tcPr>
                <w:p w14:paraId="1F88CD34">
                  <w:pPr>
                    <w:pStyle w:val="108"/>
                    <w:adjustRightInd/>
                    <w:spacing w:before="0" w:after="0"/>
                    <w:jc w:val="center"/>
                    <w:rPr>
                      <w:rFonts w:ascii="Times New Roman"/>
                      <w:bCs/>
                      <w:color w:val="auto"/>
                      <w:sz w:val="21"/>
                      <w:szCs w:val="21"/>
                    </w:rPr>
                  </w:pPr>
                  <w:r>
                    <w:rPr>
                      <w:rFonts w:hint="eastAsia" w:ascii="Times New Roman"/>
                      <w:bCs/>
                      <w:color w:val="auto"/>
                      <w:sz w:val="21"/>
                      <w:szCs w:val="21"/>
                    </w:rPr>
                    <w:t>危险废物</w:t>
                  </w:r>
                </w:p>
              </w:tc>
              <w:tc>
                <w:tcPr>
                  <w:tcW w:w="1106" w:type="pct"/>
                  <w:tcBorders>
                    <w:tl2br w:val="nil"/>
                    <w:tr2bl w:val="nil"/>
                  </w:tcBorders>
                  <w:shd w:val="clear" w:color="auto" w:fill="auto"/>
                  <w:vAlign w:val="center"/>
                </w:tcPr>
                <w:p w14:paraId="5E350FF1">
                  <w:pPr>
                    <w:pStyle w:val="108"/>
                    <w:adjustRightInd/>
                    <w:spacing w:before="0" w:after="0"/>
                    <w:jc w:val="center"/>
                    <w:rPr>
                      <w:rFonts w:ascii="Times New Roman"/>
                      <w:bCs/>
                      <w:color w:val="auto"/>
                      <w:sz w:val="21"/>
                      <w:szCs w:val="21"/>
                    </w:rPr>
                  </w:pPr>
                  <w:r>
                    <w:rPr>
                      <w:rFonts w:hint="eastAsia" w:ascii="Times New Roman"/>
                      <w:bCs/>
                      <w:color w:val="auto"/>
                      <w:sz w:val="21"/>
                      <w:szCs w:val="21"/>
                    </w:rPr>
                    <w:t>1.5t</w:t>
                  </w:r>
                </w:p>
              </w:tc>
              <w:tc>
                <w:tcPr>
                  <w:tcW w:w="936" w:type="pct"/>
                  <w:tcBorders>
                    <w:tl2br w:val="nil"/>
                    <w:tr2bl w:val="nil"/>
                  </w:tcBorders>
                  <w:vAlign w:val="center"/>
                </w:tcPr>
                <w:p w14:paraId="34B17867">
                  <w:pPr>
                    <w:pStyle w:val="108"/>
                    <w:adjustRightInd/>
                    <w:spacing w:before="0" w:after="0"/>
                    <w:jc w:val="center"/>
                    <w:rPr>
                      <w:rFonts w:ascii="Times New Roman"/>
                      <w:bCs/>
                      <w:color w:val="auto"/>
                      <w:sz w:val="21"/>
                      <w:szCs w:val="21"/>
                    </w:rPr>
                  </w:pPr>
                  <w:r>
                    <w:rPr>
                      <w:rFonts w:hint="eastAsia" w:ascii="Times New Roman"/>
                      <w:bCs/>
                      <w:color w:val="auto"/>
                      <w:sz w:val="21"/>
                      <w:szCs w:val="21"/>
                    </w:rPr>
                    <w:t>0.3</w:t>
                  </w:r>
                </w:p>
              </w:tc>
              <w:tc>
                <w:tcPr>
                  <w:tcW w:w="755" w:type="pct"/>
                  <w:tcBorders>
                    <w:tl2br w:val="nil"/>
                    <w:tr2bl w:val="nil"/>
                  </w:tcBorders>
                  <w:vAlign w:val="center"/>
                </w:tcPr>
                <w:p w14:paraId="1764D7D2">
                  <w:pPr>
                    <w:pStyle w:val="108"/>
                    <w:adjustRightInd/>
                    <w:spacing w:before="0" w:after="0"/>
                    <w:jc w:val="center"/>
                    <w:rPr>
                      <w:rFonts w:ascii="Times New Roman"/>
                      <w:bCs/>
                      <w:color w:val="auto"/>
                      <w:sz w:val="21"/>
                      <w:szCs w:val="21"/>
                    </w:rPr>
                  </w:pPr>
                  <w:r>
                    <w:rPr>
                      <w:rFonts w:hint="eastAsia" w:ascii="Times New Roman"/>
                      <w:bCs/>
                      <w:color w:val="auto"/>
                      <w:sz w:val="21"/>
                      <w:szCs w:val="21"/>
                    </w:rPr>
                    <w:t>50t</w:t>
                  </w:r>
                </w:p>
              </w:tc>
              <w:tc>
                <w:tcPr>
                  <w:tcW w:w="681" w:type="pct"/>
                  <w:tcBorders>
                    <w:tl2br w:val="nil"/>
                    <w:tr2bl w:val="nil"/>
                  </w:tcBorders>
                  <w:vAlign w:val="center"/>
                </w:tcPr>
                <w:p w14:paraId="12B842F2">
                  <w:pPr>
                    <w:pStyle w:val="108"/>
                    <w:adjustRightInd/>
                    <w:spacing w:before="0" w:after="0"/>
                    <w:jc w:val="center"/>
                    <w:rPr>
                      <w:rFonts w:ascii="Times New Roman"/>
                      <w:bCs/>
                      <w:color w:val="auto"/>
                      <w:sz w:val="21"/>
                      <w:szCs w:val="21"/>
                    </w:rPr>
                  </w:pPr>
                  <w:r>
                    <w:rPr>
                      <w:rFonts w:hint="eastAsia" w:ascii="Times New Roman"/>
                      <w:bCs/>
                      <w:color w:val="auto"/>
                      <w:sz w:val="21"/>
                      <w:szCs w:val="21"/>
                    </w:rPr>
                    <w:t>危险废物暂存间</w:t>
                  </w:r>
                </w:p>
              </w:tc>
              <w:tc>
                <w:tcPr>
                  <w:tcW w:w="585" w:type="pct"/>
                  <w:tcBorders>
                    <w:tl2br w:val="nil"/>
                    <w:tr2bl w:val="nil"/>
                  </w:tcBorders>
                  <w:vAlign w:val="center"/>
                </w:tcPr>
                <w:p w14:paraId="41ED0579">
                  <w:pPr>
                    <w:pStyle w:val="108"/>
                    <w:adjustRightInd/>
                    <w:spacing w:before="0" w:after="0"/>
                    <w:jc w:val="center"/>
                    <w:rPr>
                      <w:rFonts w:ascii="Times New Roman"/>
                      <w:bCs/>
                      <w:color w:val="auto"/>
                      <w:sz w:val="21"/>
                      <w:szCs w:val="21"/>
                    </w:rPr>
                  </w:pPr>
                  <w:r>
                    <w:rPr>
                      <w:rFonts w:hint="eastAsia" w:ascii="Times New Roman"/>
                      <w:bCs/>
                      <w:color w:val="auto"/>
                      <w:sz w:val="21"/>
                      <w:szCs w:val="21"/>
                    </w:rPr>
                    <w:t>0.036</w:t>
                  </w:r>
                </w:p>
              </w:tc>
            </w:tr>
            <w:tr w14:paraId="4D2242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99" w:type="pct"/>
                  <w:tcBorders>
                    <w:tl2br w:val="nil"/>
                    <w:tr2bl w:val="nil"/>
                  </w:tcBorders>
                  <w:vAlign w:val="center"/>
                </w:tcPr>
                <w:p w14:paraId="0667C317">
                  <w:pPr>
                    <w:pStyle w:val="108"/>
                    <w:adjustRightInd/>
                    <w:spacing w:before="0" w:after="0"/>
                    <w:jc w:val="center"/>
                    <w:rPr>
                      <w:rFonts w:ascii="Times New Roman"/>
                      <w:bCs/>
                      <w:color w:val="auto"/>
                      <w:sz w:val="21"/>
                      <w:szCs w:val="21"/>
                    </w:rPr>
                  </w:pPr>
                  <w:r>
                    <w:rPr>
                      <w:rFonts w:hint="eastAsia" w:ascii="Times New Roman"/>
                      <w:bCs/>
                      <w:color w:val="auto"/>
                      <w:sz w:val="21"/>
                      <w:szCs w:val="21"/>
                    </w:rPr>
                    <w:t>3</w:t>
                  </w:r>
                </w:p>
              </w:tc>
              <w:tc>
                <w:tcPr>
                  <w:tcW w:w="636" w:type="pct"/>
                  <w:tcBorders>
                    <w:tl2br w:val="nil"/>
                    <w:tr2bl w:val="nil"/>
                  </w:tcBorders>
                  <w:vAlign w:val="center"/>
                </w:tcPr>
                <w:p w14:paraId="55B408E5">
                  <w:pPr>
                    <w:pStyle w:val="108"/>
                    <w:adjustRightInd/>
                    <w:spacing w:before="0" w:after="0"/>
                    <w:jc w:val="center"/>
                    <w:rPr>
                      <w:rFonts w:ascii="Times New Roman"/>
                      <w:bCs/>
                      <w:color w:val="auto"/>
                      <w:sz w:val="21"/>
                      <w:szCs w:val="21"/>
                    </w:rPr>
                  </w:pPr>
                  <w:r>
                    <w:rPr>
                      <w:rFonts w:hint="eastAsia" w:ascii="Times New Roman"/>
                      <w:bCs/>
                      <w:color w:val="auto"/>
                      <w:sz w:val="21"/>
                      <w:szCs w:val="21"/>
                    </w:rPr>
                    <w:t>天然气</w:t>
                  </w:r>
                </w:p>
              </w:tc>
              <w:tc>
                <w:tcPr>
                  <w:tcW w:w="1106" w:type="pct"/>
                  <w:tcBorders>
                    <w:tl2br w:val="nil"/>
                    <w:tr2bl w:val="nil"/>
                  </w:tcBorders>
                  <w:shd w:val="clear" w:color="auto" w:fill="auto"/>
                  <w:vAlign w:val="center"/>
                </w:tcPr>
                <w:p w14:paraId="76C6143A">
                  <w:pPr>
                    <w:pStyle w:val="108"/>
                    <w:adjustRightInd/>
                    <w:spacing w:before="0" w:after="0"/>
                    <w:jc w:val="center"/>
                    <w:rPr>
                      <w:rFonts w:ascii="Times New Roman"/>
                      <w:bCs/>
                      <w:color w:val="auto"/>
                      <w:sz w:val="21"/>
                      <w:szCs w:val="21"/>
                    </w:rPr>
                  </w:pPr>
                  <w:r>
                    <w:rPr>
                      <w:rFonts w:hint="eastAsia" w:ascii="Times New Roman"/>
                      <w:bCs/>
                      <w:color w:val="auto"/>
                      <w:sz w:val="21"/>
                      <w:szCs w:val="21"/>
                    </w:rPr>
                    <w:t>0.09t</w:t>
                  </w:r>
                </w:p>
              </w:tc>
              <w:tc>
                <w:tcPr>
                  <w:tcW w:w="936" w:type="pct"/>
                  <w:tcBorders>
                    <w:tl2br w:val="nil"/>
                    <w:tr2bl w:val="nil"/>
                  </w:tcBorders>
                  <w:vAlign w:val="center"/>
                </w:tcPr>
                <w:p w14:paraId="2802E983">
                  <w:pPr>
                    <w:pStyle w:val="108"/>
                    <w:adjustRightInd/>
                    <w:spacing w:before="0" w:after="0"/>
                    <w:jc w:val="center"/>
                    <w:rPr>
                      <w:rFonts w:ascii="Times New Roman"/>
                      <w:bCs/>
                      <w:color w:val="auto"/>
                      <w:sz w:val="21"/>
                      <w:szCs w:val="21"/>
                    </w:rPr>
                  </w:pPr>
                  <w:r>
                    <w:rPr>
                      <w:rFonts w:hint="eastAsia" w:ascii="Times New Roman"/>
                      <w:bCs/>
                      <w:color w:val="auto"/>
                      <w:sz w:val="21"/>
                      <w:szCs w:val="21"/>
                    </w:rPr>
                    <w:t>0.05</w:t>
                  </w:r>
                </w:p>
              </w:tc>
              <w:tc>
                <w:tcPr>
                  <w:tcW w:w="755" w:type="pct"/>
                  <w:tcBorders>
                    <w:tl2br w:val="nil"/>
                    <w:tr2bl w:val="nil"/>
                  </w:tcBorders>
                  <w:vAlign w:val="center"/>
                </w:tcPr>
                <w:p w14:paraId="12C5048F">
                  <w:pPr>
                    <w:pStyle w:val="108"/>
                    <w:adjustRightInd/>
                    <w:spacing w:before="0" w:after="0"/>
                    <w:jc w:val="center"/>
                    <w:rPr>
                      <w:rFonts w:ascii="Times New Roman"/>
                      <w:bCs/>
                      <w:color w:val="auto"/>
                      <w:sz w:val="21"/>
                      <w:szCs w:val="21"/>
                    </w:rPr>
                  </w:pPr>
                  <w:r>
                    <w:rPr>
                      <w:rFonts w:hint="eastAsia" w:ascii="Times New Roman"/>
                      <w:bCs/>
                      <w:color w:val="auto"/>
                      <w:sz w:val="21"/>
                      <w:szCs w:val="21"/>
                    </w:rPr>
                    <w:t>10t</w:t>
                  </w:r>
                </w:p>
              </w:tc>
              <w:tc>
                <w:tcPr>
                  <w:tcW w:w="681" w:type="pct"/>
                  <w:tcBorders>
                    <w:tl2br w:val="nil"/>
                    <w:tr2bl w:val="nil"/>
                  </w:tcBorders>
                  <w:vAlign w:val="center"/>
                </w:tcPr>
                <w:p w14:paraId="2B4C9DBE">
                  <w:pPr>
                    <w:pStyle w:val="108"/>
                    <w:adjustRightInd/>
                    <w:spacing w:before="0" w:after="0"/>
                    <w:jc w:val="center"/>
                    <w:rPr>
                      <w:rFonts w:ascii="Times New Roman"/>
                      <w:bCs/>
                      <w:color w:val="auto"/>
                      <w:sz w:val="21"/>
                      <w:szCs w:val="21"/>
                    </w:rPr>
                  </w:pPr>
                  <w:r>
                    <w:rPr>
                      <w:rFonts w:hint="eastAsia" w:ascii="Times New Roman"/>
                      <w:bCs/>
                      <w:color w:val="auto"/>
                      <w:sz w:val="21"/>
                      <w:szCs w:val="21"/>
                    </w:rPr>
                    <w:t>旋锤机、拉丝机</w:t>
                  </w:r>
                </w:p>
              </w:tc>
              <w:tc>
                <w:tcPr>
                  <w:tcW w:w="585" w:type="pct"/>
                  <w:tcBorders>
                    <w:tl2br w:val="nil"/>
                    <w:tr2bl w:val="nil"/>
                  </w:tcBorders>
                  <w:vAlign w:val="center"/>
                </w:tcPr>
                <w:p w14:paraId="354C59EA">
                  <w:pPr>
                    <w:pStyle w:val="108"/>
                    <w:adjustRightInd/>
                    <w:spacing w:before="0" w:after="0"/>
                    <w:jc w:val="center"/>
                    <w:rPr>
                      <w:rFonts w:ascii="Times New Roman"/>
                      <w:bCs/>
                      <w:color w:val="auto"/>
                      <w:sz w:val="21"/>
                      <w:szCs w:val="21"/>
                    </w:rPr>
                  </w:pPr>
                  <w:r>
                    <w:rPr>
                      <w:rFonts w:hint="eastAsia" w:ascii="Times New Roman"/>
                      <w:bCs/>
                      <w:color w:val="auto"/>
                      <w:sz w:val="21"/>
                      <w:szCs w:val="21"/>
                    </w:rPr>
                    <w:t>0.014</w:t>
                  </w:r>
                </w:p>
              </w:tc>
            </w:tr>
            <w:tr w14:paraId="526B59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414" w:type="pct"/>
                  <w:gridSpan w:val="6"/>
                  <w:tcBorders>
                    <w:tl2br w:val="nil"/>
                    <w:tr2bl w:val="nil"/>
                  </w:tcBorders>
                  <w:vAlign w:val="center"/>
                </w:tcPr>
                <w:p w14:paraId="3657153D">
                  <w:pPr>
                    <w:autoSpaceDE w:val="0"/>
                    <w:autoSpaceDN w:val="0"/>
                    <w:jc w:val="center"/>
                    <w:rPr>
                      <w:bCs/>
                      <w:szCs w:val="21"/>
                    </w:rPr>
                  </w:pPr>
                  <w:r>
                    <w:rPr>
                      <w:rFonts w:hint="eastAsia"/>
                      <w:bCs/>
                      <w:szCs w:val="21"/>
                    </w:rPr>
                    <w:t>Q值</w:t>
                  </w:r>
                </w:p>
              </w:tc>
              <w:tc>
                <w:tcPr>
                  <w:tcW w:w="585" w:type="pct"/>
                  <w:tcBorders>
                    <w:tl2br w:val="nil"/>
                    <w:tr2bl w:val="nil"/>
                  </w:tcBorders>
                  <w:vAlign w:val="center"/>
                </w:tcPr>
                <w:p w14:paraId="45D689A5">
                  <w:pPr>
                    <w:autoSpaceDE w:val="0"/>
                    <w:autoSpaceDN w:val="0"/>
                    <w:jc w:val="center"/>
                    <w:rPr>
                      <w:bCs/>
                      <w:szCs w:val="21"/>
                    </w:rPr>
                  </w:pPr>
                  <w:r>
                    <w:rPr>
                      <w:rFonts w:hint="eastAsia"/>
                      <w:szCs w:val="21"/>
                    </w:rPr>
                    <w:t>=</w:t>
                  </w:r>
                  <w:r>
                    <w:rPr>
                      <w:rFonts w:hint="eastAsia"/>
                      <w:bCs/>
                      <w:szCs w:val="21"/>
                    </w:rPr>
                    <w:t>0.0504</w:t>
                  </w:r>
                </w:p>
              </w:tc>
            </w:tr>
          </w:tbl>
          <w:p w14:paraId="7B568108">
            <w:pPr>
              <w:pStyle w:val="108"/>
              <w:adjustRightInd/>
              <w:spacing w:before="0" w:after="0"/>
              <w:rPr>
                <w:rFonts w:ascii="Times New Roman"/>
                <w:color w:val="auto"/>
                <w:sz w:val="21"/>
                <w:szCs w:val="32"/>
              </w:rPr>
            </w:pPr>
            <w:r>
              <w:rPr>
                <w:rFonts w:hint="eastAsia" w:ascii="Times New Roman"/>
                <w:color w:val="auto"/>
                <w:sz w:val="21"/>
                <w:szCs w:val="32"/>
              </w:rPr>
              <w:t>注：表格中“临界量”数据来源于《建设项目环境风险评价技术导则》（HJ169-2018）附录B中“B.1突发环境事件风险物质及临界量”推荐值。</w:t>
            </w:r>
          </w:p>
          <w:p w14:paraId="40A10CD0">
            <w:pPr>
              <w:spacing w:line="360" w:lineRule="auto"/>
              <w:ind w:firstLine="480" w:firstLineChars="200"/>
              <w:rPr>
                <w:sz w:val="24"/>
              </w:rPr>
            </w:pPr>
            <w:r>
              <w:rPr>
                <w:sz w:val="24"/>
              </w:rPr>
              <w:t>从上表计算结果可知，本项目危险物质数量与临界量比值Q</w:t>
            </w:r>
            <w:r>
              <w:rPr>
                <w:rFonts w:hint="eastAsia"/>
                <w:sz w:val="24"/>
              </w:rPr>
              <w:t>=0.0504</w:t>
            </w:r>
            <w:r>
              <w:rPr>
                <w:sz w:val="24"/>
              </w:rPr>
              <w:t>&lt;1</w:t>
            </w:r>
            <w:r>
              <w:rPr>
                <w:rFonts w:hint="eastAsia"/>
                <w:sz w:val="24"/>
              </w:rPr>
              <w:t>，项目环境风险评价为简单分析</w:t>
            </w:r>
            <w:r>
              <w:rPr>
                <w:sz w:val="24"/>
              </w:rPr>
              <w:t>。</w:t>
            </w:r>
          </w:p>
          <w:p w14:paraId="7D75599B">
            <w:pPr>
              <w:spacing w:line="360" w:lineRule="auto"/>
              <w:ind w:firstLine="482" w:firstLineChars="200"/>
              <w:rPr>
                <w:b/>
                <w:sz w:val="24"/>
              </w:rPr>
            </w:pPr>
            <w:r>
              <w:rPr>
                <w:rFonts w:hint="eastAsia"/>
                <w:b/>
                <w:sz w:val="24"/>
                <w:lang w:eastAsia="zh-CN"/>
              </w:rPr>
              <w:t>2.</w:t>
            </w:r>
            <w:r>
              <w:rPr>
                <w:rFonts w:hint="eastAsia"/>
                <w:b/>
                <w:sz w:val="24"/>
              </w:rPr>
              <w:t>危险物质和风险源分布情况及可能影响途径</w:t>
            </w:r>
          </w:p>
          <w:p w14:paraId="19FB8B8B">
            <w:pPr>
              <w:spacing w:line="360" w:lineRule="auto"/>
              <w:ind w:firstLine="480" w:firstLineChars="200"/>
              <w:rPr>
                <w:sz w:val="24"/>
              </w:rPr>
            </w:pPr>
            <w:r>
              <w:rPr>
                <w:rFonts w:hint="eastAsia"/>
                <w:sz w:val="24"/>
              </w:rPr>
              <w:t>（1）风险物质识别</w:t>
            </w:r>
          </w:p>
          <w:p w14:paraId="62250D44">
            <w:pPr>
              <w:spacing w:line="360" w:lineRule="auto"/>
              <w:ind w:firstLine="480" w:firstLineChars="200"/>
              <w:rPr>
                <w:sz w:val="24"/>
              </w:rPr>
            </w:pPr>
            <w:r>
              <w:rPr>
                <w:rFonts w:hint="eastAsia"/>
                <w:sz w:val="24"/>
              </w:rPr>
              <w:t>根据《建设项目环境风险评价技术导则》（HJ 169-2018），物质危险性识别包括主要原辅材料、燃料、中间产品、副产品、最终产品、污染物、火灾和爆炸伴生/次生物等。本项目生产原料、生产工艺、贮存、运输、“三废”处理过程中涉及的危险物质主要有：危险废物、天然气等。</w:t>
            </w:r>
          </w:p>
          <w:p w14:paraId="427AC544">
            <w:pPr>
              <w:spacing w:line="360" w:lineRule="auto"/>
              <w:ind w:firstLine="480" w:firstLineChars="200"/>
              <w:rPr>
                <w:sz w:val="24"/>
              </w:rPr>
            </w:pPr>
            <w:r>
              <w:rPr>
                <w:rFonts w:hint="eastAsia"/>
                <w:sz w:val="24"/>
              </w:rPr>
              <w:t>（2）生产系统危险性识别</w:t>
            </w:r>
          </w:p>
          <w:p w14:paraId="7AEE9A31">
            <w:pPr>
              <w:spacing w:line="360" w:lineRule="auto"/>
              <w:ind w:firstLine="480" w:firstLineChars="200"/>
              <w:rPr>
                <w:sz w:val="24"/>
              </w:rPr>
            </w:pPr>
            <w:r>
              <w:rPr>
                <w:rFonts w:hint="eastAsia"/>
                <w:sz w:val="24"/>
              </w:rPr>
              <w:t>根据《建设项目环境风险评价技术导则》（HJ 169-2018），生产系统危险性识别包括主要生产装置、储运设施、公用工程和辅助生产设施，以及环境保护设施等。</w:t>
            </w:r>
          </w:p>
          <w:p w14:paraId="2E9E377F">
            <w:pPr>
              <w:spacing w:line="360" w:lineRule="auto"/>
              <w:ind w:firstLine="480" w:firstLineChars="200"/>
              <w:rPr>
                <w:sz w:val="24"/>
              </w:rPr>
            </w:pPr>
            <w:r>
              <w:rPr>
                <w:rFonts w:hint="eastAsia"/>
                <w:sz w:val="24"/>
              </w:rPr>
              <w:t>生产系统风险事故主要有：停电事故；火灾爆炸事故；废气处理设施故障；危险废物</w:t>
            </w:r>
            <w:r>
              <w:rPr>
                <w:sz w:val="24"/>
              </w:rPr>
              <w:t>泄漏</w:t>
            </w:r>
            <w:r>
              <w:rPr>
                <w:rFonts w:hint="eastAsia"/>
                <w:sz w:val="24"/>
              </w:rPr>
              <w:t>等。</w:t>
            </w:r>
          </w:p>
          <w:p w14:paraId="06C3D9FC">
            <w:pPr>
              <w:spacing w:line="360" w:lineRule="auto"/>
              <w:ind w:firstLine="480" w:firstLineChars="200"/>
              <w:rPr>
                <w:sz w:val="24"/>
              </w:rPr>
            </w:pPr>
            <w:r>
              <w:rPr>
                <w:rFonts w:hint="eastAsia"/>
                <w:sz w:val="24"/>
              </w:rPr>
              <w:t>（3）环境风险识别结果</w:t>
            </w:r>
          </w:p>
          <w:p w14:paraId="228E39AB">
            <w:pPr>
              <w:spacing w:line="360" w:lineRule="auto"/>
              <w:ind w:firstLine="480" w:firstLineChars="200"/>
              <w:rPr>
                <w:sz w:val="24"/>
              </w:rPr>
            </w:pPr>
            <w:r>
              <w:rPr>
                <w:rFonts w:hint="eastAsia"/>
                <w:sz w:val="24"/>
              </w:rPr>
              <w:t>根据前文物质危险性和生产系统危险性识别，本项目环境风险类型主要为火灾爆炸事故、废气处理设施故障、危险废物暂存间事故渗漏等。可能发生向环境转移的途径主要是火灾事故引发一氧化碳、二氧化碳和炭烟尘等对环境空气造成影响，天然气泄漏引发火灾爆炸事故对环境空气造成影响；废气超标排放对附近大气环境质量产生影响，或危废暂存间废机油渗漏对地下水和土壤环境造成污染等。</w:t>
            </w:r>
          </w:p>
          <w:p w14:paraId="45471389">
            <w:pPr>
              <w:spacing w:line="360" w:lineRule="auto"/>
              <w:ind w:firstLine="482" w:firstLineChars="200"/>
              <w:rPr>
                <w:rFonts w:cs="宋体"/>
                <w:b/>
                <w:bCs/>
                <w:sz w:val="24"/>
              </w:rPr>
            </w:pPr>
            <w:r>
              <w:rPr>
                <w:rFonts w:hint="eastAsia" w:cs="宋体"/>
                <w:b/>
                <w:bCs/>
                <w:sz w:val="24"/>
                <w:lang w:eastAsia="zh-CN"/>
              </w:rPr>
              <w:t>3.</w:t>
            </w:r>
            <w:r>
              <w:rPr>
                <w:rFonts w:hint="eastAsia" w:cs="宋体"/>
                <w:b/>
                <w:bCs/>
                <w:sz w:val="24"/>
              </w:rPr>
              <w:t>环境风险影响分析</w:t>
            </w:r>
          </w:p>
          <w:p w14:paraId="52C5545F">
            <w:pPr>
              <w:spacing w:line="360" w:lineRule="auto"/>
              <w:ind w:firstLine="480" w:firstLineChars="200"/>
              <w:rPr>
                <w:rFonts w:cs="宋体"/>
                <w:sz w:val="24"/>
              </w:rPr>
            </w:pPr>
            <w:r>
              <w:rPr>
                <w:rFonts w:cs="宋体"/>
                <w:sz w:val="24"/>
              </w:rPr>
              <w:t>（1）大气</w:t>
            </w:r>
            <w:r>
              <w:rPr>
                <w:rFonts w:hint="eastAsia" w:cs="宋体"/>
                <w:sz w:val="24"/>
              </w:rPr>
              <w:t>环境风险影响分析</w:t>
            </w:r>
          </w:p>
          <w:p w14:paraId="7742A609">
            <w:pPr>
              <w:spacing w:line="360" w:lineRule="auto"/>
              <w:ind w:firstLine="480" w:firstLineChars="200"/>
              <w:rPr>
                <w:rFonts w:cs="宋体"/>
                <w:sz w:val="24"/>
              </w:rPr>
            </w:pPr>
            <w:r>
              <w:rPr>
                <w:rFonts w:cs="宋体"/>
                <w:sz w:val="24"/>
              </w:rPr>
              <w:t>项目运营期间会有发生火灾的风险，从而可能导致严重的人身伤亡和经济损失，产生的大量CO、烟尘等对大气环境也会产生不良的影响。废气处理设施故障造成</w:t>
            </w:r>
            <w:r>
              <w:rPr>
                <w:rFonts w:hint="eastAsia" w:cs="宋体"/>
                <w:sz w:val="24"/>
              </w:rPr>
              <w:t>粉尘废气</w:t>
            </w:r>
            <w:r>
              <w:rPr>
                <w:rFonts w:cs="宋体"/>
                <w:sz w:val="24"/>
              </w:rPr>
              <w:t>未经处理直接排放到环境空气中。</w:t>
            </w:r>
          </w:p>
          <w:p w14:paraId="52E8AC31">
            <w:pPr>
              <w:spacing w:line="360" w:lineRule="auto"/>
              <w:ind w:firstLine="480" w:firstLineChars="200"/>
              <w:rPr>
                <w:rFonts w:cs="宋体"/>
                <w:sz w:val="24"/>
              </w:rPr>
            </w:pPr>
            <w:r>
              <w:rPr>
                <w:rFonts w:cs="宋体"/>
                <w:sz w:val="24"/>
              </w:rPr>
              <w:t>（2）地表水</w:t>
            </w:r>
            <w:r>
              <w:rPr>
                <w:rFonts w:hint="eastAsia" w:cs="宋体"/>
                <w:sz w:val="24"/>
              </w:rPr>
              <w:t>环境风险影响分析</w:t>
            </w:r>
          </w:p>
          <w:p w14:paraId="4322B6A2">
            <w:pPr>
              <w:spacing w:line="360" w:lineRule="auto"/>
              <w:ind w:firstLine="480" w:firstLineChars="200"/>
              <w:rPr>
                <w:rFonts w:cs="宋体"/>
                <w:sz w:val="24"/>
              </w:rPr>
            </w:pPr>
            <w:r>
              <w:rPr>
                <w:rFonts w:cs="宋体"/>
                <w:sz w:val="24"/>
              </w:rPr>
              <w:t>危险废物暂存间没有做好防雨、防渗、防腐措施，导致发生泄漏进入周围环境，</w:t>
            </w:r>
            <w:r>
              <w:rPr>
                <w:rFonts w:hint="eastAsia" w:cs="宋体"/>
                <w:sz w:val="24"/>
              </w:rPr>
              <w:t>废机油等</w:t>
            </w:r>
            <w:r>
              <w:rPr>
                <w:rFonts w:cs="宋体"/>
                <w:sz w:val="24"/>
              </w:rPr>
              <w:t>泄漏物通过地面径流经厂区内雨水管网外排至厂外地表水体中，影响地表水环境，对水生生物产生一定程度的影响；当项目厂区内部发生火灾事故时，灭火过程中产生的消防废水未截留在厂区内，可能会随着地面径流进入雨水管网，直接进入外部水体环境中，污染地表水环境。</w:t>
            </w:r>
          </w:p>
          <w:p w14:paraId="25C52EBC">
            <w:pPr>
              <w:spacing w:line="360" w:lineRule="auto"/>
              <w:ind w:firstLine="480" w:firstLineChars="200"/>
              <w:rPr>
                <w:rFonts w:cs="宋体"/>
                <w:sz w:val="24"/>
              </w:rPr>
            </w:pPr>
            <w:r>
              <w:rPr>
                <w:rFonts w:cs="宋体"/>
                <w:sz w:val="24"/>
              </w:rPr>
              <w:t>（3）地下水</w:t>
            </w:r>
            <w:r>
              <w:rPr>
                <w:rFonts w:hint="eastAsia" w:cs="宋体"/>
                <w:sz w:val="24"/>
              </w:rPr>
              <w:t>环境风险影响分析</w:t>
            </w:r>
          </w:p>
          <w:p w14:paraId="189E9986">
            <w:pPr>
              <w:spacing w:line="360" w:lineRule="auto"/>
              <w:ind w:firstLine="480" w:firstLineChars="200"/>
              <w:rPr>
                <w:rFonts w:cs="宋体"/>
                <w:sz w:val="24"/>
              </w:rPr>
            </w:pPr>
            <w:r>
              <w:rPr>
                <w:rFonts w:cs="宋体"/>
                <w:sz w:val="24"/>
              </w:rPr>
              <w:t>污染地表水的有毒有害物质未能够及时有效处理，从而进入地下水体，污染了地下水环境。</w:t>
            </w:r>
          </w:p>
          <w:p w14:paraId="17745823">
            <w:pPr>
              <w:spacing w:line="360" w:lineRule="auto"/>
              <w:ind w:firstLine="480" w:firstLineChars="200"/>
              <w:rPr>
                <w:rFonts w:cs="宋体"/>
                <w:sz w:val="24"/>
              </w:rPr>
            </w:pPr>
            <w:r>
              <w:rPr>
                <w:rFonts w:cs="宋体"/>
                <w:sz w:val="24"/>
              </w:rPr>
              <w:t>（</w:t>
            </w:r>
            <w:r>
              <w:rPr>
                <w:rFonts w:hint="eastAsia" w:cs="宋体"/>
                <w:sz w:val="24"/>
              </w:rPr>
              <w:t>4</w:t>
            </w:r>
            <w:r>
              <w:rPr>
                <w:rFonts w:cs="宋体"/>
                <w:sz w:val="24"/>
              </w:rPr>
              <w:t>）火灾、爆炸事故</w:t>
            </w:r>
            <w:r>
              <w:rPr>
                <w:rFonts w:hint="eastAsia" w:cs="宋体"/>
                <w:sz w:val="24"/>
              </w:rPr>
              <w:t>影响分析</w:t>
            </w:r>
          </w:p>
          <w:p w14:paraId="656601DE">
            <w:pPr>
              <w:spacing w:line="360" w:lineRule="auto"/>
              <w:ind w:firstLine="480" w:firstLineChars="200"/>
              <w:rPr>
                <w:rFonts w:cs="宋体"/>
                <w:sz w:val="24"/>
              </w:rPr>
            </w:pPr>
            <w:r>
              <w:rPr>
                <w:rFonts w:cs="宋体"/>
                <w:sz w:val="24"/>
              </w:rPr>
              <w:t>当发生火灾事故时，在火灾、爆炸的灭火过程中，消防喷水、泡沫喷淋等均会产生废水，以上消防废液含有大量的石油类，若直接通过雨水或污水管网进入纳污水体或污水处理厂，含高浓度的消防排水势必对水体造成不利的影响，进入</w:t>
            </w:r>
            <w:r>
              <w:rPr>
                <w:rFonts w:hint="eastAsia" w:cs="宋体"/>
                <w:sz w:val="24"/>
              </w:rPr>
              <w:t>污水处理厂</w:t>
            </w:r>
            <w:r>
              <w:rPr>
                <w:rFonts w:cs="宋体"/>
                <w:sz w:val="24"/>
              </w:rPr>
              <w:t>则可能因冲击负荷过大，造成</w:t>
            </w:r>
            <w:r>
              <w:rPr>
                <w:rFonts w:hint="eastAsia" w:cs="宋体"/>
                <w:sz w:val="24"/>
              </w:rPr>
              <w:t>污水处理厂</w:t>
            </w:r>
            <w:r>
              <w:rPr>
                <w:rFonts w:cs="宋体"/>
                <w:sz w:val="24"/>
              </w:rPr>
              <w:t>处理设施的停运，导致严重污染环境的后果。</w:t>
            </w:r>
          </w:p>
          <w:p w14:paraId="1562829C">
            <w:pPr>
              <w:spacing w:line="360" w:lineRule="auto"/>
              <w:ind w:firstLine="482" w:firstLineChars="200"/>
              <w:rPr>
                <w:b/>
                <w:sz w:val="24"/>
              </w:rPr>
            </w:pPr>
            <w:r>
              <w:rPr>
                <w:rFonts w:hint="eastAsia"/>
                <w:b/>
                <w:sz w:val="24"/>
                <w:lang w:eastAsia="zh-CN"/>
              </w:rPr>
              <w:t>4.</w:t>
            </w:r>
            <w:r>
              <w:rPr>
                <w:b/>
                <w:sz w:val="24"/>
              </w:rPr>
              <w:t>风险防范措施</w:t>
            </w:r>
          </w:p>
          <w:p w14:paraId="7F394FCB">
            <w:pPr>
              <w:spacing w:line="360" w:lineRule="auto"/>
              <w:ind w:firstLine="480" w:firstLineChars="200"/>
              <w:rPr>
                <w:bCs/>
                <w:sz w:val="24"/>
              </w:rPr>
            </w:pPr>
            <w:r>
              <w:rPr>
                <w:rFonts w:hint="eastAsia"/>
                <w:bCs/>
                <w:sz w:val="24"/>
              </w:rPr>
              <w:t>（1）火灾事故风险防范措施</w:t>
            </w:r>
          </w:p>
          <w:p w14:paraId="54B716A1">
            <w:pPr>
              <w:spacing w:line="360" w:lineRule="auto"/>
              <w:ind w:firstLine="480" w:firstLineChars="200"/>
              <w:rPr>
                <w:bCs/>
                <w:sz w:val="24"/>
              </w:rPr>
            </w:pPr>
            <w:r>
              <w:rPr>
                <w:rFonts w:hint="eastAsia" w:cs="宋体"/>
                <w:kern w:val="0"/>
                <w:sz w:val="24"/>
                <w:lang w:bidi="ar"/>
              </w:rPr>
              <w:t>加强原料储存区和氢气站的管理，</w:t>
            </w:r>
            <w:r>
              <w:rPr>
                <w:rFonts w:hint="eastAsia"/>
                <w:kern w:val="0"/>
                <w:sz w:val="24"/>
              </w:rPr>
              <w:t>设置专人保管和维修，附近要有消防器材，要设置醒目的防火标志。厂房</w:t>
            </w:r>
            <w:r>
              <w:rPr>
                <w:rFonts w:cs="宋体"/>
                <w:sz w:val="24"/>
              </w:rPr>
              <w:t>各走道出口等部位要保持畅通，设置疏散标志和安全指示灯</w:t>
            </w:r>
            <w:r>
              <w:rPr>
                <w:rFonts w:hint="eastAsia" w:cs="宋体"/>
                <w:sz w:val="24"/>
              </w:rPr>
              <w:t>；</w:t>
            </w:r>
            <w:r>
              <w:rPr>
                <w:rFonts w:cs="宋体"/>
                <w:sz w:val="24"/>
              </w:rPr>
              <w:t>加强</w:t>
            </w:r>
            <w:r>
              <w:rPr>
                <w:rFonts w:hint="eastAsia" w:cs="宋体"/>
                <w:sz w:val="24"/>
              </w:rPr>
              <w:t>物资仓库</w:t>
            </w:r>
            <w:r>
              <w:rPr>
                <w:rFonts w:cs="宋体"/>
                <w:sz w:val="24"/>
              </w:rPr>
              <w:t>防火安全管理</w:t>
            </w:r>
            <w:r>
              <w:rPr>
                <w:rFonts w:hint="eastAsia" w:cs="宋体"/>
                <w:sz w:val="24"/>
              </w:rPr>
              <w:t>，</w:t>
            </w:r>
            <w:r>
              <w:rPr>
                <w:rFonts w:cs="宋体"/>
                <w:sz w:val="24"/>
              </w:rPr>
              <w:t>库内的物品要分类储放，每年对电线进行一次绝缘检查，发现可能引起打火、短路、发热和</w:t>
            </w:r>
            <w:r>
              <w:rPr>
                <w:rFonts w:hint="eastAsia"/>
                <w:bCs/>
                <w:sz w:val="24"/>
              </w:rPr>
              <w:t>绝缘等不良情况，必须及时维修更换。</w:t>
            </w:r>
          </w:p>
          <w:p w14:paraId="0EEC104F">
            <w:pPr>
              <w:spacing w:line="360" w:lineRule="auto"/>
              <w:ind w:firstLine="480" w:firstLineChars="200"/>
              <w:rPr>
                <w:bCs/>
                <w:sz w:val="24"/>
              </w:rPr>
            </w:pPr>
            <w:r>
              <w:rPr>
                <w:rFonts w:hint="eastAsia"/>
                <w:bCs/>
                <w:sz w:val="24"/>
              </w:rPr>
              <w:t>天然气泄漏风险防范措施：天然气泄漏可能引起火灾、爆炸等风险事故，因此，本评价建议企业在生产过程中做到：加强火源监管，明火控制，燃料区等处应设置明显防火标志，确保无明火靠近；燃料的使用、储存、运输以及生产设备等的安全操作规程，职工严格按照操作规程进行操作；制定完善的消防安全管理制度，落实消防安全责任，加强消防管理，如日常的防火巡查等；加强消防知识教育培训和演练，增强员工安全意识及事故应急能力；生产车间配备完善的消防、急救器材，如灭火器、消防栓，防火服、呼吸器等；按消防管理部门要求做好火灾等事故的防范和应急措施。</w:t>
            </w:r>
          </w:p>
          <w:p w14:paraId="113A56CE">
            <w:pPr>
              <w:spacing w:line="360" w:lineRule="auto"/>
              <w:ind w:firstLine="480" w:firstLineChars="200"/>
              <w:rPr>
                <w:bCs/>
                <w:sz w:val="24"/>
              </w:rPr>
            </w:pPr>
            <w:r>
              <w:rPr>
                <w:rFonts w:hint="eastAsia"/>
                <w:bCs/>
                <w:sz w:val="24"/>
              </w:rPr>
              <w:t>（2）废气处理设施故障</w:t>
            </w:r>
          </w:p>
          <w:p w14:paraId="0620E7D8">
            <w:pPr>
              <w:spacing w:line="360" w:lineRule="auto"/>
              <w:ind w:firstLine="480" w:firstLineChars="200"/>
              <w:rPr>
                <w:kern w:val="0"/>
                <w:sz w:val="24"/>
                <w:lang w:val="zh-CN"/>
              </w:rPr>
            </w:pPr>
            <w:r>
              <w:rPr>
                <w:rFonts w:hint="eastAsia"/>
                <w:kern w:val="0"/>
                <w:sz w:val="24"/>
              </w:rPr>
              <w:t>关键</w:t>
            </w:r>
            <w:r>
              <w:rPr>
                <w:kern w:val="0"/>
                <w:sz w:val="24"/>
                <w:lang w:val="zh-CN"/>
              </w:rPr>
              <w:t>废气处理设施应配备备用设备，保证将事故废气处理</w:t>
            </w:r>
            <w:r>
              <w:rPr>
                <w:rFonts w:hint="eastAsia"/>
                <w:kern w:val="0"/>
                <w:sz w:val="24"/>
                <w:lang w:val="zh-CN"/>
              </w:rPr>
              <w:t>，</w:t>
            </w:r>
            <w:r>
              <w:rPr>
                <w:kern w:val="0"/>
                <w:sz w:val="24"/>
                <w:lang w:val="zh-CN"/>
              </w:rPr>
              <w:t>保障装置的正常运行</w:t>
            </w:r>
            <w:r>
              <w:rPr>
                <w:rFonts w:hint="eastAsia"/>
                <w:kern w:val="0"/>
                <w:sz w:val="24"/>
                <w:lang w:val="zh-CN"/>
              </w:rPr>
              <w:t>，</w:t>
            </w:r>
            <w:r>
              <w:rPr>
                <w:rFonts w:hint="eastAsia"/>
                <w:kern w:val="0"/>
                <w:sz w:val="24"/>
              </w:rPr>
              <w:t>并尽快</w:t>
            </w:r>
            <w:r>
              <w:rPr>
                <w:kern w:val="0"/>
                <w:sz w:val="24"/>
                <w:lang w:val="zh-CN"/>
              </w:rPr>
              <w:t>查明</w:t>
            </w:r>
            <w:r>
              <w:rPr>
                <w:rFonts w:hint="eastAsia"/>
                <w:kern w:val="0"/>
                <w:sz w:val="24"/>
              </w:rPr>
              <w:t>事故</w:t>
            </w:r>
            <w:r>
              <w:rPr>
                <w:kern w:val="0"/>
                <w:sz w:val="24"/>
                <w:lang w:val="zh-CN"/>
              </w:rPr>
              <w:t>原因，</w:t>
            </w:r>
            <w:r>
              <w:rPr>
                <w:rFonts w:hint="eastAsia"/>
                <w:kern w:val="0"/>
                <w:sz w:val="24"/>
              </w:rPr>
              <w:t>确保废气达标排放</w:t>
            </w:r>
            <w:r>
              <w:rPr>
                <w:rFonts w:hint="eastAsia"/>
                <w:kern w:val="0"/>
                <w:sz w:val="24"/>
                <w:lang w:val="zh-CN"/>
              </w:rPr>
              <w:t>。</w:t>
            </w:r>
            <w:r>
              <w:rPr>
                <w:kern w:val="0"/>
                <w:sz w:val="24"/>
                <w:lang w:val="zh-CN"/>
              </w:rPr>
              <w:t>对废气处理系统进行定期与不定期检查，及时维修或更换不良部件</w:t>
            </w:r>
            <w:r>
              <w:rPr>
                <w:rFonts w:hint="eastAsia"/>
                <w:kern w:val="0"/>
                <w:sz w:val="24"/>
                <w:lang w:val="zh-CN"/>
              </w:rPr>
              <w:t>。</w:t>
            </w:r>
            <w:r>
              <w:rPr>
                <w:rFonts w:hint="eastAsia"/>
                <w:kern w:val="0"/>
                <w:sz w:val="24"/>
              </w:rPr>
              <w:t>企业应</w:t>
            </w:r>
            <w:r>
              <w:rPr>
                <w:kern w:val="0"/>
                <w:sz w:val="24"/>
                <w:lang w:val="zh-CN"/>
              </w:rPr>
              <w:t>制定完善的管理制度及应急处理措施，保证废气处理系统发生故障时能及时</w:t>
            </w:r>
            <w:r>
              <w:rPr>
                <w:rFonts w:hint="eastAsia"/>
                <w:kern w:val="0"/>
                <w:sz w:val="24"/>
                <w:lang w:val="zh-CN"/>
              </w:rPr>
              <w:t>作出</w:t>
            </w:r>
            <w:r>
              <w:rPr>
                <w:kern w:val="0"/>
                <w:sz w:val="24"/>
                <w:lang w:val="zh-CN"/>
              </w:rPr>
              <w:t>反应及有效</w:t>
            </w:r>
            <w:r>
              <w:rPr>
                <w:rFonts w:hint="eastAsia"/>
                <w:kern w:val="0"/>
                <w:sz w:val="24"/>
                <w:lang w:val="zh-CN"/>
              </w:rPr>
              <w:t>地</w:t>
            </w:r>
            <w:r>
              <w:rPr>
                <w:kern w:val="0"/>
                <w:sz w:val="24"/>
                <w:lang w:val="zh-CN"/>
              </w:rPr>
              <w:t>应对</w:t>
            </w:r>
            <w:r>
              <w:rPr>
                <w:rFonts w:hint="eastAsia"/>
                <w:kern w:val="0"/>
                <w:sz w:val="24"/>
                <w:lang w:val="zh-CN"/>
              </w:rPr>
              <w:t>。</w:t>
            </w:r>
          </w:p>
          <w:p w14:paraId="376AF620">
            <w:pPr>
              <w:spacing w:line="360" w:lineRule="auto"/>
              <w:ind w:firstLine="480" w:firstLineChars="200"/>
              <w:rPr>
                <w:bCs/>
                <w:sz w:val="24"/>
              </w:rPr>
            </w:pPr>
            <w:r>
              <w:rPr>
                <w:rFonts w:hint="eastAsia"/>
                <w:bCs/>
                <w:sz w:val="24"/>
              </w:rPr>
              <w:t>（3）危险废物泄漏风险防范</w:t>
            </w:r>
            <w:r>
              <w:rPr>
                <w:bCs/>
                <w:sz w:val="24"/>
              </w:rPr>
              <w:t>措施</w:t>
            </w:r>
          </w:p>
          <w:p w14:paraId="1D710D5B">
            <w:pPr>
              <w:widowControl/>
              <w:spacing w:line="360" w:lineRule="auto"/>
              <w:ind w:firstLine="480" w:firstLineChars="200"/>
              <w:jc w:val="left"/>
              <w:rPr>
                <w:sz w:val="24"/>
              </w:rPr>
            </w:pPr>
            <w:r>
              <w:rPr>
                <w:sz w:val="24"/>
              </w:rPr>
              <w:t>针对危险废物</w:t>
            </w:r>
            <w:r>
              <w:rPr>
                <w:rFonts w:hint="eastAsia"/>
                <w:sz w:val="24"/>
              </w:rPr>
              <w:t>暂存场所可能发生的泄漏</w:t>
            </w:r>
            <w:r>
              <w:rPr>
                <w:sz w:val="24"/>
              </w:rPr>
              <w:t>风险</w:t>
            </w:r>
            <w:r>
              <w:rPr>
                <w:rFonts w:hint="eastAsia"/>
                <w:sz w:val="24"/>
              </w:rPr>
              <w:t>事故，可采取下列</w:t>
            </w:r>
            <w:r>
              <w:rPr>
                <w:sz w:val="24"/>
              </w:rPr>
              <w:t>防范措施：</w:t>
            </w:r>
          </w:p>
          <w:p w14:paraId="151A2CD6">
            <w:pPr>
              <w:widowControl/>
              <w:spacing w:line="360" w:lineRule="auto"/>
              <w:ind w:firstLine="480" w:firstLineChars="200"/>
              <w:jc w:val="left"/>
              <w:rPr>
                <w:sz w:val="24"/>
              </w:rPr>
            </w:pPr>
            <w:r>
              <w:rPr>
                <w:sz w:val="24"/>
              </w:rPr>
              <w:t>①危废仓库设置为阴凉、远离火种、热源，并防止阳光直射</w:t>
            </w:r>
            <w:r>
              <w:rPr>
                <w:rFonts w:hint="eastAsia"/>
                <w:sz w:val="24"/>
              </w:rPr>
              <w:t>。</w:t>
            </w:r>
          </w:p>
          <w:p w14:paraId="2836B9E0">
            <w:pPr>
              <w:widowControl/>
              <w:spacing w:line="360" w:lineRule="auto"/>
              <w:ind w:firstLine="480" w:firstLineChars="200"/>
              <w:jc w:val="left"/>
              <w:rPr>
                <w:sz w:val="24"/>
              </w:rPr>
            </w:pPr>
            <w:r>
              <w:rPr>
                <w:sz w:val="24"/>
              </w:rPr>
              <w:t>②必须配备有专业知识的技术人员，库房及场所应设专人管理，管理人员必须配备可靠的个人安全防护用品</w:t>
            </w:r>
            <w:r>
              <w:rPr>
                <w:rFonts w:hint="eastAsia"/>
                <w:sz w:val="24"/>
              </w:rPr>
              <w:t>。</w:t>
            </w:r>
          </w:p>
          <w:p w14:paraId="56859FB0">
            <w:pPr>
              <w:widowControl/>
              <w:spacing w:line="360" w:lineRule="auto"/>
              <w:ind w:firstLine="480" w:firstLineChars="200"/>
              <w:jc w:val="left"/>
              <w:rPr>
                <w:sz w:val="24"/>
              </w:rPr>
            </w:pPr>
            <w:r>
              <w:rPr>
                <w:sz w:val="24"/>
              </w:rPr>
              <w:t>③</w:t>
            </w:r>
            <w:r>
              <w:rPr>
                <w:rFonts w:hint="eastAsia"/>
                <w:sz w:val="24"/>
              </w:rPr>
              <w:t>危废</w:t>
            </w:r>
            <w:r>
              <w:rPr>
                <w:sz w:val="24"/>
              </w:rPr>
              <w:t>入库时，应严格检验物品质量、数量、包装情况、有无泄漏。入库后应采取适当的养护措施，在贮存期内，定期检查，发现其品质变化、包装破损、渗漏、稳定剂短缺等，应及时处理。禁止混放不相容危险废物</w:t>
            </w:r>
            <w:r>
              <w:rPr>
                <w:rFonts w:hint="eastAsia"/>
                <w:sz w:val="24"/>
              </w:rPr>
              <w:t>。</w:t>
            </w:r>
          </w:p>
          <w:p w14:paraId="5F4C108E">
            <w:pPr>
              <w:widowControl/>
              <w:spacing w:line="360" w:lineRule="auto"/>
              <w:ind w:firstLine="480" w:firstLineChars="200"/>
              <w:jc w:val="left"/>
              <w:rPr>
                <w:sz w:val="24"/>
              </w:rPr>
            </w:pPr>
            <w:r>
              <w:rPr>
                <w:sz w:val="24"/>
              </w:rPr>
              <w:t>④储存间内的照明、通风设施应采用防爆型，开关设在仓外。配备相应品种和数量的消防器材。禁止使用易产生火花</w:t>
            </w:r>
            <w:r>
              <w:rPr>
                <w:rFonts w:hint="eastAsia"/>
                <w:sz w:val="24"/>
              </w:rPr>
              <w:t>的</w:t>
            </w:r>
            <w:r>
              <w:rPr>
                <w:sz w:val="24"/>
              </w:rPr>
              <w:t>机械设备</w:t>
            </w:r>
            <w:r>
              <w:rPr>
                <w:rFonts w:hint="eastAsia"/>
                <w:sz w:val="24"/>
              </w:rPr>
              <w:t>及</w:t>
            </w:r>
            <w:r>
              <w:rPr>
                <w:sz w:val="24"/>
              </w:rPr>
              <w:t>工具</w:t>
            </w:r>
            <w:r>
              <w:rPr>
                <w:rFonts w:hint="eastAsia"/>
                <w:sz w:val="24"/>
              </w:rPr>
              <w:t>。</w:t>
            </w:r>
          </w:p>
          <w:p w14:paraId="04240DD4">
            <w:pPr>
              <w:widowControl/>
              <w:spacing w:line="360" w:lineRule="auto"/>
              <w:ind w:firstLine="480" w:firstLineChars="200"/>
              <w:jc w:val="left"/>
              <w:rPr>
                <w:sz w:val="24"/>
              </w:rPr>
            </w:pPr>
            <w:r>
              <w:rPr>
                <w:sz w:val="24"/>
              </w:rPr>
              <w:t>⑤分装和搬运作业要注意个人保护，搬运时要轻装轻卸，防止包装及容器损坏，不可将包装容器倒置。</w:t>
            </w:r>
          </w:p>
          <w:p w14:paraId="76332341">
            <w:pPr>
              <w:widowControl/>
              <w:spacing w:line="360" w:lineRule="auto"/>
              <w:ind w:firstLine="480" w:firstLineChars="200"/>
              <w:jc w:val="left"/>
              <w:rPr>
                <w:sz w:val="24"/>
              </w:rPr>
            </w:pPr>
            <w:r>
              <w:rPr>
                <w:sz w:val="24"/>
              </w:rPr>
              <w:t>⑥仓库工作人员应进行培训，熟悉储存物品的分类、性质、保管业务知识和安全知识，掌握设备维护保养方法，并经考核合格后持证上岗。</w:t>
            </w:r>
          </w:p>
          <w:p w14:paraId="22DC5905">
            <w:pPr>
              <w:widowControl/>
              <w:spacing w:line="360" w:lineRule="auto"/>
              <w:ind w:firstLine="480" w:firstLineChars="200"/>
              <w:jc w:val="left"/>
              <w:rPr>
                <w:sz w:val="24"/>
              </w:rPr>
            </w:pPr>
            <w:r>
              <w:rPr>
                <w:sz w:val="24"/>
              </w:rPr>
              <w:t>⑦配置沙土箱和适当的空容器、工具，以便发生泄漏时收集溢出的物料。</w:t>
            </w:r>
          </w:p>
          <w:p w14:paraId="7A4FD793">
            <w:pPr>
              <w:widowControl/>
              <w:spacing w:line="360" w:lineRule="auto"/>
              <w:ind w:firstLine="480" w:firstLineChars="200"/>
              <w:jc w:val="left"/>
              <w:rPr>
                <w:sz w:val="24"/>
              </w:rPr>
            </w:pPr>
            <w:r>
              <w:rPr>
                <w:sz w:val="24"/>
              </w:rPr>
              <w:t>⑧加强车辆管理，车辆进出仓库应严格限速，并划定路线，避免发生意外事故。</w:t>
            </w:r>
          </w:p>
          <w:p w14:paraId="640E1C89">
            <w:pPr>
              <w:widowControl/>
              <w:spacing w:line="360" w:lineRule="auto"/>
              <w:ind w:firstLine="480" w:firstLineChars="200"/>
              <w:jc w:val="left"/>
              <w:rPr>
                <w:sz w:val="24"/>
              </w:rPr>
            </w:pPr>
            <w:r>
              <w:rPr>
                <w:sz w:val="24"/>
              </w:rPr>
              <w:t>⑨仓库</w:t>
            </w:r>
            <w:r>
              <w:rPr>
                <w:rFonts w:hint="eastAsia"/>
                <w:sz w:val="24"/>
              </w:rPr>
              <w:t>内</w:t>
            </w:r>
            <w:r>
              <w:rPr>
                <w:sz w:val="24"/>
              </w:rPr>
              <w:t>四周设置环</w:t>
            </w:r>
            <w:r>
              <w:rPr>
                <w:rFonts w:hint="eastAsia"/>
                <w:sz w:val="24"/>
              </w:rPr>
              <w:t>形</w:t>
            </w:r>
            <w:r>
              <w:rPr>
                <w:sz w:val="24"/>
              </w:rPr>
              <w:t>事故沟，联结事故收集池，一旦发生泄漏，通过事故沟进行收集，防止外流。</w:t>
            </w:r>
          </w:p>
          <w:p w14:paraId="0C69909C">
            <w:pPr>
              <w:widowControl/>
              <w:spacing w:line="360" w:lineRule="auto"/>
              <w:ind w:firstLine="480" w:firstLineChars="200"/>
              <w:jc w:val="left"/>
              <w:rPr>
                <w:sz w:val="24"/>
              </w:rPr>
            </w:pPr>
            <w:r>
              <w:rPr>
                <w:sz w:val="24"/>
              </w:rPr>
              <w:t>⑩加强设备预防性维修，经常检查易腐蚀部位，设备及管道保持密封，防止有害物质</w:t>
            </w:r>
            <w:r>
              <w:rPr>
                <w:rFonts w:hint="eastAsia"/>
                <w:sz w:val="24"/>
              </w:rPr>
              <w:t>“</w:t>
            </w:r>
            <w:r>
              <w:rPr>
                <w:sz w:val="24"/>
              </w:rPr>
              <w:t>跑、冒、滴、漏</w:t>
            </w:r>
            <w:r>
              <w:rPr>
                <w:rFonts w:hint="eastAsia"/>
                <w:sz w:val="24"/>
              </w:rPr>
              <w:t>”</w:t>
            </w:r>
            <w:r>
              <w:rPr>
                <w:sz w:val="24"/>
              </w:rPr>
              <w:t>；加强对物料在储运及使用过程中的严格管理。</w:t>
            </w:r>
          </w:p>
          <w:p w14:paraId="48DD662C">
            <w:pPr>
              <w:tabs>
                <w:tab w:val="left" w:pos="936"/>
              </w:tabs>
              <w:spacing w:line="360" w:lineRule="auto"/>
              <w:ind w:firstLine="480" w:firstLineChars="200"/>
              <w:rPr>
                <w:sz w:val="24"/>
              </w:rPr>
            </w:pPr>
            <w:r>
              <w:rPr>
                <w:sz w:val="24"/>
              </w:rPr>
              <w:t>综上，项目在采取一定防范措施后，其</w:t>
            </w:r>
            <w:r>
              <w:rPr>
                <w:rFonts w:hint="eastAsia"/>
                <w:sz w:val="24"/>
              </w:rPr>
              <w:t>运行</w:t>
            </w:r>
            <w:r>
              <w:rPr>
                <w:sz w:val="24"/>
              </w:rPr>
              <w:t>对外界的风险影响不大，可满足环境风险防范要求。</w:t>
            </w:r>
          </w:p>
          <w:p w14:paraId="70A573FB">
            <w:pPr>
              <w:pStyle w:val="4"/>
              <w:keepNext w:val="0"/>
              <w:keepLines w:val="0"/>
              <w:pageBreakBefore w:val="0"/>
              <w:spacing w:line="360" w:lineRule="auto"/>
              <w:ind w:firstLine="482" w:firstLineChars="200"/>
              <w:rPr>
                <w:rFonts w:ascii="Times New Roman" w:hAnsi="Times New Roman" w:eastAsia="宋体"/>
                <w:sz w:val="24"/>
                <w:szCs w:val="24"/>
              </w:rPr>
            </w:pPr>
            <w:bookmarkStart w:id="22" w:name="_Toc15292"/>
            <w:bookmarkStart w:id="23" w:name="_Toc32754"/>
            <w:r>
              <w:rPr>
                <w:rFonts w:hint="eastAsia" w:ascii="Times New Roman" w:hAnsi="Times New Roman" w:eastAsia="宋体"/>
                <w:sz w:val="24"/>
                <w:szCs w:val="24"/>
                <w:lang w:eastAsia="zh-CN"/>
              </w:rPr>
              <w:t>5.</w:t>
            </w:r>
            <w:r>
              <w:rPr>
                <w:rFonts w:ascii="Times New Roman" w:hAnsi="Times New Roman" w:eastAsia="宋体"/>
                <w:sz w:val="24"/>
                <w:szCs w:val="24"/>
              </w:rPr>
              <w:t>风险分析结论</w:t>
            </w:r>
            <w:bookmarkEnd w:id="22"/>
            <w:bookmarkEnd w:id="23"/>
          </w:p>
          <w:p w14:paraId="6CCFB2AC">
            <w:pPr>
              <w:spacing w:line="360" w:lineRule="auto"/>
              <w:ind w:firstLine="480" w:firstLineChars="200"/>
              <w:rPr>
                <w:rFonts w:hint="eastAsia"/>
                <w:sz w:val="24"/>
                <w:lang w:eastAsia="zh-CN"/>
              </w:rPr>
            </w:pPr>
            <w:r>
              <w:rPr>
                <w:rFonts w:hint="eastAsia"/>
                <w:sz w:val="24"/>
              </w:rPr>
              <w:t>本评价认为，在采取本报告提出的风险防范措施，并采取有效的综合管理措施的前提下，项目所产生的环境风险可以控制在可接受风险水平之内</w:t>
            </w:r>
            <w:r>
              <w:rPr>
                <w:rFonts w:hint="eastAsia"/>
                <w:sz w:val="24"/>
                <w:lang w:eastAsia="zh-CN"/>
              </w:rPr>
              <w:t>。</w:t>
            </w:r>
          </w:p>
          <w:p w14:paraId="51D94F68">
            <w:pPr>
              <w:spacing w:line="360" w:lineRule="auto"/>
              <w:ind w:firstLine="480" w:firstLineChars="200"/>
              <w:rPr>
                <w:rFonts w:hint="eastAsia"/>
                <w:sz w:val="24"/>
                <w:lang w:eastAsia="zh-CN"/>
              </w:rPr>
            </w:pPr>
          </w:p>
          <w:p w14:paraId="7C46A414">
            <w:pPr>
              <w:spacing w:line="360" w:lineRule="auto"/>
              <w:ind w:firstLine="480" w:firstLineChars="200"/>
              <w:rPr>
                <w:rFonts w:hint="eastAsia"/>
                <w:sz w:val="24"/>
                <w:lang w:eastAsia="zh-CN"/>
              </w:rPr>
            </w:pPr>
          </w:p>
          <w:p w14:paraId="6D92923C">
            <w:pPr>
              <w:spacing w:line="360" w:lineRule="auto"/>
              <w:ind w:firstLine="480" w:firstLineChars="200"/>
              <w:rPr>
                <w:rFonts w:hint="eastAsia"/>
                <w:sz w:val="24"/>
                <w:lang w:eastAsia="zh-CN"/>
              </w:rPr>
            </w:pPr>
          </w:p>
          <w:p w14:paraId="165F67C3">
            <w:pPr>
              <w:spacing w:line="360" w:lineRule="auto"/>
              <w:ind w:firstLine="420" w:firstLineChars="200"/>
            </w:pPr>
          </w:p>
          <w:p w14:paraId="1093DA39">
            <w:pPr>
              <w:pStyle w:val="2"/>
            </w:pPr>
          </w:p>
        </w:tc>
      </w:tr>
    </w:tbl>
    <w:p w14:paraId="607CED16">
      <w:pPr>
        <w:pStyle w:val="31"/>
        <w:pageBreakBefore/>
        <w:wordWrap w:val="0"/>
        <w:spacing w:before="0" w:beforeAutospacing="0" w:after="0" w:afterAutospacing="0"/>
        <w:jc w:val="center"/>
        <w:outlineLvl w:val="0"/>
        <w:rPr>
          <w:rFonts w:ascii="Times New Roman" w:hAnsi="Times New Roman" w:eastAsia="黑体"/>
          <w:snapToGrid w:val="0"/>
          <w:sz w:val="30"/>
          <w:szCs w:val="30"/>
        </w:rPr>
      </w:pPr>
      <w:bookmarkStart w:id="24" w:name="_Toc10630"/>
      <w:bookmarkStart w:id="25" w:name="_Toc19853"/>
      <w:bookmarkStart w:id="26" w:name="_Toc23577"/>
      <w:r>
        <w:rPr>
          <w:rFonts w:hint="eastAsia" w:ascii="Times New Roman" w:hAnsi="Times New Roman" w:eastAsia="黑体"/>
          <w:snapToGrid w:val="0"/>
          <w:sz w:val="30"/>
          <w:szCs w:val="30"/>
        </w:rPr>
        <w:t>五、</w:t>
      </w:r>
      <w:bookmarkStart w:id="27" w:name="_Hlk54167917"/>
      <w:r>
        <w:rPr>
          <w:rFonts w:hint="eastAsia" w:ascii="Times New Roman" w:hAnsi="Times New Roman" w:eastAsia="黑体"/>
          <w:snapToGrid w:val="0"/>
          <w:sz w:val="30"/>
          <w:szCs w:val="30"/>
        </w:rPr>
        <w:t>环境保护措施监督检查清单</w:t>
      </w:r>
      <w:bookmarkEnd w:id="24"/>
      <w:bookmarkEnd w:id="25"/>
      <w:bookmarkEnd w:id="26"/>
      <w:bookmarkEnd w:id="27"/>
    </w:p>
    <w:tbl>
      <w:tblPr>
        <w:tblStyle w:val="35"/>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80"/>
        <w:gridCol w:w="2001"/>
        <w:gridCol w:w="1639"/>
        <w:gridCol w:w="1924"/>
        <w:gridCol w:w="3416"/>
      </w:tblGrid>
      <w:tr w14:paraId="325797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tcBorders>
              <w:tl2br w:val="single" w:color="auto" w:sz="4" w:space="0"/>
            </w:tcBorders>
          </w:tcPr>
          <w:p w14:paraId="33A04CD8">
            <w:pPr>
              <w:wordWrap w:val="0"/>
              <w:adjustRightInd w:val="0"/>
              <w:snapToGrid w:val="0"/>
              <w:rPr>
                <w:rFonts w:cs="宋体"/>
                <w:b/>
                <w:bCs/>
                <w:sz w:val="24"/>
              </w:rPr>
            </w:pPr>
            <w:r>
              <w:rPr>
                <w:rFonts w:hint="eastAsia" w:cs="宋体"/>
                <w:b/>
                <w:bCs/>
                <w:sz w:val="24"/>
              </w:rPr>
              <w:t>内容</w:t>
            </w:r>
          </w:p>
          <w:p w14:paraId="27B0CADE">
            <w:pPr>
              <w:wordWrap w:val="0"/>
              <w:adjustRightInd w:val="0"/>
              <w:snapToGrid w:val="0"/>
              <w:rPr>
                <w:rFonts w:cs="宋体"/>
                <w:b/>
                <w:bCs/>
                <w:sz w:val="24"/>
              </w:rPr>
            </w:pPr>
            <w:r>
              <w:rPr>
                <w:rFonts w:hint="eastAsia" w:cs="宋体"/>
                <w:b/>
                <w:bCs/>
                <w:sz w:val="24"/>
              </w:rPr>
              <w:t>要素</w:t>
            </w:r>
          </w:p>
        </w:tc>
        <w:tc>
          <w:tcPr>
            <w:tcW w:w="2002" w:type="dxa"/>
            <w:vAlign w:val="center"/>
          </w:tcPr>
          <w:p w14:paraId="44637CAB">
            <w:pPr>
              <w:wordWrap w:val="0"/>
              <w:adjustRightInd w:val="0"/>
              <w:snapToGrid w:val="0"/>
              <w:jc w:val="center"/>
              <w:rPr>
                <w:rFonts w:cs="宋体"/>
                <w:b/>
                <w:bCs/>
                <w:sz w:val="24"/>
              </w:rPr>
            </w:pPr>
            <w:r>
              <w:rPr>
                <w:rFonts w:hint="eastAsia" w:cs="宋体"/>
                <w:b/>
                <w:bCs/>
                <w:sz w:val="24"/>
              </w:rPr>
              <w:t>排放口（编号、名称）/污染源</w:t>
            </w:r>
          </w:p>
        </w:tc>
        <w:tc>
          <w:tcPr>
            <w:tcW w:w="1638" w:type="dxa"/>
            <w:vAlign w:val="center"/>
          </w:tcPr>
          <w:p w14:paraId="37B273AE">
            <w:pPr>
              <w:wordWrap w:val="0"/>
              <w:adjustRightInd w:val="0"/>
              <w:snapToGrid w:val="0"/>
              <w:jc w:val="center"/>
              <w:rPr>
                <w:rFonts w:cs="宋体"/>
                <w:b/>
                <w:bCs/>
                <w:sz w:val="24"/>
              </w:rPr>
            </w:pPr>
            <w:r>
              <w:rPr>
                <w:rFonts w:hint="eastAsia" w:cs="宋体"/>
                <w:b/>
                <w:bCs/>
                <w:sz w:val="24"/>
              </w:rPr>
              <w:t>污染物项目</w:t>
            </w:r>
          </w:p>
        </w:tc>
        <w:tc>
          <w:tcPr>
            <w:tcW w:w="1923" w:type="dxa"/>
            <w:vAlign w:val="center"/>
          </w:tcPr>
          <w:p w14:paraId="540C9F98">
            <w:pPr>
              <w:wordWrap w:val="0"/>
              <w:adjustRightInd w:val="0"/>
              <w:snapToGrid w:val="0"/>
              <w:jc w:val="center"/>
              <w:rPr>
                <w:rFonts w:cs="宋体"/>
                <w:b/>
                <w:bCs/>
                <w:sz w:val="24"/>
              </w:rPr>
            </w:pPr>
            <w:r>
              <w:rPr>
                <w:rFonts w:hint="eastAsia" w:cs="宋体"/>
                <w:b/>
                <w:bCs/>
                <w:sz w:val="24"/>
              </w:rPr>
              <w:t>环境保护措施</w:t>
            </w:r>
          </w:p>
        </w:tc>
        <w:tc>
          <w:tcPr>
            <w:tcW w:w="3422" w:type="dxa"/>
            <w:vAlign w:val="center"/>
          </w:tcPr>
          <w:p w14:paraId="03536BB4">
            <w:pPr>
              <w:wordWrap w:val="0"/>
              <w:adjustRightInd w:val="0"/>
              <w:snapToGrid w:val="0"/>
              <w:jc w:val="center"/>
              <w:rPr>
                <w:rFonts w:cs="宋体"/>
                <w:b/>
                <w:bCs/>
                <w:sz w:val="24"/>
              </w:rPr>
            </w:pPr>
            <w:r>
              <w:rPr>
                <w:rFonts w:hint="eastAsia" w:cs="宋体"/>
                <w:b/>
                <w:bCs/>
                <w:sz w:val="24"/>
              </w:rPr>
              <w:t>执行标准</w:t>
            </w:r>
          </w:p>
        </w:tc>
      </w:tr>
      <w:tr w14:paraId="254C0F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Merge w:val="restart"/>
            <w:vAlign w:val="center"/>
          </w:tcPr>
          <w:p w14:paraId="656C6080">
            <w:pPr>
              <w:wordWrap w:val="0"/>
              <w:adjustRightInd w:val="0"/>
              <w:snapToGrid w:val="0"/>
              <w:jc w:val="center"/>
              <w:rPr>
                <w:rFonts w:cs="宋体"/>
                <w:b/>
                <w:bCs/>
                <w:sz w:val="24"/>
              </w:rPr>
            </w:pPr>
            <w:r>
              <w:rPr>
                <w:rFonts w:hint="eastAsia" w:cs="宋体"/>
                <w:b/>
                <w:bCs/>
                <w:sz w:val="24"/>
              </w:rPr>
              <w:t>大气环境</w:t>
            </w:r>
          </w:p>
        </w:tc>
        <w:tc>
          <w:tcPr>
            <w:tcW w:w="2002" w:type="dxa"/>
            <w:vMerge w:val="restart"/>
            <w:shd w:val="clear" w:color="auto" w:fill="auto"/>
            <w:vAlign w:val="center"/>
          </w:tcPr>
          <w:p w14:paraId="09BEF395">
            <w:pPr>
              <w:widowControl/>
              <w:jc w:val="center"/>
              <w:textAlignment w:val="center"/>
              <w:rPr>
                <w:rFonts w:hint="default" w:eastAsia="宋体" w:cs="宋体"/>
                <w:kern w:val="0"/>
                <w:sz w:val="24"/>
                <w:lang w:val="en-US" w:eastAsia="zh-CN" w:bidi="ar"/>
              </w:rPr>
            </w:pPr>
            <w:r>
              <w:rPr>
                <w:rFonts w:hint="eastAsia" w:cs="宋体"/>
                <w:sz w:val="24"/>
                <w:lang w:eastAsia="zh-CN"/>
              </w:rPr>
              <w:t>1#</w:t>
            </w:r>
            <w:r>
              <w:rPr>
                <w:rFonts w:hint="eastAsia" w:cs="宋体"/>
                <w:sz w:val="24"/>
                <w:lang w:val="en-US" w:eastAsia="zh-CN"/>
              </w:rPr>
              <w:t>排气筒</w:t>
            </w:r>
          </w:p>
        </w:tc>
        <w:tc>
          <w:tcPr>
            <w:tcW w:w="1638" w:type="dxa"/>
            <w:shd w:val="clear" w:color="auto" w:fill="auto"/>
            <w:vAlign w:val="center"/>
          </w:tcPr>
          <w:p w14:paraId="7D934FE0">
            <w:pPr>
              <w:pStyle w:val="57"/>
              <w:wordWrap w:val="0"/>
              <w:rPr>
                <w:rFonts w:cs="宋体"/>
                <w:b w:val="0"/>
                <w:kern w:val="2"/>
                <w:sz w:val="24"/>
                <w:szCs w:val="24"/>
                <w:lang w:val="en-US"/>
              </w:rPr>
            </w:pPr>
            <w:r>
              <w:rPr>
                <w:rFonts w:hint="eastAsia" w:cs="宋体"/>
                <w:b w:val="0"/>
                <w:kern w:val="2"/>
                <w:sz w:val="24"/>
                <w:szCs w:val="24"/>
                <w:lang w:val="en-US"/>
              </w:rPr>
              <w:t>碱雾</w:t>
            </w:r>
          </w:p>
        </w:tc>
        <w:tc>
          <w:tcPr>
            <w:tcW w:w="1923" w:type="dxa"/>
            <w:vMerge w:val="restart"/>
            <w:vAlign w:val="center"/>
          </w:tcPr>
          <w:p w14:paraId="176C3FC9">
            <w:pPr>
              <w:wordWrap w:val="0"/>
              <w:adjustRightInd w:val="0"/>
              <w:snapToGrid w:val="0"/>
              <w:jc w:val="center"/>
              <w:rPr>
                <w:rFonts w:cs="宋体"/>
                <w:sz w:val="24"/>
              </w:rPr>
            </w:pPr>
            <w:r>
              <w:rPr>
                <w:rFonts w:hint="eastAsia" w:cs="宋体"/>
                <w:sz w:val="24"/>
              </w:rPr>
              <w:t>集气罩+喷淋塔+27米排气筒高空排放（高出屋顶3m）</w:t>
            </w:r>
          </w:p>
        </w:tc>
        <w:tc>
          <w:tcPr>
            <w:tcW w:w="3422" w:type="dxa"/>
            <w:vAlign w:val="center"/>
          </w:tcPr>
          <w:p w14:paraId="2ED7BBCA">
            <w:pPr>
              <w:wordWrap w:val="0"/>
              <w:jc w:val="center"/>
              <w:rPr>
                <w:rFonts w:cs="宋体"/>
                <w:sz w:val="24"/>
              </w:rPr>
            </w:pPr>
            <w:r>
              <w:rPr>
                <w:rFonts w:hint="eastAsia" w:cs="宋体"/>
                <w:sz w:val="24"/>
              </w:rPr>
              <w:t>《轧钢工业大气污染物排放标准》（GB28665-2012）表3排放浓度限值</w:t>
            </w:r>
          </w:p>
        </w:tc>
      </w:tr>
      <w:tr w14:paraId="7A48FF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Merge w:val="continue"/>
            <w:vAlign w:val="center"/>
          </w:tcPr>
          <w:p w14:paraId="720C8F67">
            <w:pPr>
              <w:wordWrap w:val="0"/>
              <w:adjustRightInd w:val="0"/>
              <w:snapToGrid w:val="0"/>
              <w:jc w:val="center"/>
              <w:rPr>
                <w:rFonts w:cs="宋体"/>
                <w:b/>
                <w:bCs/>
                <w:sz w:val="24"/>
              </w:rPr>
            </w:pPr>
          </w:p>
        </w:tc>
        <w:tc>
          <w:tcPr>
            <w:tcW w:w="2002" w:type="dxa"/>
            <w:vMerge w:val="continue"/>
            <w:shd w:val="clear" w:color="auto" w:fill="auto"/>
            <w:vAlign w:val="center"/>
          </w:tcPr>
          <w:p w14:paraId="66E6501C">
            <w:pPr>
              <w:widowControl/>
              <w:jc w:val="center"/>
              <w:textAlignment w:val="center"/>
              <w:rPr>
                <w:rFonts w:cs="宋体"/>
                <w:kern w:val="0"/>
                <w:sz w:val="24"/>
                <w:lang w:bidi="ar"/>
              </w:rPr>
            </w:pPr>
          </w:p>
        </w:tc>
        <w:tc>
          <w:tcPr>
            <w:tcW w:w="1638" w:type="dxa"/>
            <w:shd w:val="clear" w:color="auto" w:fill="auto"/>
            <w:vAlign w:val="center"/>
          </w:tcPr>
          <w:p w14:paraId="2C9C3F61">
            <w:pPr>
              <w:pStyle w:val="57"/>
              <w:wordWrap w:val="0"/>
              <w:rPr>
                <w:rFonts w:cs="宋体"/>
                <w:b w:val="0"/>
                <w:kern w:val="2"/>
                <w:sz w:val="24"/>
                <w:szCs w:val="24"/>
                <w:lang w:val="en-US"/>
              </w:rPr>
            </w:pPr>
            <w:r>
              <w:rPr>
                <w:rFonts w:hint="eastAsia" w:cs="宋体"/>
                <w:b w:val="0"/>
                <w:kern w:val="2"/>
                <w:sz w:val="24"/>
                <w:szCs w:val="24"/>
                <w:lang w:val="en-US"/>
              </w:rPr>
              <w:t>颗粒物、氮氧化物、二氧化硫</w:t>
            </w:r>
          </w:p>
        </w:tc>
        <w:tc>
          <w:tcPr>
            <w:tcW w:w="1923" w:type="dxa"/>
            <w:vMerge w:val="continue"/>
            <w:shd w:val="clear" w:color="auto" w:fill="auto"/>
            <w:vAlign w:val="center"/>
          </w:tcPr>
          <w:p w14:paraId="013833B9">
            <w:pPr>
              <w:wordWrap w:val="0"/>
              <w:adjustRightInd w:val="0"/>
              <w:snapToGrid w:val="0"/>
              <w:jc w:val="center"/>
              <w:rPr>
                <w:rFonts w:cs="宋体"/>
                <w:sz w:val="24"/>
              </w:rPr>
            </w:pPr>
          </w:p>
        </w:tc>
        <w:tc>
          <w:tcPr>
            <w:tcW w:w="3422" w:type="dxa"/>
            <w:vAlign w:val="center"/>
          </w:tcPr>
          <w:p w14:paraId="6424FE9F">
            <w:pPr>
              <w:wordWrap w:val="0"/>
              <w:jc w:val="center"/>
              <w:rPr>
                <w:rFonts w:cs="宋体"/>
                <w:sz w:val="24"/>
              </w:rPr>
            </w:pPr>
            <w:r>
              <w:rPr>
                <w:rFonts w:hint="eastAsia" w:cs="宋体"/>
                <w:sz w:val="24"/>
              </w:rPr>
              <w:t>《陕西省工业炉窑大气污染物综合治理方案》重点区排放限值要求</w:t>
            </w:r>
          </w:p>
        </w:tc>
      </w:tr>
      <w:tr w14:paraId="36D074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Align w:val="center"/>
          </w:tcPr>
          <w:p w14:paraId="5D7983C7">
            <w:pPr>
              <w:wordWrap w:val="0"/>
              <w:adjustRightInd w:val="0"/>
              <w:snapToGrid w:val="0"/>
              <w:jc w:val="center"/>
              <w:rPr>
                <w:rFonts w:cs="宋体"/>
                <w:b/>
                <w:bCs/>
                <w:sz w:val="24"/>
              </w:rPr>
            </w:pPr>
            <w:r>
              <w:rPr>
                <w:rFonts w:hint="eastAsia" w:cs="宋体"/>
                <w:b/>
                <w:bCs/>
                <w:sz w:val="24"/>
              </w:rPr>
              <w:t>地表水环境</w:t>
            </w:r>
          </w:p>
        </w:tc>
        <w:tc>
          <w:tcPr>
            <w:tcW w:w="2002" w:type="dxa"/>
            <w:vAlign w:val="center"/>
          </w:tcPr>
          <w:p w14:paraId="19C13FD6">
            <w:pPr>
              <w:wordWrap w:val="0"/>
              <w:adjustRightInd w:val="0"/>
              <w:snapToGrid w:val="0"/>
              <w:jc w:val="center"/>
              <w:rPr>
                <w:rFonts w:cs="宋体"/>
                <w:sz w:val="24"/>
              </w:rPr>
            </w:pPr>
            <w:r>
              <w:rPr>
                <w:rFonts w:hint="eastAsia" w:cs="宋体"/>
                <w:sz w:val="24"/>
              </w:rPr>
              <w:t>DW001</w:t>
            </w:r>
          </w:p>
          <w:p w14:paraId="25BAC6B7">
            <w:pPr>
              <w:wordWrap w:val="0"/>
              <w:adjustRightInd w:val="0"/>
              <w:snapToGrid w:val="0"/>
              <w:jc w:val="center"/>
              <w:rPr>
                <w:rFonts w:cs="宋体"/>
                <w:sz w:val="24"/>
              </w:rPr>
            </w:pPr>
            <w:r>
              <w:rPr>
                <w:rFonts w:hint="eastAsia" w:cs="宋体"/>
                <w:sz w:val="24"/>
              </w:rPr>
              <w:t>2-8车间排放口</w:t>
            </w:r>
          </w:p>
        </w:tc>
        <w:tc>
          <w:tcPr>
            <w:tcW w:w="1638" w:type="dxa"/>
            <w:vAlign w:val="center"/>
          </w:tcPr>
          <w:p w14:paraId="09662962">
            <w:pPr>
              <w:wordWrap w:val="0"/>
              <w:adjustRightInd w:val="0"/>
              <w:snapToGrid w:val="0"/>
              <w:jc w:val="center"/>
              <w:rPr>
                <w:rFonts w:cs="宋体"/>
                <w:sz w:val="24"/>
              </w:rPr>
            </w:pPr>
            <w:r>
              <w:rPr>
                <w:rFonts w:hint="eastAsia" w:cs="宋体"/>
                <w:sz w:val="24"/>
              </w:rPr>
              <w:t>pH、COD、SS、石油类</w:t>
            </w:r>
          </w:p>
        </w:tc>
        <w:tc>
          <w:tcPr>
            <w:tcW w:w="1923" w:type="dxa"/>
            <w:vAlign w:val="center"/>
          </w:tcPr>
          <w:p w14:paraId="2F4E5258">
            <w:pPr>
              <w:wordWrap w:val="0"/>
              <w:adjustRightInd w:val="0"/>
              <w:snapToGrid w:val="0"/>
              <w:jc w:val="center"/>
              <w:rPr>
                <w:rFonts w:cs="宋体"/>
                <w:sz w:val="24"/>
              </w:rPr>
            </w:pPr>
            <w:r>
              <w:rPr>
                <w:rFonts w:hint="eastAsia" w:cs="宋体"/>
                <w:sz w:val="24"/>
              </w:rPr>
              <w:t>①项目软水制备排水直接排入园区污水管网；</w:t>
            </w:r>
          </w:p>
          <w:p w14:paraId="6AB9C738">
            <w:pPr>
              <w:wordWrap w:val="0"/>
              <w:adjustRightInd w:val="0"/>
              <w:snapToGrid w:val="0"/>
              <w:jc w:val="center"/>
              <w:rPr>
                <w:rFonts w:cs="宋体"/>
                <w:sz w:val="24"/>
              </w:rPr>
            </w:pPr>
            <w:r>
              <w:rPr>
                <w:rFonts w:hint="eastAsia" w:cs="宋体"/>
                <w:sz w:val="24"/>
              </w:rPr>
              <w:t>②电解洗废水采用“钨回收系统”处理，主要采用“蒸发+冷凝”工艺，蒸干后的干化物外售物资回收公司，蒸发冷凝水排入园区污水管网；</w:t>
            </w:r>
          </w:p>
          <w:p w14:paraId="741C9398">
            <w:pPr>
              <w:wordWrap w:val="0"/>
              <w:adjustRightInd w:val="0"/>
              <w:snapToGrid w:val="0"/>
              <w:jc w:val="center"/>
              <w:rPr>
                <w:rFonts w:cs="宋体"/>
                <w:sz w:val="24"/>
              </w:rPr>
            </w:pPr>
            <w:r>
              <w:rPr>
                <w:rFonts w:hint="eastAsia" w:cs="宋体"/>
                <w:sz w:val="24"/>
              </w:rPr>
              <w:t>③水洗废水部分用作电解碱液配置，部分进入“钨回收系统”处理。</w:t>
            </w:r>
          </w:p>
        </w:tc>
        <w:tc>
          <w:tcPr>
            <w:tcW w:w="3422" w:type="dxa"/>
            <w:vAlign w:val="center"/>
          </w:tcPr>
          <w:p w14:paraId="07572FC6">
            <w:pPr>
              <w:wordWrap w:val="0"/>
              <w:adjustRightInd w:val="0"/>
              <w:snapToGrid w:val="0"/>
              <w:jc w:val="center"/>
              <w:rPr>
                <w:rFonts w:cs="宋体"/>
                <w:sz w:val="24"/>
              </w:rPr>
            </w:pPr>
            <w:r>
              <w:rPr>
                <w:rFonts w:hint="eastAsia" w:cs="宋体"/>
                <w:sz w:val="24"/>
              </w:rPr>
              <w:t>《污水综合排放标准》（GB8978-1996）中三级标准和《污水排入城镇下水道水质标准》（GB/T31962-2015）B级标准</w:t>
            </w:r>
          </w:p>
        </w:tc>
      </w:tr>
      <w:tr w14:paraId="22E589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Align w:val="center"/>
          </w:tcPr>
          <w:p w14:paraId="76180D92">
            <w:pPr>
              <w:wordWrap w:val="0"/>
              <w:adjustRightInd w:val="0"/>
              <w:snapToGrid w:val="0"/>
              <w:jc w:val="center"/>
              <w:rPr>
                <w:rFonts w:cs="宋体"/>
                <w:b/>
                <w:bCs/>
                <w:sz w:val="24"/>
              </w:rPr>
            </w:pPr>
            <w:r>
              <w:rPr>
                <w:rFonts w:hint="eastAsia" w:cs="宋体"/>
                <w:b/>
                <w:bCs/>
                <w:sz w:val="24"/>
              </w:rPr>
              <w:t>声环境</w:t>
            </w:r>
          </w:p>
        </w:tc>
        <w:tc>
          <w:tcPr>
            <w:tcW w:w="2002" w:type="dxa"/>
            <w:vAlign w:val="center"/>
          </w:tcPr>
          <w:p w14:paraId="13CD9141">
            <w:pPr>
              <w:pStyle w:val="57"/>
              <w:wordWrap w:val="0"/>
              <w:rPr>
                <w:rFonts w:cs="宋体"/>
                <w:b w:val="0"/>
                <w:bCs/>
                <w:sz w:val="24"/>
                <w:szCs w:val="24"/>
                <w:lang w:val="en-US"/>
              </w:rPr>
            </w:pPr>
            <w:r>
              <w:rPr>
                <w:rFonts w:hint="eastAsia" w:cs="宋体"/>
                <w:b w:val="0"/>
                <w:bCs/>
                <w:sz w:val="24"/>
                <w:szCs w:val="24"/>
                <w:lang w:val="en-US"/>
              </w:rPr>
              <w:t>设备噪声</w:t>
            </w:r>
          </w:p>
        </w:tc>
        <w:tc>
          <w:tcPr>
            <w:tcW w:w="1638" w:type="dxa"/>
            <w:vAlign w:val="center"/>
          </w:tcPr>
          <w:p w14:paraId="504A1DCA">
            <w:pPr>
              <w:wordWrap w:val="0"/>
              <w:adjustRightInd w:val="0"/>
              <w:snapToGrid w:val="0"/>
              <w:jc w:val="center"/>
              <w:rPr>
                <w:rFonts w:cs="宋体"/>
                <w:bCs/>
                <w:sz w:val="24"/>
              </w:rPr>
            </w:pPr>
            <w:r>
              <w:rPr>
                <w:rFonts w:hint="eastAsia" w:cs="宋体"/>
                <w:bCs/>
                <w:sz w:val="24"/>
              </w:rPr>
              <w:t>dB（A）</w:t>
            </w:r>
          </w:p>
        </w:tc>
        <w:tc>
          <w:tcPr>
            <w:tcW w:w="1923" w:type="dxa"/>
            <w:vAlign w:val="center"/>
          </w:tcPr>
          <w:p w14:paraId="4665AA8B">
            <w:pPr>
              <w:wordWrap w:val="0"/>
              <w:adjustRightInd w:val="0"/>
              <w:snapToGrid w:val="0"/>
              <w:jc w:val="center"/>
              <w:rPr>
                <w:rFonts w:cs="宋体"/>
                <w:sz w:val="24"/>
              </w:rPr>
            </w:pPr>
            <w:r>
              <w:rPr>
                <w:rFonts w:hint="eastAsia" w:cs="宋体"/>
                <w:sz w:val="24"/>
              </w:rPr>
              <w:t>生产设备等采用低噪声型设备，加强设备的维护和保养；合理布局；采用建筑物隔声</w:t>
            </w:r>
          </w:p>
        </w:tc>
        <w:tc>
          <w:tcPr>
            <w:tcW w:w="3422" w:type="dxa"/>
            <w:vAlign w:val="center"/>
          </w:tcPr>
          <w:p w14:paraId="454C805F">
            <w:pPr>
              <w:wordWrap w:val="0"/>
              <w:adjustRightInd w:val="0"/>
              <w:snapToGrid w:val="0"/>
              <w:jc w:val="center"/>
              <w:rPr>
                <w:rFonts w:cs="宋体"/>
                <w:sz w:val="24"/>
              </w:rPr>
            </w:pPr>
            <w:r>
              <w:rPr>
                <w:rFonts w:hint="eastAsia" w:cs="宋体"/>
                <w:sz w:val="24"/>
              </w:rPr>
              <w:t>《工业企业厂界环境噪声排放标准》（GB12348-2008）中3类标准</w:t>
            </w:r>
          </w:p>
        </w:tc>
      </w:tr>
      <w:tr w14:paraId="4FFA7C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Align w:val="center"/>
          </w:tcPr>
          <w:p w14:paraId="5ACEC2FF">
            <w:pPr>
              <w:wordWrap w:val="0"/>
              <w:adjustRightInd w:val="0"/>
              <w:snapToGrid w:val="0"/>
              <w:jc w:val="center"/>
              <w:rPr>
                <w:rFonts w:cs="宋体"/>
                <w:b/>
                <w:bCs/>
                <w:sz w:val="24"/>
              </w:rPr>
            </w:pPr>
            <w:r>
              <w:rPr>
                <w:rFonts w:hint="eastAsia" w:cs="宋体"/>
                <w:b/>
                <w:bCs/>
                <w:sz w:val="24"/>
              </w:rPr>
              <w:t>电磁辐射</w:t>
            </w:r>
          </w:p>
        </w:tc>
        <w:tc>
          <w:tcPr>
            <w:tcW w:w="2002" w:type="dxa"/>
            <w:vAlign w:val="center"/>
          </w:tcPr>
          <w:p w14:paraId="491BA8AC">
            <w:pPr>
              <w:wordWrap w:val="0"/>
              <w:adjustRightInd w:val="0"/>
              <w:snapToGrid w:val="0"/>
              <w:jc w:val="center"/>
              <w:rPr>
                <w:rFonts w:cs="宋体"/>
                <w:sz w:val="24"/>
              </w:rPr>
            </w:pPr>
            <w:r>
              <w:rPr>
                <w:rFonts w:hint="eastAsia" w:cs="宋体"/>
                <w:sz w:val="24"/>
              </w:rPr>
              <w:t>/</w:t>
            </w:r>
          </w:p>
        </w:tc>
        <w:tc>
          <w:tcPr>
            <w:tcW w:w="1638" w:type="dxa"/>
            <w:vAlign w:val="center"/>
          </w:tcPr>
          <w:p w14:paraId="4522A7E0">
            <w:pPr>
              <w:wordWrap w:val="0"/>
              <w:adjustRightInd w:val="0"/>
              <w:snapToGrid w:val="0"/>
              <w:jc w:val="center"/>
              <w:rPr>
                <w:rFonts w:cs="宋体"/>
                <w:sz w:val="24"/>
              </w:rPr>
            </w:pPr>
            <w:r>
              <w:rPr>
                <w:rFonts w:hint="eastAsia" w:cs="宋体"/>
                <w:sz w:val="24"/>
              </w:rPr>
              <w:t>/</w:t>
            </w:r>
          </w:p>
        </w:tc>
        <w:tc>
          <w:tcPr>
            <w:tcW w:w="1923" w:type="dxa"/>
            <w:vAlign w:val="center"/>
          </w:tcPr>
          <w:p w14:paraId="5D8F0A99">
            <w:pPr>
              <w:wordWrap w:val="0"/>
              <w:adjustRightInd w:val="0"/>
              <w:snapToGrid w:val="0"/>
              <w:jc w:val="center"/>
              <w:rPr>
                <w:rFonts w:cs="宋体"/>
                <w:sz w:val="24"/>
              </w:rPr>
            </w:pPr>
            <w:r>
              <w:rPr>
                <w:rFonts w:hint="eastAsia" w:cs="宋体"/>
                <w:sz w:val="24"/>
              </w:rPr>
              <w:t>/</w:t>
            </w:r>
          </w:p>
        </w:tc>
        <w:tc>
          <w:tcPr>
            <w:tcW w:w="3422" w:type="dxa"/>
            <w:vAlign w:val="center"/>
          </w:tcPr>
          <w:p w14:paraId="539681B2">
            <w:pPr>
              <w:wordWrap w:val="0"/>
              <w:adjustRightInd w:val="0"/>
              <w:snapToGrid w:val="0"/>
              <w:jc w:val="center"/>
              <w:rPr>
                <w:rFonts w:cs="宋体"/>
                <w:sz w:val="24"/>
              </w:rPr>
            </w:pPr>
            <w:r>
              <w:rPr>
                <w:rFonts w:hint="eastAsia" w:cs="宋体"/>
                <w:sz w:val="24"/>
              </w:rPr>
              <w:t>/</w:t>
            </w:r>
          </w:p>
        </w:tc>
      </w:tr>
      <w:tr w14:paraId="78B507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Align w:val="center"/>
          </w:tcPr>
          <w:p w14:paraId="5774133F">
            <w:pPr>
              <w:wordWrap w:val="0"/>
              <w:adjustRightInd w:val="0"/>
              <w:snapToGrid w:val="0"/>
              <w:jc w:val="center"/>
              <w:rPr>
                <w:rFonts w:cs="宋体"/>
                <w:b/>
                <w:bCs/>
                <w:sz w:val="24"/>
              </w:rPr>
            </w:pPr>
            <w:r>
              <w:rPr>
                <w:rFonts w:hint="eastAsia" w:cs="宋体"/>
                <w:b/>
                <w:bCs/>
                <w:sz w:val="24"/>
              </w:rPr>
              <w:t>固体废物</w:t>
            </w:r>
          </w:p>
        </w:tc>
        <w:tc>
          <w:tcPr>
            <w:tcW w:w="8985" w:type="dxa"/>
            <w:gridSpan w:val="4"/>
            <w:vAlign w:val="center"/>
          </w:tcPr>
          <w:p w14:paraId="1B132C69">
            <w:pPr>
              <w:pStyle w:val="111"/>
              <w:rPr>
                <w:rFonts w:hint="default"/>
                <w:color w:val="auto"/>
              </w:rPr>
            </w:pPr>
            <w:r>
              <w:rPr>
                <w:rFonts w:hint="eastAsia"/>
                <w:color w:val="auto"/>
                <w:lang w:eastAsia="zh-CN"/>
              </w:rPr>
              <w:t>1.</w:t>
            </w:r>
            <w:r>
              <w:rPr>
                <w:color w:val="auto"/>
              </w:rPr>
              <w:t>一般工业固体废物</w:t>
            </w:r>
          </w:p>
          <w:p w14:paraId="499B676D">
            <w:pPr>
              <w:pStyle w:val="111"/>
              <w:rPr>
                <w:rFonts w:hint="default"/>
                <w:color w:val="auto"/>
              </w:rPr>
            </w:pPr>
            <w:r>
              <w:rPr>
                <w:color w:val="auto"/>
              </w:rPr>
              <w:t>企业在</w:t>
            </w:r>
            <w:r>
              <w:rPr>
                <w:rFonts w:cs="Times New Roman"/>
                <w:color w:val="auto"/>
              </w:rPr>
              <w:t>2-8车间1楼设置一般固废暂存区，占地50m</w:t>
            </w:r>
            <w:r>
              <w:rPr>
                <w:rFonts w:cs="Times New Roman"/>
                <w:color w:val="auto"/>
                <w:vertAlign w:val="superscript"/>
              </w:rPr>
              <w:t>2</w:t>
            </w:r>
            <w:r>
              <w:rPr>
                <w:color w:val="auto"/>
              </w:rPr>
              <w:t>，本次扩建不新增一般固废暂存区，现有一般固废暂存区50m</w:t>
            </w:r>
            <w:r>
              <w:rPr>
                <w:color w:val="auto"/>
                <w:vertAlign w:val="superscript"/>
              </w:rPr>
              <w:t>2，</w:t>
            </w:r>
            <w:r>
              <w:rPr>
                <w:color w:val="auto"/>
              </w:rPr>
              <w:t>可满足本项目一般固废暂存，一般固废暂存区满足防渗漏、防雨淋、防扬尘等环境保护要求。</w:t>
            </w:r>
          </w:p>
          <w:p w14:paraId="69DB8BAC">
            <w:pPr>
              <w:pStyle w:val="111"/>
              <w:rPr>
                <w:rFonts w:hint="default"/>
                <w:color w:val="auto"/>
              </w:rPr>
            </w:pPr>
            <w:r>
              <w:rPr>
                <w:color w:val="auto"/>
              </w:rPr>
              <w:t>本环评要求企业加强固体废物档案管理制度，将临时储存的一般工业固体废物的种类、数量和外运的一般工业固体废物的种类、数量详细记录在案，长期保存，供随时查阅。</w:t>
            </w:r>
          </w:p>
          <w:p w14:paraId="268A45D7">
            <w:pPr>
              <w:pStyle w:val="111"/>
              <w:rPr>
                <w:rFonts w:hint="default"/>
                <w:color w:val="auto"/>
              </w:rPr>
            </w:pPr>
            <w:r>
              <w:rPr>
                <w:rFonts w:hint="eastAsia"/>
                <w:color w:val="auto"/>
                <w:lang w:eastAsia="zh-CN"/>
              </w:rPr>
              <w:t>2.</w:t>
            </w:r>
            <w:r>
              <w:rPr>
                <w:color w:val="auto"/>
              </w:rPr>
              <w:t>危险废物</w:t>
            </w:r>
          </w:p>
          <w:p w14:paraId="21A6025A">
            <w:pPr>
              <w:pStyle w:val="111"/>
              <w:rPr>
                <w:rFonts w:hint="default"/>
                <w:b/>
                <w:color w:val="auto"/>
                <w:kern w:val="0"/>
                <w:lang w:val="en-GB"/>
              </w:rPr>
            </w:pPr>
            <w:r>
              <w:rPr>
                <w:color w:val="auto"/>
              </w:rPr>
              <w:t>企业已建设危废贮存间，本项目不新增危废贮存间，依托现有危废贮存间，危废贮存间面积30m</w:t>
            </w:r>
            <w:r>
              <w:rPr>
                <w:color w:val="auto"/>
                <w:vertAlign w:val="superscript"/>
              </w:rPr>
              <w:t>2</w:t>
            </w:r>
            <w:r>
              <w:rPr>
                <w:color w:val="auto"/>
              </w:rPr>
              <w:t>，项目危废贮存间已于2024年9月验收通过，现有危废暂存间设置满足《危险废物贮存污染控制标准》（GB18597-2023）等相关要求，其暂存能力仍有富余，可满足本次新增危险废物的贮存要求。</w:t>
            </w:r>
          </w:p>
        </w:tc>
      </w:tr>
      <w:tr w14:paraId="34FDFE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Align w:val="center"/>
          </w:tcPr>
          <w:p w14:paraId="53FAB871">
            <w:pPr>
              <w:wordWrap w:val="0"/>
              <w:adjustRightInd w:val="0"/>
              <w:snapToGrid w:val="0"/>
              <w:jc w:val="center"/>
              <w:rPr>
                <w:rFonts w:cs="宋体"/>
                <w:b/>
                <w:bCs/>
                <w:sz w:val="24"/>
              </w:rPr>
            </w:pPr>
            <w:r>
              <w:rPr>
                <w:rFonts w:hint="eastAsia" w:cs="宋体"/>
                <w:b/>
                <w:bCs/>
                <w:sz w:val="24"/>
              </w:rPr>
              <w:t>土壤及地下水污染防治措施</w:t>
            </w:r>
          </w:p>
        </w:tc>
        <w:tc>
          <w:tcPr>
            <w:tcW w:w="8985" w:type="dxa"/>
            <w:gridSpan w:val="4"/>
            <w:vAlign w:val="center"/>
          </w:tcPr>
          <w:p w14:paraId="5482B246">
            <w:pPr>
              <w:pStyle w:val="111"/>
              <w:rPr>
                <w:rFonts w:hint="default"/>
                <w:color w:val="auto"/>
              </w:rPr>
            </w:pPr>
            <w:r>
              <w:rPr>
                <w:color w:val="auto"/>
              </w:rPr>
              <w:t>本项目租赁标准化厂房，车间地面整体目前已进行混凝土硬化处理，危废暂存间、生产线、污水处理、碱喷淋塔满足相应防腐防渗要求，且项目酸碱洗槽体均采取地上布置（离地式），满足可视化要求，运营期加强以上区域的管理，定期进行检查、维护，一旦发生泄漏，及时进行处理，避免对土壤和地下水造成污染，并且采用分区防渗，项目无地下水污染途径。另外根据现场勘查，项目不涉及集中式饮用水水源和热水、矿泉水、温泉等特殊地下水资源保护区。故项目建设对地下水环境影响较小。</w:t>
            </w:r>
          </w:p>
        </w:tc>
      </w:tr>
      <w:tr w14:paraId="1DF892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Align w:val="center"/>
          </w:tcPr>
          <w:p w14:paraId="0F192A87">
            <w:pPr>
              <w:wordWrap w:val="0"/>
              <w:adjustRightInd w:val="0"/>
              <w:snapToGrid w:val="0"/>
              <w:jc w:val="center"/>
              <w:rPr>
                <w:rFonts w:cs="宋体"/>
                <w:b/>
                <w:bCs/>
                <w:sz w:val="24"/>
              </w:rPr>
            </w:pPr>
            <w:r>
              <w:rPr>
                <w:rFonts w:hint="eastAsia" w:cs="宋体"/>
                <w:b/>
                <w:bCs/>
                <w:sz w:val="24"/>
              </w:rPr>
              <w:t>生态保护措施</w:t>
            </w:r>
          </w:p>
        </w:tc>
        <w:tc>
          <w:tcPr>
            <w:tcW w:w="8985" w:type="dxa"/>
            <w:gridSpan w:val="4"/>
            <w:vAlign w:val="center"/>
          </w:tcPr>
          <w:p w14:paraId="53812F18">
            <w:pPr>
              <w:wordWrap w:val="0"/>
              <w:adjustRightInd w:val="0"/>
              <w:snapToGrid w:val="0"/>
              <w:rPr>
                <w:rFonts w:cs="宋体"/>
                <w:sz w:val="24"/>
              </w:rPr>
            </w:pPr>
            <w:r>
              <w:rPr>
                <w:rFonts w:hint="eastAsia" w:cs="宋体"/>
                <w:sz w:val="24"/>
              </w:rPr>
              <w:t>/</w:t>
            </w:r>
          </w:p>
        </w:tc>
      </w:tr>
      <w:tr w14:paraId="6B6694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Align w:val="center"/>
          </w:tcPr>
          <w:p w14:paraId="6416FA60">
            <w:pPr>
              <w:wordWrap w:val="0"/>
              <w:adjustRightInd w:val="0"/>
              <w:snapToGrid w:val="0"/>
              <w:jc w:val="center"/>
              <w:rPr>
                <w:rFonts w:cs="宋体"/>
                <w:b/>
                <w:bCs/>
                <w:spacing w:val="-8"/>
                <w:sz w:val="24"/>
              </w:rPr>
            </w:pPr>
            <w:r>
              <w:rPr>
                <w:rFonts w:hint="eastAsia" w:cs="宋体"/>
                <w:b/>
                <w:bCs/>
                <w:spacing w:val="-8"/>
                <w:sz w:val="24"/>
              </w:rPr>
              <w:t>环境风险</w:t>
            </w:r>
          </w:p>
          <w:p w14:paraId="60902258">
            <w:pPr>
              <w:wordWrap w:val="0"/>
              <w:adjustRightInd w:val="0"/>
              <w:snapToGrid w:val="0"/>
              <w:jc w:val="center"/>
              <w:rPr>
                <w:rFonts w:cs="宋体"/>
                <w:b/>
                <w:bCs/>
                <w:spacing w:val="-8"/>
                <w:sz w:val="24"/>
              </w:rPr>
            </w:pPr>
            <w:r>
              <w:rPr>
                <w:rFonts w:hint="eastAsia" w:cs="宋体"/>
                <w:b/>
                <w:bCs/>
                <w:spacing w:val="-8"/>
                <w:sz w:val="24"/>
              </w:rPr>
              <w:t>防范措施</w:t>
            </w:r>
          </w:p>
        </w:tc>
        <w:tc>
          <w:tcPr>
            <w:tcW w:w="8985" w:type="dxa"/>
            <w:gridSpan w:val="4"/>
            <w:vAlign w:val="center"/>
          </w:tcPr>
          <w:p w14:paraId="14827246">
            <w:pPr>
              <w:pStyle w:val="111"/>
              <w:wordWrap w:val="0"/>
              <w:rPr>
                <w:rFonts w:hint="default"/>
                <w:color w:val="auto"/>
              </w:rPr>
            </w:pPr>
            <w:r>
              <w:rPr>
                <w:color w:val="auto"/>
              </w:rPr>
              <w:t>制定完善安全管理、降低风险规章制度，在管理、控制、监督、生产和维</w:t>
            </w:r>
            <w:r>
              <w:rPr>
                <w:rFonts w:hint="eastAsia"/>
                <w:color w:val="auto"/>
                <w:lang w:eastAsia="zh-CN"/>
              </w:rPr>
              <w:t>护等</w:t>
            </w:r>
            <w:r>
              <w:rPr>
                <w:color w:val="auto"/>
              </w:rPr>
              <w:t>方面采取成熟的降低事故风险的经验和措施。</w:t>
            </w:r>
          </w:p>
        </w:tc>
      </w:tr>
      <w:tr w14:paraId="3FB511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77" w:type="dxa"/>
            <w:vAlign w:val="center"/>
          </w:tcPr>
          <w:p w14:paraId="596B924C">
            <w:pPr>
              <w:wordWrap w:val="0"/>
              <w:adjustRightInd w:val="0"/>
              <w:snapToGrid w:val="0"/>
              <w:jc w:val="center"/>
              <w:rPr>
                <w:rFonts w:cs="宋体"/>
                <w:b/>
                <w:bCs/>
                <w:spacing w:val="-8"/>
                <w:sz w:val="24"/>
              </w:rPr>
            </w:pPr>
            <w:r>
              <w:rPr>
                <w:rFonts w:hint="eastAsia" w:cs="宋体"/>
                <w:b/>
                <w:bCs/>
                <w:spacing w:val="-8"/>
                <w:sz w:val="24"/>
              </w:rPr>
              <w:t>其他环境</w:t>
            </w:r>
          </w:p>
          <w:p w14:paraId="0ED85DEE">
            <w:pPr>
              <w:wordWrap w:val="0"/>
              <w:adjustRightInd w:val="0"/>
              <w:snapToGrid w:val="0"/>
              <w:jc w:val="center"/>
              <w:rPr>
                <w:rFonts w:cs="宋体"/>
                <w:b/>
                <w:bCs/>
                <w:spacing w:val="-8"/>
                <w:sz w:val="24"/>
              </w:rPr>
            </w:pPr>
            <w:r>
              <w:rPr>
                <w:rFonts w:hint="eastAsia" w:cs="宋体"/>
                <w:b/>
                <w:bCs/>
                <w:spacing w:val="-8"/>
                <w:sz w:val="24"/>
              </w:rPr>
              <w:t>管理要求</w:t>
            </w:r>
          </w:p>
        </w:tc>
        <w:tc>
          <w:tcPr>
            <w:tcW w:w="8985" w:type="dxa"/>
            <w:gridSpan w:val="4"/>
            <w:vAlign w:val="center"/>
          </w:tcPr>
          <w:p w14:paraId="1D9831A7">
            <w:pPr>
              <w:wordWrap w:val="0"/>
              <w:spacing w:line="336" w:lineRule="auto"/>
              <w:jc w:val="left"/>
              <w:rPr>
                <w:b/>
                <w:bCs/>
                <w:sz w:val="24"/>
              </w:rPr>
            </w:pPr>
            <w:r>
              <w:rPr>
                <w:rFonts w:hint="eastAsia"/>
                <w:b/>
                <w:bCs/>
                <w:sz w:val="24"/>
                <w:lang w:eastAsia="zh-CN"/>
              </w:rPr>
              <w:t>1.</w:t>
            </w:r>
            <w:r>
              <w:rPr>
                <w:rFonts w:hint="eastAsia"/>
                <w:b/>
                <w:bCs/>
                <w:sz w:val="24"/>
              </w:rPr>
              <w:t>环境管理</w:t>
            </w:r>
          </w:p>
          <w:p w14:paraId="72B5A45D">
            <w:pPr>
              <w:pStyle w:val="111"/>
              <w:rPr>
                <w:rFonts w:hint="default"/>
                <w:color w:val="auto"/>
              </w:rPr>
            </w:pPr>
            <w:r>
              <w:rPr>
                <w:color w:val="auto"/>
              </w:rPr>
              <w:t>根据《排污许可证申请与核发技术规范－总则》（HJ942-2018）等相关环境管理与监测计划等有关内容，对项目区内的各项环保设施的运行情况进行管理检查。主要环境管理内容应包括：</w:t>
            </w:r>
          </w:p>
          <w:p w14:paraId="3D6F75AD">
            <w:pPr>
              <w:pStyle w:val="111"/>
              <w:ind w:left="479" w:leftChars="228" w:firstLine="0" w:firstLineChars="0"/>
              <w:rPr>
                <w:rFonts w:hint="default"/>
                <w:color w:val="auto"/>
              </w:rPr>
            </w:pPr>
            <w:r>
              <w:rPr>
                <w:rFonts w:hint="eastAsia"/>
                <w:color w:val="auto"/>
                <w:lang w:eastAsia="zh-CN"/>
              </w:rPr>
              <w:t>1.</w:t>
            </w:r>
            <w:r>
              <w:rPr>
                <w:color w:val="auto"/>
              </w:rPr>
              <w:t>建立日常环境管理台账，具体要求：</w:t>
            </w:r>
            <w:r>
              <w:rPr>
                <w:color w:val="auto"/>
              </w:rPr>
              <w:cr/>
            </w:r>
            <w:r>
              <w:rPr>
                <w:color w:val="auto"/>
              </w:rPr>
              <w:t>（1）生产运行情况</w:t>
            </w:r>
            <w:r>
              <w:rPr>
                <w:color w:val="auto"/>
              </w:rPr>
              <w:cr/>
            </w:r>
            <w:r>
              <w:rPr>
                <w:color w:val="auto"/>
              </w:rPr>
              <w:t>记录各生产装置运行状况，包括运行小时数、温度、压力、运行负荷等。</w:t>
            </w:r>
            <w:r>
              <w:rPr>
                <w:color w:val="auto"/>
              </w:rPr>
              <w:cr/>
            </w:r>
            <w:r>
              <w:rPr>
                <w:color w:val="auto"/>
              </w:rPr>
              <w:t>（2）固体废物和危险废物记录要求</w:t>
            </w:r>
          </w:p>
          <w:p w14:paraId="78024B48">
            <w:pPr>
              <w:pStyle w:val="111"/>
              <w:rPr>
                <w:rFonts w:hint="default"/>
                <w:color w:val="auto"/>
              </w:rPr>
            </w:pPr>
            <w:r>
              <w:rPr>
                <w:color w:val="auto"/>
              </w:rPr>
              <w:t>记录检测期间固体废物的产生量、综合利用量、处理量、贮存量等，危险废物记录详细去向。</w:t>
            </w:r>
            <w:r>
              <w:rPr>
                <w:color w:val="auto"/>
              </w:rPr>
              <w:cr/>
            </w:r>
            <w:r>
              <w:rPr>
                <w:rFonts w:hint="eastAsia"/>
                <w:color w:val="auto"/>
                <w:lang w:eastAsia="zh-CN"/>
              </w:rPr>
              <w:t>2.</w:t>
            </w:r>
            <w:r>
              <w:rPr>
                <w:b/>
                <w:bCs/>
                <w:color w:val="auto"/>
              </w:rPr>
              <w:t>竣工环境保护验收</w:t>
            </w:r>
          </w:p>
          <w:p w14:paraId="0B0EF668">
            <w:pPr>
              <w:wordWrap w:val="0"/>
              <w:spacing w:line="336" w:lineRule="auto"/>
              <w:ind w:firstLine="480" w:firstLineChars="200"/>
              <w:jc w:val="left"/>
              <w:rPr>
                <w:sz w:val="24"/>
              </w:rPr>
            </w:pPr>
            <w:r>
              <w:rPr>
                <w:sz w:val="24"/>
              </w:rPr>
              <w:t>根据《建设项目竣工环境保护验收暂行办法》</w:t>
            </w:r>
            <w:r>
              <w:rPr>
                <w:rFonts w:hint="eastAsia"/>
                <w:sz w:val="24"/>
              </w:rPr>
              <w:t>（</w:t>
            </w:r>
            <w:r>
              <w:rPr>
                <w:sz w:val="24"/>
              </w:rPr>
              <w:t>国环规环评</w:t>
            </w:r>
            <w:r>
              <w:rPr>
                <w:rFonts w:hint="eastAsia"/>
                <w:sz w:val="24"/>
              </w:rPr>
              <w:t>〔2017〕4号），</w:t>
            </w:r>
            <w:r>
              <w:rPr>
                <w:sz w:val="24"/>
              </w:rPr>
              <w:t>建设项目竣</w:t>
            </w:r>
            <w:r>
              <w:rPr>
                <w:rFonts w:hint="eastAsia"/>
                <w:sz w:val="24"/>
              </w:rPr>
              <w:t>工</w:t>
            </w:r>
            <w:r>
              <w:rPr>
                <w:sz w:val="24"/>
              </w:rPr>
              <w:t>后，建设单位应如实查验、监测、记录建设项目环境保护设施的建设和</w:t>
            </w:r>
            <w:r>
              <w:rPr>
                <w:rFonts w:hint="eastAsia"/>
                <w:sz w:val="24"/>
              </w:rPr>
              <w:t>调试</w:t>
            </w:r>
            <w:r>
              <w:rPr>
                <w:sz w:val="24"/>
              </w:rPr>
              <w:t>情况，编制验收监测报告。验收报告公示期满后5个工作日内建设单位应登录全国建设项目竣工环境保护信息平台</w:t>
            </w:r>
            <w:r>
              <w:rPr>
                <w:rFonts w:hint="eastAsia"/>
                <w:sz w:val="24"/>
              </w:rPr>
              <w:t>，</w:t>
            </w:r>
            <w:r>
              <w:rPr>
                <w:sz w:val="24"/>
              </w:rPr>
              <w:t>填报建设项目基本信息、环境保护设施验收情况等相关信息</w:t>
            </w:r>
            <w:r>
              <w:rPr>
                <w:rFonts w:hint="eastAsia"/>
                <w:sz w:val="24"/>
              </w:rPr>
              <w:t>，</w:t>
            </w:r>
            <w:r>
              <w:rPr>
                <w:sz w:val="24"/>
              </w:rPr>
              <w:t>环境保护部门对上述信息予以公开。建设单位应将验收报告归入环保档案备查</w:t>
            </w:r>
            <w:r>
              <w:rPr>
                <w:rFonts w:hint="eastAsia"/>
                <w:sz w:val="24"/>
              </w:rPr>
              <w:t>。</w:t>
            </w:r>
          </w:p>
          <w:p w14:paraId="580FA0F6">
            <w:pPr>
              <w:keepNext/>
              <w:keepLines/>
              <w:wordWrap w:val="0"/>
              <w:adjustRightInd w:val="0"/>
              <w:spacing w:line="360" w:lineRule="auto"/>
              <w:jc w:val="left"/>
              <w:outlineLvl w:val="2"/>
              <w:rPr>
                <w:b/>
                <w:sz w:val="24"/>
              </w:rPr>
            </w:pPr>
            <w:r>
              <w:rPr>
                <w:rFonts w:hint="eastAsia"/>
                <w:b/>
                <w:sz w:val="24"/>
                <w:lang w:eastAsia="zh-CN"/>
              </w:rPr>
              <w:t>3.</w:t>
            </w:r>
            <w:r>
              <w:rPr>
                <w:b/>
                <w:sz w:val="24"/>
              </w:rPr>
              <w:t>排污口规范化设置</w:t>
            </w:r>
          </w:p>
          <w:p w14:paraId="6A9EEB82">
            <w:pPr>
              <w:wordWrap w:val="0"/>
              <w:spacing w:line="360" w:lineRule="auto"/>
              <w:ind w:firstLine="480" w:firstLineChars="200"/>
              <w:rPr>
                <w:sz w:val="24"/>
              </w:rPr>
            </w:pPr>
            <w:r>
              <w:rPr>
                <w:sz w:val="24"/>
              </w:rPr>
              <w:t>根据国家标准《环境保护图形标志--排放口（源）》（GB15562.1-1995）、《环境保护图形标志—固体废物贮存（处置）场》（GB15562.2-1995）和《排污口规范化整治要求（试行）》的技术要求，企业所有排放口，必须按照</w:t>
            </w:r>
            <w:r>
              <w:rPr>
                <w:rFonts w:hint="eastAsia"/>
                <w:sz w:val="24"/>
              </w:rPr>
              <w:t>“</w:t>
            </w:r>
            <w:r>
              <w:rPr>
                <w:sz w:val="24"/>
              </w:rPr>
              <w:t>便于计量监测、便于日常现场监督检查</w:t>
            </w:r>
            <w:r>
              <w:rPr>
                <w:rFonts w:hint="eastAsia"/>
                <w:sz w:val="24"/>
              </w:rPr>
              <w:t>”</w:t>
            </w:r>
            <w:r>
              <w:rPr>
                <w:sz w:val="24"/>
              </w:rPr>
              <w:t>的规范化要求，设置与之相适应的环境保护图形标志牌，绘制企业排污口分布图，同时对污水排放口安装流量计，对治理设施安装运行监控装置，以便环境监管部门监管。</w:t>
            </w:r>
          </w:p>
          <w:p w14:paraId="6DBDDAE0">
            <w:pPr>
              <w:wordWrap w:val="0"/>
              <w:spacing w:line="360" w:lineRule="auto"/>
              <w:ind w:firstLine="480" w:firstLineChars="200"/>
              <w:rPr>
                <w:sz w:val="24"/>
              </w:rPr>
            </w:pPr>
            <w:r>
              <w:rPr>
                <w:sz w:val="24"/>
              </w:rPr>
              <w:t>（1）废水排放口</w:t>
            </w:r>
          </w:p>
          <w:p w14:paraId="2782BEDC">
            <w:pPr>
              <w:wordWrap w:val="0"/>
              <w:spacing w:line="360" w:lineRule="auto"/>
              <w:ind w:firstLine="480" w:firstLineChars="200"/>
              <w:rPr>
                <w:sz w:val="24"/>
              </w:rPr>
            </w:pPr>
            <w:r>
              <w:rPr>
                <w:rFonts w:hint="eastAsia"/>
                <w:sz w:val="24"/>
              </w:rPr>
              <w:t>本</w:t>
            </w:r>
            <w:r>
              <w:rPr>
                <w:sz w:val="24"/>
              </w:rPr>
              <w:t>项目运营期</w:t>
            </w:r>
            <w:r>
              <w:rPr>
                <w:rFonts w:hint="eastAsia"/>
                <w:sz w:val="24"/>
              </w:rPr>
              <w:t>设置废水排口1个（依托现有）。</w:t>
            </w:r>
          </w:p>
          <w:p w14:paraId="5DE0BE95">
            <w:pPr>
              <w:wordWrap w:val="0"/>
              <w:spacing w:line="360" w:lineRule="auto"/>
              <w:ind w:firstLine="480" w:firstLineChars="200"/>
              <w:rPr>
                <w:sz w:val="24"/>
              </w:rPr>
            </w:pPr>
            <w:r>
              <w:rPr>
                <w:sz w:val="24"/>
              </w:rPr>
              <w:t>（2）废气排气筒</w:t>
            </w:r>
          </w:p>
          <w:p w14:paraId="11FC50F8">
            <w:pPr>
              <w:wordWrap w:val="0"/>
              <w:spacing w:line="360" w:lineRule="auto"/>
              <w:ind w:firstLine="480" w:firstLineChars="200"/>
              <w:rPr>
                <w:sz w:val="24"/>
              </w:rPr>
            </w:pPr>
            <w:r>
              <w:rPr>
                <w:rFonts w:hint="eastAsia"/>
                <w:sz w:val="24"/>
              </w:rPr>
              <w:t>本</w:t>
            </w:r>
            <w:r>
              <w:rPr>
                <w:sz w:val="24"/>
              </w:rPr>
              <w:t>项目运营期</w:t>
            </w:r>
            <w:r>
              <w:rPr>
                <w:rFonts w:hint="eastAsia"/>
                <w:sz w:val="24"/>
              </w:rPr>
              <w:t>设置废气排口1个。</w:t>
            </w:r>
          </w:p>
          <w:p w14:paraId="17BAF0B8">
            <w:pPr>
              <w:wordWrap w:val="0"/>
              <w:spacing w:line="360" w:lineRule="auto"/>
              <w:ind w:firstLine="480" w:firstLineChars="200"/>
              <w:rPr>
                <w:sz w:val="24"/>
              </w:rPr>
            </w:pPr>
            <w:r>
              <w:rPr>
                <w:sz w:val="24"/>
              </w:rPr>
              <w:t>（3）固定噪声源</w:t>
            </w:r>
          </w:p>
          <w:p w14:paraId="79B18647">
            <w:pPr>
              <w:wordWrap w:val="0"/>
              <w:spacing w:line="360" w:lineRule="auto"/>
              <w:ind w:firstLine="480" w:firstLineChars="200"/>
              <w:rPr>
                <w:sz w:val="24"/>
              </w:rPr>
            </w:pPr>
            <w:r>
              <w:rPr>
                <w:sz w:val="24"/>
              </w:rPr>
              <w:t>在固定噪声源对厂界噪声影响最大处，设置环境保护图形标志牌。</w:t>
            </w:r>
          </w:p>
          <w:p w14:paraId="2A793DEB">
            <w:pPr>
              <w:wordWrap w:val="0"/>
              <w:spacing w:line="360" w:lineRule="auto"/>
              <w:ind w:firstLine="480" w:firstLineChars="200"/>
              <w:rPr>
                <w:sz w:val="24"/>
              </w:rPr>
            </w:pPr>
            <w:r>
              <w:rPr>
                <w:sz w:val="24"/>
              </w:rPr>
              <w:t>（4）固体废物贮存场所</w:t>
            </w:r>
          </w:p>
          <w:p w14:paraId="0849180C">
            <w:pPr>
              <w:wordWrap w:val="0"/>
              <w:spacing w:line="360" w:lineRule="auto"/>
              <w:ind w:firstLine="480" w:firstLineChars="200"/>
              <w:rPr>
                <w:sz w:val="24"/>
              </w:rPr>
            </w:pPr>
            <w:r>
              <w:rPr>
                <w:sz w:val="24"/>
              </w:rPr>
              <w:t>一般来说，固废贮存场所要求：①固体废物贮存场所要有防火、防扬散、防流失、防渗漏、防雨措施；②固体废物贮存场所在醒目处设置一个标志牌，具体按照《环境保护图形标志》规定制作。</w:t>
            </w:r>
          </w:p>
          <w:p w14:paraId="772C3642">
            <w:pPr>
              <w:wordWrap w:val="0"/>
              <w:spacing w:line="360" w:lineRule="auto"/>
              <w:ind w:firstLine="480" w:firstLineChars="200"/>
              <w:rPr>
                <w:sz w:val="24"/>
              </w:rPr>
            </w:pPr>
            <w:r>
              <w:rPr>
                <w:sz w:val="24"/>
              </w:rPr>
              <w:t>本项目产生的危险废物</w:t>
            </w:r>
            <w:r>
              <w:rPr>
                <w:rFonts w:hint="eastAsia"/>
                <w:sz w:val="24"/>
              </w:rPr>
              <w:t>、一般</w:t>
            </w:r>
            <w:r>
              <w:rPr>
                <w:sz w:val="24"/>
              </w:rPr>
              <w:t>固废。要求设置固体废物临时贮存场所，且存放</w:t>
            </w:r>
            <w:r>
              <w:rPr>
                <w:rFonts w:hint="eastAsia"/>
                <w:sz w:val="24"/>
              </w:rPr>
              <w:t>时间不宜过长</w:t>
            </w:r>
            <w:r>
              <w:rPr>
                <w:sz w:val="24"/>
              </w:rPr>
              <w:t>，应尽快收集并运至相应处置、利用场所，以防造成二次污染。固体废物临时贮存场所应按照</w:t>
            </w:r>
            <w:r>
              <w:rPr>
                <w:rFonts w:hint="eastAsia"/>
                <w:sz w:val="24"/>
              </w:rPr>
              <w:t>《一般工业固体废物贮存、处置场污染控制标准》（GB18599-2020）和《危险废物贮存污染控制标准》（GB18597-2023）</w:t>
            </w:r>
            <w:r>
              <w:rPr>
                <w:sz w:val="24"/>
              </w:rPr>
              <w:t>中要求进行分质贮存和处置，并应做到以下几点：</w:t>
            </w:r>
          </w:p>
          <w:p w14:paraId="762A8120">
            <w:pPr>
              <w:wordWrap w:val="0"/>
              <w:spacing w:line="360" w:lineRule="auto"/>
              <w:ind w:firstLine="480" w:firstLineChars="200"/>
              <w:rPr>
                <w:sz w:val="24"/>
              </w:rPr>
            </w:pPr>
            <w:r>
              <w:rPr>
                <w:sz w:val="24"/>
              </w:rPr>
              <w:t>①固废站所必须有符合GB15562.2的专用标志；</w:t>
            </w:r>
          </w:p>
          <w:p w14:paraId="57A8B244">
            <w:pPr>
              <w:wordWrap w:val="0"/>
              <w:spacing w:line="360" w:lineRule="auto"/>
              <w:ind w:firstLine="480" w:firstLineChars="200"/>
              <w:rPr>
                <w:sz w:val="24"/>
              </w:rPr>
            </w:pPr>
            <w:r>
              <w:rPr>
                <w:sz w:val="24"/>
              </w:rPr>
              <w:t>②固废站所内禁止混放不相容固体废物；</w:t>
            </w:r>
          </w:p>
          <w:p w14:paraId="7DCBCE77">
            <w:pPr>
              <w:wordWrap w:val="0"/>
              <w:spacing w:line="360" w:lineRule="auto"/>
              <w:ind w:firstLine="480" w:firstLineChars="200"/>
              <w:rPr>
                <w:sz w:val="24"/>
              </w:rPr>
            </w:pPr>
            <w:r>
              <w:rPr>
                <w:sz w:val="24"/>
              </w:rPr>
              <w:t>③固废站所要有集排水和防渗漏设施；</w:t>
            </w:r>
          </w:p>
          <w:p w14:paraId="0EBC9D6D">
            <w:pPr>
              <w:wordWrap w:val="0"/>
              <w:spacing w:line="360" w:lineRule="auto"/>
              <w:ind w:firstLine="480" w:firstLineChars="200"/>
              <w:rPr>
                <w:sz w:val="24"/>
              </w:rPr>
            </w:pPr>
            <w:r>
              <w:rPr>
                <w:sz w:val="24"/>
              </w:rPr>
              <w:t>④固废站所要符合消防要求；</w:t>
            </w:r>
          </w:p>
          <w:p w14:paraId="74F00B2D">
            <w:pPr>
              <w:wordWrap w:val="0"/>
              <w:spacing w:line="360" w:lineRule="auto"/>
              <w:ind w:firstLine="480" w:firstLineChars="200"/>
              <w:rPr>
                <w:sz w:val="24"/>
              </w:rPr>
            </w:pPr>
            <w:r>
              <w:rPr>
                <w:sz w:val="24"/>
              </w:rPr>
              <w:t>⑤废物的贮存容器必须有明显标志，具有耐腐蚀、耐压、密封和不与所贮存的废物发生反应等特性。</w:t>
            </w:r>
          </w:p>
          <w:p w14:paraId="37E9C079">
            <w:pPr>
              <w:wordWrap w:val="0"/>
              <w:spacing w:line="360" w:lineRule="auto"/>
              <w:ind w:firstLine="480" w:firstLineChars="200"/>
              <w:rPr>
                <w:sz w:val="24"/>
              </w:rPr>
            </w:pPr>
            <w:r>
              <w:rPr>
                <w:sz w:val="24"/>
              </w:rPr>
              <w:t>（5）环境保护图形标志</w:t>
            </w:r>
          </w:p>
          <w:p w14:paraId="1D89B701">
            <w:pPr>
              <w:wordWrap w:val="0"/>
              <w:spacing w:line="360" w:lineRule="auto"/>
              <w:ind w:firstLine="480" w:firstLineChars="200"/>
              <w:rPr>
                <w:sz w:val="24"/>
              </w:rPr>
            </w:pPr>
            <w:r>
              <w:rPr>
                <w:sz w:val="24"/>
              </w:rPr>
              <w:t>在厂区的废水排放口、噪声排放源、固体废物贮存处置场应设置环境保护图形标志，图形符号分为提示图形和警告图形符号两种，分别按GB15562.1-1995、GB15562.2-1995执行。环境保护图形符号、环境保护图形标志的形状及颜色见下表。</w:t>
            </w:r>
          </w:p>
          <w:p w14:paraId="473E5B0F">
            <w:pPr>
              <w:pStyle w:val="57"/>
            </w:pPr>
            <w:r>
              <w:t>表</w:t>
            </w:r>
            <w:r>
              <w:rPr>
                <w:rFonts w:hint="eastAsia"/>
              </w:rPr>
              <w:t>5-1</w:t>
            </w:r>
            <w:r>
              <w:t>环境保护图形符号一览表</w:t>
            </w:r>
          </w:p>
          <w:tbl>
            <w:tblPr>
              <w:tblStyle w:val="35"/>
              <w:tblW w:w="4990" w:type="pct"/>
              <w:tblInd w:w="13" w:type="dxa"/>
              <w:tblBorders>
                <w:top w:val="single" w:color="auto" w:sz="2" w:space="0"/>
                <w:left w:val="single" w:color="auto" w:sz="2" w:space="0"/>
                <w:bottom w:val="single" w:color="auto" w:sz="2" w:space="0"/>
                <w:right w:val="single" w:color="auto" w:sz="2" w:space="0"/>
                <w:insideH w:val="single" w:color="000000" w:sz="6" w:space="0"/>
                <w:insideV w:val="single" w:color="000000" w:sz="6" w:space="0"/>
              </w:tblBorders>
              <w:tblLayout w:type="fixed"/>
              <w:tblCellMar>
                <w:top w:w="0" w:type="dxa"/>
                <w:left w:w="0" w:type="dxa"/>
                <w:bottom w:w="0" w:type="dxa"/>
                <w:right w:w="0" w:type="dxa"/>
              </w:tblCellMar>
            </w:tblPr>
            <w:tblGrid>
              <w:gridCol w:w="2574"/>
              <w:gridCol w:w="2616"/>
              <w:gridCol w:w="3550"/>
            </w:tblGrid>
            <w:tr w14:paraId="32DFE6DA">
              <w:tblPrEx>
                <w:tblBorders>
                  <w:top w:val="single" w:color="auto" w:sz="2" w:space="0"/>
                  <w:left w:val="single" w:color="auto" w:sz="2" w:space="0"/>
                  <w:bottom w:val="single" w:color="auto" w:sz="2" w:space="0"/>
                  <w:right w:val="single" w:color="auto" w:sz="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472" w:type="pct"/>
                  <w:tcBorders>
                    <w:tl2br w:val="nil"/>
                    <w:tr2bl w:val="nil"/>
                  </w:tcBorders>
                  <w:vAlign w:val="center"/>
                </w:tcPr>
                <w:p w14:paraId="3E38230B">
                  <w:pPr>
                    <w:pStyle w:val="57"/>
                    <w:rPr>
                      <w:lang w:val="zh-CN"/>
                    </w:rPr>
                  </w:pPr>
                  <w:r>
                    <w:rPr>
                      <w:lang w:val="zh-CN"/>
                    </w:rPr>
                    <w:t>图形标志</w:t>
                  </w:r>
                </w:p>
              </w:tc>
              <w:tc>
                <w:tcPr>
                  <w:tcW w:w="1496" w:type="pct"/>
                  <w:tcBorders>
                    <w:tl2br w:val="nil"/>
                    <w:tr2bl w:val="nil"/>
                  </w:tcBorders>
                  <w:vAlign w:val="center"/>
                </w:tcPr>
                <w:p w14:paraId="0AA5399C">
                  <w:pPr>
                    <w:pStyle w:val="57"/>
                    <w:rPr>
                      <w:lang w:val="zh-CN"/>
                    </w:rPr>
                  </w:pPr>
                  <w:r>
                    <w:rPr>
                      <w:lang w:val="zh-CN"/>
                    </w:rPr>
                    <w:t>图形代表意义</w:t>
                  </w:r>
                </w:p>
              </w:tc>
              <w:tc>
                <w:tcPr>
                  <w:tcW w:w="2031" w:type="pct"/>
                  <w:tcBorders>
                    <w:tl2br w:val="nil"/>
                    <w:tr2bl w:val="nil"/>
                  </w:tcBorders>
                  <w:vAlign w:val="center"/>
                </w:tcPr>
                <w:p w14:paraId="7F9FDCA0">
                  <w:pPr>
                    <w:pStyle w:val="57"/>
                    <w:rPr>
                      <w:lang w:val="zh-CN"/>
                    </w:rPr>
                  </w:pPr>
                  <w:r>
                    <w:rPr>
                      <w:lang w:val="zh-CN"/>
                    </w:rPr>
                    <w:t>符号简介</w:t>
                  </w:r>
                </w:p>
              </w:tc>
            </w:tr>
            <w:tr w14:paraId="4CEF63DA">
              <w:tblPrEx>
                <w:tblBorders>
                  <w:top w:val="single" w:color="auto" w:sz="2" w:space="0"/>
                  <w:left w:val="single" w:color="auto" w:sz="2" w:space="0"/>
                  <w:bottom w:val="single" w:color="auto" w:sz="2" w:space="0"/>
                  <w:right w:val="single" w:color="auto" w:sz="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472" w:type="pct"/>
                  <w:tcBorders>
                    <w:tl2br w:val="nil"/>
                    <w:tr2bl w:val="nil"/>
                  </w:tcBorders>
                  <w:vAlign w:val="center"/>
                </w:tcPr>
                <w:p w14:paraId="52A8156E">
                  <w:pPr>
                    <w:pStyle w:val="57"/>
                    <w:rPr>
                      <w:b w:val="0"/>
                      <w:bCs/>
                      <w:lang w:val="zh-CN"/>
                    </w:rPr>
                  </w:pPr>
                  <w:r>
                    <w:rPr>
                      <w:b w:val="0"/>
                      <w:bCs/>
                    </w:rPr>
                    <w:drawing>
                      <wp:inline distT="0" distB="0" distL="114300" distR="114300">
                        <wp:extent cx="678180" cy="653415"/>
                        <wp:effectExtent l="0" t="0" r="7620" b="13335"/>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108"/>
                                <a:stretch>
                                  <a:fillRect/>
                                </a:stretch>
                              </pic:blipFill>
                              <pic:spPr>
                                <a:xfrm>
                                  <a:off x="0" y="0"/>
                                  <a:ext cx="678180" cy="653415"/>
                                </a:xfrm>
                                <a:prstGeom prst="rect">
                                  <a:avLst/>
                                </a:prstGeom>
                                <a:noFill/>
                                <a:ln>
                                  <a:noFill/>
                                </a:ln>
                              </pic:spPr>
                            </pic:pic>
                          </a:graphicData>
                        </a:graphic>
                      </wp:inline>
                    </w:drawing>
                  </w:r>
                </w:p>
              </w:tc>
              <w:tc>
                <w:tcPr>
                  <w:tcW w:w="1496" w:type="pct"/>
                  <w:tcBorders>
                    <w:tl2br w:val="nil"/>
                    <w:tr2bl w:val="nil"/>
                  </w:tcBorders>
                  <w:vAlign w:val="center"/>
                </w:tcPr>
                <w:p w14:paraId="154B0DCE">
                  <w:pPr>
                    <w:pStyle w:val="57"/>
                    <w:rPr>
                      <w:b w:val="0"/>
                      <w:bCs/>
                      <w:lang w:val="zh-CN"/>
                    </w:rPr>
                  </w:pPr>
                  <w:r>
                    <w:rPr>
                      <w:b w:val="0"/>
                      <w:bCs/>
                      <w:lang w:val="zh-CN"/>
                    </w:rPr>
                    <w:t>标志名称：污水排放口国标代码：GB15562.1-1995</w:t>
                  </w:r>
                </w:p>
              </w:tc>
              <w:tc>
                <w:tcPr>
                  <w:tcW w:w="2031" w:type="pct"/>
                  <w:tcBorders>
                    <w:tl2br w:val="nil"/>
                    <w:tr2bl w:val="nil"/>
                  </w:tcBorders>
                  <w:vAlign w:val="center"/>
                </w:tcPr>
                <w:p w14:paraId="7B5D6070">
                  <w:pPr>
                    <w:pStyle w:val="57"/>
                    <w:rPr>
                      <w:b w:val="0"/>
                      <w:bCs/>
                      <w:lang w:val="zh-CN"/>
                    </w:rPr>
                  </w:pPr>
                  <w:r>
                    <w:rPr>
                      <w:b w:val="0"/>
                      <w:bCs/>
                      <w:lang w:val="zh-CN"/>
                    </w:rPr>
                    <w:t>提示图形符号污水排放口</w:t>
                  </w:r>
                </w:p>
                <w:p w14:paraId="4849A944">
                  <w:pPr>
                    <w:pStyle w:val="57"/>
                    <w:rPr>
                      <w:b w:val="0"/>
                      <w:bCs/>
                      <w:lang w:val="zh-CN"/>
                    </w:rPr>
                  </w:pPr>
                  <w:r>
                    <w:rPr>
                      <w:b w:val="0"/>
                      <w:bCs/>
                      <w:lang w:val="zh-CN"/>
                    </w:rPr>
                    <w:t>表示污水向水体排放</w:t>
                  </w:r>
                </w:p>
              </w:tc>
            </w:tr>
            <w:tr w14:paraId="6A198748">
              <w:tblPrEx>
                <w:tblBorders>
                  <w:top w:val="single" w:color="auto" w:sz="2" w:space="0"/>
                  <w:left w:val="single" w:color="auto" w:sz="2" w:space="0"/>
                  <w:bottom w:val="single" w:color="auto" w:sz="2" w:space="0"/>
                  <w:right w:val="single" w:color="auto" w:sz="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472" w:type="pct"/>
                  <w:tcBorders>
                    <w:tl2br w:val="nil"/>
                    <w:tr2bl w:val="nil"/>
                  </w:tcBorders>
                  <w:vAlign w:val="center"/>
                </w:tcPr>
                <w:p w14:paraId="16D68D58">
                  <w:pPr>
                    <w:pStyle w:val="57"/>
                    <w:rPr>
                      <w:b w:val="0"/>
                      <w:bCs/>
                      <w:lang w:val="zh-CN"/>
                    </w:rPr>
                  </w:pPr>
                  <w:r>
                    <w:rPr>
                      <w:b w:val="0"/>
                      <w:bCs/>
                    </w:rPr>
                    <w:drawing>
                      <wp:inline distT="0" distB="0" distL="114300" distR="114300">
                        <wp:extent cx="795020" cy="737235"/>
                        <wp:effectExtent l="0" t="0" r="5080" b="5715"/>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09"/>
                                <a:stretch>
                                  <a:fillRect/>
                                </a:stretch>
                              </pic:blipFill>
                              <pic:spPr>
                                <a:xfrm>
                                  <a:off x="0" y="0"/>
                                  <a:ext cx="795020" cy="737235"/>
                                </a:xfrm>
                                <a:prstGeom prst="rect">
                                  <a:avLst/>
                                </a:prstGeom>
                                <a:noFill/>
                                <a:ln>
                                  <a:noFill/>
                                </a:ln>
                              </pic:spPr>
                            </pic:pic>
                          </a:graphicData>
                        </a:graphic>
                      </wp:inline>
                    </w:drawing>
                  </w:r>
                </w:p>
              </w:tc>
              <w:tc>
                <w:tcPr>
                  <w:tcW w:w="1496" w:type="pct"/>
                  <w:tcBorders>
                    <w:tl2br w:val="nil"/>
                    <w:tr2bl w:val="nil"/>
                  </w:tcBorders>
                  <w:vAlign w:val="center"/>
                </w:tcPr>
                <w:p w14:paraId="3FF93911">
                  <w:pPr>
                    <w:pStyle w:val="57"/>
                    <w:rPr>
                      <w:b w:val="0"/>
                      <w:bCs/>
                      <w:lang w:val="zh-CN"/>
                    </w:rPr>
                  </w:pPr>
                  <w:r>
                    <w:rPr>
                      <w:b w:val="0"/>
                      <w:bCs/>
                      <w:lang w:val="zh-CN"/>
                    </w:rPr>
                    <w:t>标志名称：污水排放口国标代码：GB15562.1-1995</w:t>
                  </w:r>
                </w:p>
              </w:tc>
              <w:tc>
                <w:tcPr>
                  <w:tcW w:w="2031" w:type="pct"/>
                  <w:tcBorders>
                    <w:tl2br w:val="nil"/>
                    <w:tr2bl w:val="nil"/>
                  </w:tcBorders>
                  <w:vAlign w:val="center"/>
                </w:tcPr>
                <w:p w14:paraId="570F21AF">
                  <w:pPr>
                    <w:pStyle w:val="57"/>
                    <w:rPr>
                      <w:b w:val="0"/>
                      <w:bCs/>
                      <w:lang w:val="zh-CN"/>
                    </w:rPr>
                  </w:pPr>
                  <w:r>
                    <w:rPr>
                      <w:b w:val="0"/>
                      <w:bCs/>
                      <w:lang w:val="zh-CN"/>
                    </w:rPr>
                    <w:t>警告图形符号污水排放口</w:t>
                  </w:r>
                </w:p>
                <w:p w14:paraId="7A8C0E9D">
                  <w:pPr>
                    <w:pStyle w:val="57"/>
                    <w:rPr>
                      <w:b w:val="0"/>
                      <w:bCs/>
                      <w:lang w:val="zh-CN"/>
                    </w:rPr>
                  </w:pPr>
                  <w:r>
                    <w:rPr>
                      <w:b w:val="0"/>
                      <w:bCs/>
                      <w:lang w:val="zh-CN"/>
                    </w:rPr>
                    <w:t>表示污水向水体排放</w:t>
                  </w:r>
                </w:p>
              </w:tc>
            </w:tr>
            <w:tr w14:paraId="4FC5418F">
              <w:tblPrEx>
                <w:tblBorders>
                  <w:top w:val="single" w:color="auto" w:sz="2" w:space="0"/>
                  <w:left w:val="single" w:color="auto" w:sz="2" w:space="0"/>
                  <w:bottom w:val="single" w:color="auto" w:sz="2" w:space="0"/>
                  <w:right w:val="single" w:color="auto" w:sz="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472" w:type="pct"/>
                  <w:tcBorders>
                    <w:tl2br w:val="nil"/>
                    <w:tr2bl w:val="nil"/>
                  </w:tcBorders>
                  <w:vAlign w:val="center"/>
                </w:tcPr>
                <w:p w14:paraId="7067C4DF">
                  <w:pPr>
                    <w:pStyle w:val="57"/>
                    <w:rPr>
                      <w:b w:val="0"/>
                      <w:bCs/>
                      <w:lang w:val="zh-CN"/>
                    </w:rPr>
                  </w:pPr>
                  <w:r>
                    <w:rPr>
                      <w:b w:val="0"/>
                      <w:bCs/>
                    </w:rPr>
                    <w:drawing>
                      <wp:inline distT="0" distB="0" distL="114300" distR="114300">
                        <wp:extent cx="720725" cy="722630"/>
                        <wp:effectExtent l="0" t="0" r="3175" b="127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110"/>
                                <a:stretch>
                                  <a:fillRect/>
                                </a:stretch>
                              </pic:blipFill>
                              <pic:spPr>
                                <a:xfrm>
                                  <a:off x="0" y="0"/>
                                  <a:ext cx="720725" cy="722630"/>
                                </a:xfrm>
                                <a:prstGeom prst="rect">
                                  <a:avLst/>
                                </a:prstGeom>
                                <a:noFill/>
                                <a:ln>
                                  <a:noFill/>
                                </a:ln>
                              </pic:spPr>
                            </pic:pic>
                          </a:graphicData>
                        </a:graphic>
                      </wp:inline>
                    </w:drawing>
                  </w:r>
                </w:p>
              </w:tc>
              <w:tc>
                <w:tcPr>
                  <w:tcW w:w="1496" w:type="pct"/>
                  <w:tcBorders>
                    <w:tl2br w:val="nil"/>
                    <w:tr2bl w:val="nil"/>
                  </w:tcBorders>
                  <w:vAlign w:val="center"/>
                </w:tcPr>
                <w:p w14:paraId="57F8988B">
                  <w:pPr>
                    <w:pStyle w:val="57"/>
                    <w:rPr>
                      <w:b w:val="0"/>
                      <w:bCs/>
                      <w:lang w:val="zh-CN"/>
                    </w:rPr>
                  </w:pPr>
                  <w:r>
                    <w:rPr>
                      <w:b w:val="0"/>
                      <w:bCs/>
                      <w:lang w:val="zh-CN"/>
                    </w:rPr>
                    <w:t>标志名称：噪声排放源国标代码：GB15562.1-1995</w:t>
                  </w:r>
                </w:p>
              </w:tc>
              <w:tc>
                <w:tcPr>
                  <w:tcW w:w="2031" w:type="pct"/>
                  <w:tcBorders>
                    <w:tl2br w:val="nil"/>
                    <w:tr2bl w:val="nil"/>
                  </w:tcBorders>
                  <w:vAlign w:val="center"/>
                </w:tcPr>
                <w:p w14:paraId="7700FE4F">
                  <w:pPr>
                    <w:pStyle w:val="57"/>
                    <w:rPr>
                      <w:b w:val="0"/>
                      <w:bCs/>
                      <w:lang w:val="zh-CN"/>
                    </w:rPr>
                  </w:pPr>
                  <w:r>
                    <w:rPr>
                      <w:b w:val="0"/>
                      <w:bCs/>
                      <w:lang w:val="zh-CN"/>
                    </w:rPr>
                    <w:t>提示图形符号噪声排放源</w:t>
                  </w:r>
                </w:p>
                <w:p w14:paraId="7C291987">
                  <w:pPr>
                    <w:pStyle w:val="57"/>
                    <w:rPr>
                      <w:b w:val="0"/>
                      <w:bCs/>
                      <w:lang w:val="zh-CN"/>
                    </w:rPr>
                  </w:pPr>
                  <w:r>
                    <w:rPr>
                      <w:b w:val="0"/>
                      <w:bCs/>
                      <w:lang w:val="zh-CN"/>
                    </w:rPr>
                    <w:t>表示噪声向外环境排放</w:t>
                  </w:r>
                </w:p>
              </w:tc>
            </w:tr>
            <w:tr w14:paraId="401D2109">
              <w:tblPrEx>
                <w:tblBorders>
                  <w:top w:val="single" w:color="auto" w:sz="2" w:space="0"/>
                  <w:left w:val="single" w:color="auto" w:sz="2" w:space="0"/>
                  <w:bottom w:val="single" w:color="auto" w:sz="2" w:space="0"/>
                  <w:right w:val="single" w:color="auto" w:sz="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472" w:type="pct"/>
                  <w:tcBorders>
                    <w:tl2br w:val="nil"/>
                    <w:tr2bl w:val="nil"/>
                  </w:tcBorders>
                  <w:vAlign w:val="center"/>
                </w:tcPr>
                <w:p w14:paraId="5D70EBFB">
                  <w:pPr>
                    <w:pStyle w:val="57"/>
                    <w:rPr>
                      <w:b w:val="0"/>
                      <w:bCs/>
                      <w:lang w:val="zh-CN"/>
                    </w:rPr>
                  </w:pPr>
                  <w:r>
                    <w:rPr>
                      <w:b w:val="0"/>
                      <w:bCs/>
                    </w:rPr>
                    <w:drawing>
                      <wp:inline distT="0" distB="0" distL="114300" distR="114300">
                        <wp:extent cx="754380" cy="731520"/>
                        <wp:effectExtent l="0" t="0" r="7620" b="11430"/>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111"/>
                                <a:stretch>
                                  <a:fillRect/>
                                </a:stretch>
                              </pic:blipFill>
                              <pic:spPr>
                                <a:xfrm>
                                  <a:off x="0" y="0"/>
                                  <a:ext cx="754380" cy="731520"/>
                                </a:xfrm>
                                <a:prstGeom prst="rect">
                                  <a:avLst/>
                                </a:prstGeom>
                                <a:noFill/>
                                <a:ln>
                                  <a:noFill/>
                                </a:ln>
                              </pic:spPr>
                            </pic:pic>
                          </a:graphicData>
                        </a:graphic>
                      </wp:inline>
                    </w:drawing>
                  </w:r>
                </w:p>
              </w:tc>
              <w:tc>
                <w:tcPr>
                  <w:tcW w:w="1496" w:type="pct"/>
                  <w:tcBorders>
                    <w:tl2br w:val="nil"/>
                    <w:tr2bl w:val="nil"/>
                  </w:tcBorders>
                  <w:vAlign w:val="center"/>
                </w:tcPr>
                <w:p w14:paraId="5019DEA4">
                  <w:pPr>
                    <w:pStyle w:val="57"/>
                    <w:rPr>
                      <w:b w:val="0"/>
                      <w:bCs/>
                      <w:lang w:val="zh-CN"/>
                    </w:rPr>
                  </w:pPr>
                  <w:r>
                    <w:rPr>
                      <w:b w:val="0"/>
                      <w:bCs/>
                      <w:lang w:val="zh-CN"/>
                    </w:rPr>
                    <w:t>标志名称：噪声排放源国标代码：GB15562.1-1995</w:t>
                  </w:r>
                </w:p>
              </w:tc>
              <w:tc>
                <w:tcPr>
                  <w:tcW w:w="2031" w:type="pct"/>
                  <w:tcBorders>
                    <w:tl2br w:val="nil"/>
                    <w:tr2bl w:val="nil"/>
                  </w:tcBorders>
                  <w:vAlign w:val="center"/>
                </w:tcPr>
                <w:p w14:paraId="0B7F06FC">
                  <w:pPr>
                    <w:pStyle w:val="57"/>
                    <w:rPr>
                      <w:b w:val="0"/>
                      <w:bCs/>
                      <w:lang w:val="zh-CN"/>
                    </w:rPr>
                  </w:pPr>
                  <w:r>
                    <w:rPr>
                      <w:b w:val="0"/>
                      <w:bCs/>
                      <w:lang w:val="zh-CN"/>
                    </w:rPr>
                    <w:t>警告图形符号噪声排放源</w:t>
                  </w:r>
                </w:p>
                <w:p w14:paraId="233B9703">
                  <w:pPr>
                    <w:pStyle w:val="57"/>
                    <w:rPr>
                      <w:b w:val="0"/>
                      <w:bCs/>
                      <w:lang w:val="zh-CN"/>
                    </w:rPr>
                  </w:pPr>
                  <w:r>
                    <w:rPr>
                      <w:b w:val="0"/>
                      <w:bCs/>
                      <w:lang w:val="zh-CN"/>
                    </w:rPr>
                    <w:t>表示噪声向外环境排放</w:t>
                  </w:r>
                </w:p>
              </w:tc>
            </w:tr>
            <w:tr w14:paraId="1625440F">
              <w:tblPrEx>
                <w:tblBorders>
                  <w:top w:val="single" w:color="auto" w:sz="2" w:space="0"/>
                  <w:left w:val="single" w:color="auto" w:sz="2" w:space="0"/>
                  <w:bottom w:val="single" w:color="auto" w:sz="2" w:space="0"/>
                  <w:right w:val="single" w:color="auto" w:sz="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472" w:type="pct"/>
                  <w:tcBorders>
                    <w:tl2br w:val="nil"/>
                    <w:tr2bl w:val="nil"/>
                  </w:tcBorders>
                  <w:vAlign w:val="center"/>
                </w:tcPr>
                <w:p w14:paraId="38893308">
                  <w:pPr>
                    <w:pStyle w:val="57"/>
                    <w:rPr>
                      <w:b w:val="0"/>
                      <w:bCs/>
                      <w:lang w:val="zh-CN"/>
                    </w:rPr>
                  </w:pPr>
                  <w:r>
                    <w:rPr>
                      <w:b w:val="0"/>
                      <w:bCs/>
                    </w:rPr>
                    <w:drawing>
                      <wp:inline distT="0" distB="0" distL="114300" distR="114300">
                        <wp:extent cx="851535" cy="701675"/>
                        <wp:effectExtent l="0" t="0" r="5715" b="3175"/>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112"/>
                                <a:stretch>
                                  <a:fillRect/>
                                </a:stretch>
                              </pic:blipFill>
                              <pic:spPr>
                                <a:xfrm>
                                  <a:off x="0" y="0"/>
                                  <a:ext cx="851535" cy="701675"/>
                                </a:xfrm>
                                <a:prstGeom prst="rect">
                                  <a:avLst/>
                                </a:prstGeom>
                                <a:noFill/>
                                <a:ln>
                                  <a:noFill/>
                                </a:ln>
                              </pic:spPr>
                            </pic:pic>
                          </a:graphicData>
                        </a:graphic>
                      </wp:inline>
                    </w:drawing>
                  </w:r>
                </w:p>
              </w:tc>
              <w:tc>
                <w:tcPr>
                  <w:tcW w:w="1496" w:type="pct"/>
                  <w:tcBorders>
                    <w:tl2br w:val="nil"/>
                    <w:tr2bl w:val="nil"/>
                  </w:tcBorders>
                  <w:vAlign w:val="center"/>
                </w:tcPr>
                <w:p w14:paraId="02778ECE">
                  <w:pPr>
                    <w:pStyle w:val="57"/>
                    <w:rPr>
                      <w:b w:val="0"/>
                      <w:bCs/>
                      <w:lang w:val="zh-CN"/>
                    </w:rPr>
                  </w:pPr>
                  <w:r>
                    <w:rPr>
                      <w:b w:val="0"/>
                      <w:bCs/>
                      <w:lang w:val="zh-CN"/>
                    </w:rPr>
                    <w:t>标志名称：固体废物提示国标代码：GB15562.1-1995</w:t>
                  </w:r>
                </w:p>
              </w:tc>
              <w:tc>
                <w:tcPr>
                  <w:tcW w:w="2031" w:type="pct"/>
                  <w:tcBorders>
                    <w:tl2br w:val="nil"/>
                    <w:tr2bl w:val="nil"/>
                  </w:tcBorders>
                  <w:vAlign w:val="center"/>
                </w:tcPr>
                <w:p w14:paraId="3FAE2098">
                  <w:pPr>
                    <w:pStyle w:val="57"/>
                    <w:rPr>
                      <w:b w:val="0"/>
                      <w:bCs/>
                      <w:lang w:val="zh-CN"/>
                    </w:rPr>
                  </w:pPr>
                  <w:r>
                    <w:rPr>
                      <w:b w:val="0"/>
                      <w:bCs/>
                      <w:lang w:val="zh-CN"/>
                    </w:rPr>
                    <w:t>固体废物提示</w:t>
                  </w:r>
                </w:p>
              </w:tc>
            </w:tr>
            <w:tr w14:paraId="40F149F4">
              <w:tblPrEx>
                <w:tblBorders>
                  <w:top w:val="single" w:color="auto" w:sz="2" w:space="0"/>
                  <w:left w:val="single" w:color="auto" w:sz="2" w:space="0"/>
                  <w:bottom w:val="single" w:color="auto" w:sz="2" w:space="0"/>
                  <w:right w:val="single" w:color="auto" w:sz="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472" w:type="pct"/>
                  <w:tcBorders>
                    <w:tl2br w:val="nil"/>
                    <w:tr2bl w:val="nil"/>
                  </w:tcBorders>
                  <w:vAlign w:val="center"/>
                </w:tcPr>
                <w:p w14:paraId="2EB0BFF4">
                  <w:pPr>
                    <w:pStyle w:val="57"/>
                    <w:rPr>
                      <w:b w:val="0"/>
                      <w:bCs/>
                      <w:lang w:val="zh-CN"/>
                    </w:rPr>
                  </w:pPr>
                  <w:r>
                    <w:rPr>
                      <w:b w:val="0"/>
                      <w:bCs/>
                    </w:rPr>
                    <w:drawing>
                      <wp:inline distT="0" distB="0" distL="114300" distR="114300">
                        <wp:extent cx="802640" cy="755650"/>
                        <wp:effectExtent l="0" t="0" r="16510" b="6350"/>
                        <wp:docPr id="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pic:cNvPicPr>
                                  <a:picLocks noChangeAspect="1"/>
                                </pic:cNvPicPr>
                              </pic:nvPicPr>
                              <pic:blipFill>
                                <a:blip r:embed="rId113"/>
                                <a:stretch>
                                  <a:fillRect/>
                                </a:stretch>
                              </pic:blipFill>
                              <pic:spPr>
                                <a:xfrm>
                                  <a:off x="0" y="0"/>
                                  <a:ext cx="802640" cy="755650"/>
                                </a:xfrm>
                                <a:prstGeom prst="rect">
                                  <a:avLst/>
                                </a:prstGeom>
                                <a:noFill/>
                                <a:ln>
                                  <a:noFill/>
                                </a:ln>
                              </pic:spPr>
                            </pic:pic>
                          </a:graphicData>
                        </a:graphic>
                      </wp:inline>
                    </w:drawing>
                  </w:r>
                </w:p>
              </w:tc>
              <w:tc>
                <w:tcPr>
                  <w:tcW w:w="1496" w:type="pct"/>
                  <w:tcBorders>
                    <w:tl2br w:val="nil"/>
                    <w:tr2bl w:val="nil"/>
                  </w:tcBorders>
                  <w:vAlign w:val="center"/>
                </w:tcPr>
                <w:p w14:paraId="4DC0B893">
                  <w:pPr>
                    <w:pStyle w:val="57"/>
                    <w:rPr>
                      <w:b w:val="0"/>
                      <w:bCs/>
                      <w:lang w:val="zh-CN"/>
                    </w:rPr>
                  </w:pPr>
                  <w:r>
                    <w:rPr>
                      <w:b w:val="0"/>
                      <w:bCs/>
                      <w:lang w:val="zh-CN"/>
                    </w:rPr>
                    <w:t>标志名称：一般固体废物国标代码：GB15562.1-1995</w:t>
                  </w:r>
                </w:p>
              </w:tc>
              <w:tc>
                <w:tcPr>
                  <w:tcW w:w="2031" w:type="pct"/>
                  <w:tcBorders>
                    <w:tl2br w:val="nil"/>
                    <w:tr2bl w:val="nil"/>
                  </w:tcBorders>
                  <w:vAlign w:val="center"/>
                </w:tcPr>
                <w:p w14:paraId="7575BD6F">
                  <w:pPr>
                    <w:pStyle w:val="57"/>
                    <w:rPr>
                      <w:b w:val="0"/>
                      <w:bCs/>
                      <w:lang w:val="zh-CN"/>
                    </w:rPr>
                  </w:pPr>
                  <w:r>
                    <w:rPr>
                      <w:b w:val="0"/>
                      <w:bCs/>
                      <w:lang w:val="zh-CN"/>
                    </w:rPr>
                    <w:t>一般固体废物</w:t>
                  </w:r>
                </w:p>
              </w:tc>
            </w:tr>
            <w:tr w14:paraId="69D636B0">
              <w:tblPrEx>
                <w:tblBorders>
                  <w:top w:val="single" w:color="auto" w:sz="2" w:space="0"/>
                  <w:left w:val="single" w:color="auto" w:sz="2" w:space="0"/>
                  <w:bottom w:val="single" w:color="auto" w:sz="2" w:space="0"/>
                  <w:right w:val="single" w:color="auto" w:sz="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472" w:type="pct"/>
                  <w:tcBorders>
                    <w:tl2br w:val="nil"/>
                    <w:tr2bl w:val="nil"/>
                  </w:tcBorders>
                  <w:vAlign w:val="center"/>
                </w:tcPr>
                <w:p w14:paraId="03AEEE96">
                  <w:pPr>
                    <w:pStyle w:val="57"/>
                    <w:rPr>
                      <w:b w:val="0"/>
                      <w:bCs/>
                      <w:lang w:val="zh-CN"/>
                    </w:rPr>
                  </w:pPr>
                  <w:r>
                    <w:rPr>
                      <w:b w:val="0"/>
                      <w:bCs/>
                    </w:rPr>
                    <w:drawing>
                      <wp:inline distT="0" distB="0" distL="114300" distR="114300">
                        <wp:extent cx="969645" cy="771525"/>
                        <wp:effectExtent l="0" t="0" r="1905" b="9525"/>
                        <wp:docPr id="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
                                <pic:cNvPicPr>
                                  <a:picLocks noChangeAspect="1"/>
                                </pic:cNvPicPr>
                              </pic:nvPicPr>
                              <pic:blipFill>
                                <a:blip r:embed="rId114"/>
                                <a:stretch>
                                  <a:fillRect/>
                                </a:stretch>
                              </pic:blipFill>
                              <pic:spPr>
                                <a:xfrm>
                                  <a:off x="0" y="0"/>
                                  <a:ext cx="969645" cy="771525"/>
                                </a:xfrm>
                                <a:prstGeom prst="rect">
                                  <a:avLst/>
                                </a:prstGeom>
                                <a:noFill/>
                                <a:ln>
                                  <a:noFill/>
                                </a:ln>
                              </pic:spPr>
                            </pic:pic>
                          </a:graphicData>
                        </a:graphic>
                      </wp:inline>
                    </w:drawing>
                  </w:r>
                </w:p>
              </w:tc>
              <w:tc>
                <w:tcPr>
                  <w:tcW w:w="1496" w:type="pct"/>
                  <w:tcBorders>
                    <w:tl2br w:val="nil"/>
                    <w:tr2bl w:val="nil"/>
                  </w:tcBorders>
                  <w:vAlign w:val="center"/>
                </w:tcPr>
                <w:p w14:paraId="690394E8">
                  <w:pPr>
                    <w:pStyle w:val="57"/>
                    <w:rPr>
                      <w:b w:val="0"/>
                      <w:bCs/>
                      <w:lang w:val="zh-CN"/>
                    </w:rPr>
                  </w:pPr>
                  <w:r>
                    <w:rPr>
                      <w:b w:val="0"/>
                      <w:bCs/>
                    </w:rPr>
                    <w:t>标</w:t>
                  </w:r>
                  <w:r>
                    <w:rPr>
                      <w:b w:val="0"/>
                      <w:bCs/>
                      <w:lang w:val="zh-CN"/>
                    </w:rPr>
                    <w:t>志名称：危险废物</w:t>
                  </w:r>
                </w:p>
                <w:p w14:paraId="49746CC3">
                  <w:pPr>
                    <w:pStyle w:val="57"/>
                    <w:rPr>
                      <w:b w:val="0"/>
                      <w:bCs/>
                      <w:lang w:val="zh-CN"/>
                    </w:rPr>
                  </w:pPr>
                  <w:r>
                    <w:rPr>
                      <w:b w:val="0"/>
                      <w:bCs/>
                      <w:lang w:val="zh-CN"/>
                    </w:rPr>
                    <w:t>国标代码：</w:t>
                  </w:r>
                  <w:r>
                    <w:rPr>
                      <w:b w:val="0"/>
                      <w:bCs/>
                    </w:rPr>
                    <w:t>GB 18597-2023</w:t>
                  </w:r>
                </w:p>
              </w:tc>
              <w:tc>
                <w:tcPr>
                  <w:tcW w:w="2031" w:type="pct"/>
                  <w:tcBorders>
                    <w:tl2br w:val="nil"/>
                    <w:tr2bl w:val="nil"/>
                  </w:tcBorders>
                  <w:vAlign w:val="center"/>
                </w:tcPr>
                <w:p w14:paraId="127D3E93">
                  <w:pPr>
                    <w:pStyle w:val="57"/>
                    <w:rPr>
                      <w:b w:val="0"/>
                      <w:bCs/>
                      <w:lang w:val="zh-CN"/>
                    </w:rPr>
                  </w:pPr>
                  <w:r>
                    <w:rPr>
                      <w:b w:val="0"/>
                      <w:bCs/>
                      <w:lang w:val="zh-CN"/>
                    </w:rPr>
                    <w:t>危险废物处置场所</w:t>
                  </w:r>
                </w:p>
              </w:tc>
            </w:tr>
          </w:tbl>
          <w:p w14:paraId="59FCDAFF">
            <w:pPr>
              <w:pStyle w:val="111"/>
              <w:ind w:firstLine="0" w:firstLineChars="0"/>
              <w:rPr>
                <w:rFonts w:hint="default"/>
                <w:color w:val="auto"/>
              </w:rPr>
            </w:pPr>
            <w:r>
              <w:rPr>
                <w:rFonts w:hint="eastAsia"/>
                <w:color w:val="auto"/>
                <w:lang w:eastAsia="zh-CN"/>
              </w:rPr>
              <w:t>4.</w:t>
            </w:r>
            <w:r>
              <w:rPr>
                <w:color w:val="auto"/>
              </w:rPr>
              <w:t>‌环保设施的安全管控要求‌：</w:t>
            </w:r>
          </w:p>
          <w:p w14:paraId="546A5967">
            <w:pPr>
              <w:pStyle w:val="111"/>
              <w:rPr>
                <w:rFonts w:hint="default"/>
                <w:color w:val="auto"/>
              </w:rPr>
            </w:pPr>
            <w:r>
              <w:rPr>
                <w:color w:val="auto"/>
              </w:rPr>
              <w:t>‌环保装置的运行管理‌：环保装置必须与生产主体设备同时运转、同时维护保养。环保装置由专人管理，按操作规程进行操作，并建立健全岗位责任制和操作规程，做好运行记录。出现故障应及时维修，杜绝“带病”运行，确保设备完好‌。</w:t>
            </w:r>
          </w:p>
          <w:p w14:paraId="0EF4AC6C">
            <w:pPr>
              <w:pStyle w:val="111"/>
              <w:rPr>
                <w:rFonts w:hint="default"/>
                <w:color w:val="auto"/>
              </w:rPr>
            </w:pPr>
            <w:r>
              <w:rPr>
                <w:color w:val="auto"/>
              </w:rPr>
              <w:t>‌污水处理设施的运行管理‌：处理后的水质必须达到国家或地方规定的排放标准。设施必须配备专门操作人员，建立健全岗位责任制和操作规程，操作人员必须按规程操作并做好设施运行记录和监测结果记录‌。</w:t>
            </w:r>
          </w:p>
          <w:p w14:paraId="5B876334">
            <w:pPr>
              <w:pStyle w:val="111"/>
              <w:rPr>
                <w:rFonts w:hint="default"/>
                <w:color w:val="auto"/>
              </w:rPr>
            </w:pPr>
            <w:r>
              <w:rPr>
                <w:color w:val="auto"/>
              </w:rPr>
              <w:t>‌安全生产责任‌：企业必须落实安全生产主体责任，确保环保设备设施的安全运行。企业应建立健全安全生产责任制，明确各级管理人员和员工的安全生产职责，定期组织安全生产检查和评估‌。</w:t>
            </w:r>
          </w:p>
          <w:p w14:paraId="73F5B607">
            <w:pPr>
              <w:pStyle w:val="111"/>
              <w:rPr>
                <w:rFonts w:hint="default"/>
                <w:color w:val="auto"/>
              </w:rPr>
            </w:pPr>
            <w:r>
              <w:rPr>
                <w:color w:val="auto"/>
              </w:rPr>
              <w:t>‌应急管理‌：制定应急预案，定期组织应急演练，提高全员应急反应能力，确保在突发事件中能够迅速有效处置。在环保设施的关键位置设置安全警示标识，明确操作规范和注意事项，</w:t>
            </w:r>
            <w:r>
              <w:rPr>
                <w:rFonts w:hint="eastAsia"/>
                <w:color w:val="auto"/>
                <w:lang w:eastAsia="zh-CN"/>
              </w:rPr>
              <w:t>增强</w:t>
            </w:r>
            <w:r>
              <w:rPr>
                <w:color w:val="auto"/>
              </w:rPr>
              <w:t>员工安全意识‌。</w:t>
            </w:r>
          </w:p>
          <w:p w14:paraId="26052337">
            <w:pPr>
              <w:pStyle w:val="111"/>
              <w:rPr>
                <w:rFonts w:hint="eastAsia"/>
                <w:color w:val="auto"/>
                <w:lang w:eastAsia="zh-CN"/>
              </w:rPr>
            </w:pPr>
            <w:r>
              <w:rPr>
                <w:color w:val="auto"/>
              </w:rPr>
              <w:t>通过以上措施，可以有效保障环保设施的安全运行，防范安全事故的发生，确保生态环境和公众健康</w:t>
            </w:r>
            <w:r>
              <w:rPr>
                <w:rFonts w:hint="eastAsia"/>
                <w:color w:val="auto"/>
                <w:lang w:eastAsia="zh-CN"/>
              </w:rPr>
              <w:t>。</w:t>
            </w:r>
          </w:p>
          <w:p w14:paraId="4468119A">
            <w:pPr>
              <w:pStyle w:val="111"/>
              <w:rPr>
                <w:rFonts w:hint="eastAsia"/>
                <w:color w:val="auto"/>
                <w:lang w:eastAsia="zh-CN"/>
              </w:rPr>
            </w:pPr>
          </w:p>
          <w:p w14:paraId="0D778949">
            <w:pPr>
              <w:pStyle w:val="111"/>
              <w:rPr>
                <w:rFonts w:hint="eastAsia"/>
                <w:color w:val="auto"/>
                <w:lang w:eastAsia="zh-CN"/>
              </w:rPr>
            </w:pPr>
          </w:p>
          <w:p w14:paraId="17707107">
            <w:pPr>
              <w:pStyle w:val="111"/>
              <w:rPr>
                <w:rFonts w:hint="eastAsia"/>
                <w:color w:val="auto"/>
                <w:lang w:eastAsia="zh-CN"/>
              </w:rPr>
            </w:pPr>
          </w:p>
          <w:p w14:paraId="11666002">
            <w:pPr>
              <w:pStyle w:val="111"/>
              <w:rPr>
                <w:rFonts w:hint="eastAsia"/>
                <w:color w:val="auto"/>
                <w:lang w:eastAsia="zh-CN"/>
              </w:rPr>
            </w:pPr>
          </w:p>
          <w:p w14:paraId="6FEFB9DF">
            <w:pPr>
              <w:pStyle w:val="111"/>
              <w:rPr>
                <w:rFonts w:hint="eastAsia"/>
                <w:color w:val="auto"/>
                <w:lang w:eastAsia="zh-CN"/>
              </w:rPr>
            </w:pPr>
          </w:p>
          <w:p w14:paraId="045A9B64">
            <w:pPr>
              <w:pStyle w:val="111"/>
              <w:rPr>
                <w:rFonts w:hint="eastAsia"/>
                <w:color w:val="auto"/>
                <w:lang w:eastAsia="zh-CN"/>
              </w:rPr>
            </w:pPr>
          </w:p>
          <w:p w14:paraId="3380BFA7">
            <w:pPr>
              <w:pStyle w:val="111"/>
              <w:rPr>
                <w:rFonts w:hint="eastAsia"/>
                <w:color w:val="auto"/>
                <w:lang w:eastAsia="zh-CN"/>
              </w:rPr>
            </w:pPr>
          </w:p>
          <w:p w14:paraId="0727CD81">
            <w:pPr>
              <w:pStyle w:val="111"/>
              <w:rPr>
                <w:rFonts w:hint="eastAsia"/>
                <w:color w:val="auto"/>
                <w:lang w:eastAsia="zh-CN"/>
              </w:rPr>
            </w:pPr>
          </w:p>
          <w:p w14:paraId="6C924031">
            <w:pPr>
              <w:pStyle w:val="111"/>
              <w:rPr>
                <w:rFonts w:hint="eastAsia"/>
                <w:color w:val="auto"/>
                <w:lang w:eastAsia="zh-CN"/>
              </w:rPr>
            </w:pPr>
          </w:p>
          <w:p w14:paraId="09965B09">
            <w:pPr>
              <w:pStyle w:val="111"/>
              <w:rPr>
                <w:rFonts w:hint="eastAsia"/>
                <w:color w:val="auto"/>
                <w:lang w:eastAsia="zh-CN"/>
              </w:rPr>
            </w:pPr>
          </w:p>
          <w:p w14:paraId="6CE4A12B">
            <w:pPr>
              <w:pStyle w:val="111"/>
              <w:rPr>
                <w:rFonts w:hint="eastAsia"/>
                <w:color w:val="auto"/>
                <w:lang w:eastAsia="zh-CN"/>
              </w:rPr>
            </w:pPr>
          </w:p>
          <w:p w14:paraId="7996419C">
            <w:pPr>
              <w:pStyle w:val="111"/>
              <w:rPr>
                <w:rFonts w:hint="eastAsia"/>
                <w:color w:val="auto"/>
                <w:lang w:eastAsia="zh-CN"/>
              </w:rPr>
            </w:pPr>
          </w:p>
          <w:p w14:paraId="55D87057">
            <w:pPr>
              <w:pStyle w:val="111"/>
              <w:rPr>
                <w:rFonts w:hint="eastAsia"/>
                <w:color w:val="auto"/>
                <w:lang w:eastAsia="zh-CN"/>
              </w:rPr>
            </w:pPr>
          </w:p>
          <w:p w14:paraId="0294A98E">
            <w:pPr>
              <w:pStyle w:val="111"/>
              <w:rPr>
                <w:rFonts w:hint="eastAsia"/>
                <w:color w:val="auto"/>
                <w:lang w:eastAsia="zh-CN"/>
              </w:rPr>
            </w:pPr>
          </w:p>
          <w:p w14:paraId="6CBECD6D">
            <w:pPr>
              <w:pStyle w:val="111"/>
              <w:rPr>
                <w:rFonts w:hint="eastAsia"/>
                <w:color w:val="auto"/>
                <w:lang w:eastAsia="zh-CN"/>
              </w:rPr>
            </w:pPr>
          </w:p>
          <w:p w14:paraId="658EB4E0">
            <w:pPr>
              <w:pStyle w:val="111"/>
              <w:rPr>
                <w:rFonts w:hint="eastAsia"/>
                <w:color w:val="auto"/>
                <w:lang w:eastAsia="zh-CN"/>
              </w:rPr>
            </w:pPr>
          </w:p>
          <w:p w14:paraId="5162696E">
            <w:pPr>
              <w:pStyle w:val="111"/>
              <w:rPr>
                <w:rFonts w:hint="eastAsia"/>
                <w:color w:val="auto"/>
                <w:lang w:eastAsia="zh-CN"/>
              </w:rPr>
            </w:pPr>
          </w:p>
          <w:p w14:paraId="62BE8AA0">
            <w:pPr>
              <w:pStyle w:val="111"/>
              <w:rPr>
                <w:rFonts w:hint="eastAsia"/>
                <w:color w:val="auto"/>
                <w:lang w:eastAsia="zh-CN"/>
              </w:rPr>
            </w:pPr>
          </w:p>
          <w:p w14:paraId="44A84BC6">
            <w:pPr>
              <w:pStyle w:val="111"/>
              <w:rPr>
                <w:rFonts w:hint="eastAsia"/>
                <w:color w:val="auto"/>
                <w:lang w:eastAsia="zh-CN"/>
              </w:rPr>
            </w:pPr>
          </w:p>
          <w:p w14:paraId="3CED64B7">
            <w:pPr>
              <w:pStyle w:val="111"/>
              <w:rPr>
                <w:rFonts w:hint="eastAsia"/>
                <w:color w:val="auto"/>
                <w:lang w:eastAsia="zh-CN"/>
              </w:rPr>
            </w:pPr>
          </w:p>
          <w:p w14:paraId="34551937">
            <w:pPr>
              <w:pStyle w:val="111"/>
              <w:rPr>
                <w:rFonts w:hint="default"/>
                <w:color w:val="auto"/>
              </w:rPr>
            </w:pPr>
          </w:p>
          <w:p w14:paraId="09C51C41">
            <w:pPr>
              <w:pStyle w:val="111"/>
              <w:rPr>
                <w:rFonts w:hint="default"/>
                <w:color w:val="auto"/>
              </w:rPr>
            </w:pPr>
          </w:p>
        </w:tc>
      </w:tr>
    </w:tbl>
    <w:p w14:paraId="2069354C">
      <w:pPr>
        <w:wordWrap w:val="0"/>
        <w:adjustRightInd w:val="0"/>
        <w:snapToGrid w:val="0"/>
        <w:spacing w:line="360" w:lineRule="auto"/>
        <w:rPr>
          <w:rFonts w:cs="宋体"/>
          <w:b/>
          <w:kern w:val="0"/>
          <w:sz w:val="28"/>
          <w:szCs w:val="28"/>
        </w:rPr>
        <w:sectPr>
          <w:pgSz w:w="11907" w:h="16840"/>
          <w:pgMar w:top="1440" w:right="1080" w:bottom="1440" w:left="1080" w:header="851" w:footer="851" w:gutter="0"/>
          <w:cols w:space="720" w:num="1"/>
          <w:docGrid w:linePitch="312" w:charSpace="0"/>
        </w:sectPr>
      </w:pPr>
    </w:p>
    <w:p w14:paraId="7F2E63C5">
      <w:pPr>
        <w:pStyle w:val="31"/>
        <w:wordWrap w:val="0"/>
        <w:spacing w:before="0" w:beforeAutospacing="0" w:after="0" w:afterAutospacing="0"/>
        <w:jc w:val="center"/>
        <w:outlineLvl w:val="0"/>
        <w:rPr>
          <w:rFonts w:ascii="Times New Roman" w:hAnsi="Times New Roman" w:eastAsia="黑体"/>
          <w:snapToGrid w:val="0"/>
          <w:sz w:val="30"/>
          <w:szCs w:val="30"/>
        </w:rPr>
      </w:pPr>
      <w:bookmarkStart w:id="28" w:name="_Toc12593"/>
      <w:bookmarkStart w:id="29" w:name="_Toc32509"/>
      <w:bookmarkStart w:id="30" w:name="_Toc9643"/>
      <w:r>
        <w:rPr>
          <w:rFonts w:hint="eastAsia" w:ascii="Times New Roman" w:hAnsi="Times New Roman" w:eastAsia="黑体"/>
          <w:snapToGrid w:val="0"/>
          <w:sz w:val="30"/>
          <w:szCs w:val="30"/>
        </w:rPr>
        <w:t>六、结论</w:t>
      </w:r>
      <w:bookmarkEnd w:id="28"/>
      <w:bookmarkEnd w:id="29"/>
      <w:bookmarkEnd w:id="30"/>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962"/>
      </w:tblGrid>
      <w:tr w14:paraId="41927B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18D3B553">
            <w:pPr>
              <w:pStyle w:val="111"/>
              <w:wordWrap w:val="0"/>
              <w:rPr>
                <w:rFonts w:hint="eastAsia"/>
                <w:color w:val="auto"/>
                <w:lang w:eastAsia="zh-CN"/>
              </w:rPr>
            </w:pPr>
            <w:r>
              <w:rPr>
                <w:color w:val="auto"/>
              </w:rPr>
              <w:t>综上所述，项目符合相关环保法规及政策；对项目进行环境影响分析，其污染对周围环境影响较小；其选址合理性可行。项目运营期采用的污染防治措施有效可行，废气、废水、噪声能够达标排放，固体废物得到合理有效处置。从环保角度认为本项目的建设可行</w:t>
            </w:r>
            <w:r>
              <w:rPr>
                <w:rFonts w:hint="eastAsia"/>
                <w:color w:val="auto"/>
                <w:lang w:eastAsia="zh-CN"/>
              </w:rPr>
              <w:t>。</w:t>
            </w:r>
          </w:p>
          <w:p w14:paraId="708887FC">
            <w:pPr>
              <w:pStyle w:val="111"/>
              <w:wordWrap w:val="0"/>
              <w:rPr>
                <w:rFonts w:hint="eastAsia"/>
                <w:color w:val="auto"/>
                <w:lang w:eastAsia="zh-CN"/>
              </w:rPr>
            </w:pPr>
          </w:p>
          <w:p w14:paraId="6E8097EC">
            <w:pPr>
              <w:pStyle w:val="111"/>
              <w:wordWrap w:val="0"/>
              <w:rPr>
                <w:rFonts w:hint="eastAsia"/>
                <w:color w:val="auto"/>
                <w:lang w:eastAsia="zh-CN"/>
              </w:rPr>
            </w:pPr>
          </w:p>
          <w:p w14:paraId="7A11FA41">
            <w:pPr>
              <w:pStyle w:val="111"/>
              <w:wordWrap w:val="0"/>
              <w:rPr>
                <w:rFonts w:hint="eastAsia"/>
                <w:color w:val="auto"/>
                <w:lang w:eastAsia="zh-CN"/>
              </w:rPr>
            </w:pPr>
          </w:p>
          <w:p w14:paraId="1963DF40">
            <w:pPr>
              <w:pStyle w:val="111"/>
              <w:wordWrap w:val="0"/>
              <w:rPr>
                <w:rFonts w:hint="eastAsia"/>
                <w:color w:val="auto"/>
                <w:lang w:eastAsia="zh-CN"/>
              </w:rPr>
            </w:pPr>
          </w:p>
          <w:p w14:paraId="4BEA4CBA">
            <w:pPr>
              <w:pStyle w:val="111"/>
              <w:wordWrap w:val="0"/>
              <w:rPr>
                <w:rFonts w:hint="eastAsia"/>
                <w:color w:val="auto"/>
                <w:lang w:eastAsia="zh-CN"/>
              </w:rPr>
            </w:pPr>
          </w:p>
          <w:p w14:paraId="5B3FFA2F">
            <w:pPr>
              <w:pStyle w:val="111"/>
              <w:wordWrap w:val="0"/>
              <w:rPr>
                <w:rFonts w:hint="eastAsia"/>
                <w:color w:val="auto"/>
                <w:lang w:eastAsia="zh-CN"/>
              </w:rPr>
            </w:pPr>
          </w:p>
          <w:p w14:paraId="611D852B">
            <w:pPr>
              <w:pStyle w:val="111"/>
              <w:wordWrap w:val="0"/>
              <w:rPr>
                <w:rFonts w:hint="eastAsia"/>
                <w:color w:val="auto"/>
                <w:lang w:eastAsia="zh-CN"/>
              </w:rPr>
            </w:pPr>
          </w:p>
          <w:p w14:paraId="05180A39">
            <w:pPr>
              <w:pStyle w:val="111"/>
              <w:wordWrap w:val="0"/>
              <w:rPr>
                <w:rFonts w:hint="eastAsia"/>
                <w:color w:val="auto"/>
                <w:lang w:eastAsia="zh-CN"/>
              </w:rPr>
            </w:pPr>
          </w:p>
          <w:p w14:paraId="62741866">
            <w:pPr>
              <w:pStyle w:val="111"/>
              <w:wordWrap w:val="0"/>
              <w:rPr>
                <w:rFonts w:hint="eastAsia"/>
                <w:color w:val="auto"/>
                <w:lang w:eastAsia="zh-CN"/>
              </w:rPr>
            </w:pPr>
          </w:p>
          <w:p w14:paraId="12A102A4">
            <w:pPr>
              <w:pStyle w:val="111"/>
              <w:wordWrap w:val="0"/>
              <w:rPr>
                <w:rFonts w:hint="eastAsia"/>
                <w:color w:val="auto"/>
                <w:lang w:eastAsia="zh-CN"/>
              </w:rPr>
            </w:pPr>
          </w:p>
          <w:p w14:paraId="571750E7">
            <w:pPr>
              <w:pStyle w:val="111"/>
              <w:wordWrap w:val="0"/>
              <w:rPr>
                <w:rFonts w:hint="eastAsia"/>
                <w:color w:val="auto"/>
                <w:lang w:eastAsia="zh-CN"/>
              </w:rPr>
            </w:pPr>
          </w:p>
          <w:p w14:paraId="36723060">
            <w:pPr>
              <w:pStyle w:val="111"/>
              <w:wordWrap w:val="0"/>
              <w:rPr>
                <w:rFonts w:hint="eastAsia"/>
                <w:color w:val="auto"/>
                <w:lang w:eastAsia="zh-CN"/>
              </w:rPr>
            </w:pPr>
          </w:p>
          <w:p w14:paraId="3348F731">
            <w:pPr>
              <w:pStyle w:val="111"/>
              <w:wordWrap w:val="0"/>
              <w:rPr>
                <w:rFonts w:hint="eastAsia"/>
                <w:color w:val="auto"/>
                <w:lang w:eastAsia="zh-CN"/>
              </w:rPr>
            </w:pPr>
          </w:p>
          <w:p w14:paraId="6F27EBBB">
            <w:pPr>
              <w:pStyle w:val="111"/>
              <w:wordWrap w:val="0"/>
              <w:rPr>
                <w:rFonts w:hint="eastAsia"/>
                <w:color w:val="auto"/>
                <w:lang w:eastAsia="zh-CN"/>
              </w:rPr>
            </w:pPr>
          </w:p>
          <w:p w14:paraId="1490D17B">
            <w:pPr>
              <w:pStyle w:val="111"/>
              <w:wordWrap w:val="0"/>
              <w:rPr>
                <w:rFonts w:hint="eastAsia"/>
                <w:color w:val="auto"/>
                <w:lang w:eastAsia="zh-CN"/>
              </w:rPr>
            </w:pPr>
          </w:p>
          <w:p w14:paraId="7733792E">
            <w:pPr>
              <w:pStyle w:val="111"/>
              <w:wordWrap w:val="0"/>
              <w:rPr>
                <w:rFonts w:hint="eastAsia"/>
                <w:color w:val="auto"/>
                <w:lang w:eastAsia="zh-CN"/>
              </w:rPr>
            </w:pPr>
          </w:p>
          <w:p w14:paraId="6DB694E0">
            <w:pPr>
              <w:pStyle w:val="111"/>
              <w:wordWrap w:val="0"/>
              <w:rPr>
                <w:rFonts w:hint="eastAsia"/>
                <w:color w:val="auto"/>
                <w:lang w:eastAsia="zh-CN"/>
              </w:rPr>
            </w:pPr>
          </w:p>
          <w:p w14:paraId="4E884F42">
            <w:pPr>
              <w:pStyle w:val="111"/>
              <w:wordWrap w:val="0"/>
              <w:rPr>
                <w:rFonts w:hint="eastAsia"/>
                <w:color w:val="auto"/>
                <w:lang w:eastAsia="zh-CN"/>
              </w:rPr>
            </w:pPr>
          </w:p>
          <w:p w14:paraId="29E3673A">
            <w:pPr>
              <w:pStyle w:val="111"/>
              <w:wordWrap w:val="0"/>
              <w:rPr>
                <w:rFonts w:hint="eastAsia"/>
                <w:color w:val="auto"/>
                <w:lang w:eastAsia="zh-CN"/>
              </w:rPr>
            </w:pPr>
          </w:p>
          <w:p w14:paraId="1C9C2C29">
            <w:pPr>
              <w:pStyle w:val="111"/>
              <w:wordWrap w:val="0"/>
              <w:rPr>
                <w:rFonts w:hint="eastAsia"/>
                <w:color w:val="auto"/>
                <w:lang w:eastAsia="zh-CN"/>
              </w:rPr>
            </w:pPr>
          </w:p>
          <w:p w14:paraId="202953F3">
            <w:pPr>
              <w:pStyle w:val="111"/>
              <w:wordWrap w:val="0"/>
              <w:rPr>
                <w:rFonts w:hint="eastAsia"/>
                <w:color w:val="auto"/>
                <w:lang w:eastAsia="zh-CN"/>
              </w:rPr>
            </w:pPr>
          </w:p>
          <w:p w14:paraId="6B29838B">
            <w:pPr>
              <w:pStyle w:val="111"/>
              <w:wordWrap w:val="0"/>
              <w:rPr>
                <w:rFonts w:hint="eastAsia"/>
                <w:color w:val="auto"/>
                <w:lang w:eastAsia="zh-CN"/>
              </w:rPr>
            </w:pPr>
          </w:p>
          <w:p w14:paraId="646F746A">
            <w:pPr>
              <w:pStyle w:val="111"/>
              <w:wordWrap w:val="0"/>
              <w:rPr>
                <w:rFonts w:hint="eastAsia"/>
                <w:color w:val="auto"/>
                <w:lang w:eastAsia="zh-CN"/>
              </w:rPr>
            </w:pPr>
          </w:p>
          <w:p w14:paraId="7E95C1D2">
            <w:pPr>
              <w:pStyle w:val="111"/>
              <w:wordWrap w:val="0"/>
              <w:rPr>
                <w:rFonts w:hint="eastAsia"/>
                <w:color w:val="auto"/>
                <w:lang w:eastAsia="zh-CN"/>
              </w:rPr>
            </w:pPr>
          </w:p>
          <w:p w14:paraId="3863B8BF">
            <w:pPr>
              <w:pStyle w:val="111"/>
              <w:wordWrap w:val="0"/>
              <w:rPr>
                <w:rFonts w:hint="eastAsia"/>
                <w:color w:val="auto"/>
                <w:lang w:eastAsia="zh-CN"/>
              </w:rPr>
            </w:pPr>
          </w:p>
          <w:p w14:paraId="34592AF5">
            <w:pPr>
              <w:pStyle w:val="111"/>
              <w:wordWrap w:val="0"/>
              <w:rPr>
                <w:rFonts w:hint="eastAsia"/>
                <w:color w:val="auto"/>
                <w:lang w:eastAsia="zh-CN"/>
              </w:rPr>
            </w:pPr>
          </w:p>
          <w:p w14:paraId="047D8C51">
            <w:pPr>
              <w:pStyle w:val="111"/>
              <w:wordWrap w:val="0"/>
              <w:rPr>
                <w:rFonts w:hint="eastAsia"/>
                <w:color w:val="auto"/>
                <w:lang w:eastAsia="zh-CN"/>
              </w:rPr>
            </w:pPr>
          </w:p>
          <w:p w14:paraId="31B6817E">
            <w:pPr>
              <w:pStyle w:val="111"/>
              <w:wordWrap w:val="0"/>
              <w:rPr>
                <w:rFonts w:hint="default"/>
                <w:color w:val="auto"/>
              </w:rPr>
            </w:pPr>
          </w:p>
          <w:p w14:paraId="6B69263A">
            <w:pPr>
              <w:pStyle w:val="111"/>
              <w:wordWrap w:val="0"/>
              <w:rPr>
                <w:rFonts w:hint="default"/>
                <w:color w:val="auto"/>
              </w:rPr>
            </w:pPr>
          </w:p>
        </w:tc>
      </w:tr>
    </w:tbl>
    <w:p w14:paraId="2B8EC368">
      <w:pPr>
        <w:wordWrap w:val="0"/>
        <w:sectPr>
          <w:pgSz w:w="11906" w:h="16838"/>
          <w:pgMar w:top="1440" w:right="1080" w:bottom="1440" w:left="1080" w:header="851" w:footer="851" w:gutter="0"/>
          <w:cols w:space="720" w:num="1"/>
          <w:docGrid w:linePitch="312" w:charSpace="0"/>
        </w:sectPr>
      </w:pPr>
    </w:p>
    <w:p w14:paraId="1EEB2401">
      <w:pPr>
        <w:pStyle w:val="31"/>
        <w:wordWrap w:val="0"/>
        <w:adjustRightInd w:val="0"/>
        <w:snapToGrid w:val="0"/>
        <w:spacing w:before="0" w:beforeAutospacing="0" w:after="0" w:afterAutospacing="0"/>
        <w:outlineLvl w:val="0"/>
        <w:rPr>
          <w:rFonts w:ascii="Times New Roman" w:hAnsi="Times New Roman" w:eastAsia="黑体"/>
          <w:snapToGrid w:val="0"/>
          <w:sz w:val="28"/>
          <w:szCs w:val="28"/>
        </w:rPr>
      </w:pPr>
      <w:bookmarkStart w:id="31" w:name="_Toc10255"/>
      <w:bookmarkStart w:id="32" w:name="_Toc14381"/>
      <w:bookmarkStart w:id="33" w:name="_Toc29153"/>
      <w:r>
        <w:rPr>
          <w:rFonts w:hint="eastAsia" w:ascii="Times New Roman" w:hAnsi="Times New Roman" w:eastAsia="黑体"/>
          <w:snapToGrid w:val="0"/>
          <w:sz w:val="28"/>
          <w:szCs w:val="28"/>
        </w:rPr>
        <w:t>附表</w:t>
      </w:r>
      <w:bookmarkEnd w:id="31"/>
      <w:bookmarkEnd w:id="32"/>
      <w:bookmarkEnd w:id="33"/>
    </w:p>
    <w:p w14:paraId="3DD10F2F">
      <w:pPr>
        <w:pStyle w:val="31"/>
        <w:wordWrap w:val="0"/>
        <w:adjustRightInd w:val="0"/>
        <w:snapToGrid w:val="0"/>
        <w:spacing w:before="0" w:beforeAutospacing="0" w:after="0" w:afterAutospacing="0"/>
        <w:jc w:val="center"/>
        <w:outlineLvl w:val="0"/>
        <w:rPr>
          <w:rFonts w:ascii="Times New Roman" w:hAnsi="Times New Roman" w:eastAsia="方正小标宋_GBK"/>
          <w:snapToGrid w:val="0"/>
          <w:sz w:val="28"/>
          <w:szCs w:val="28"/>
        </w:rPr>
      </w:pPr>
      <w:bookmarkStart w:id="34" w:name="_Toc26319"/>
      <w:bookmarkStart w:id="35" w:name="_Toc32385"/>
      <w:bookmarkStart w:id="36" w:name="_Toc22262"/>
      <w:r>
        <w:rPr>
          <w:rFonts w:hint="eastAsia" w:ascii="Times New Roman" w:hAnsi="Times New Roman" w:eastAsia="方正小标宋_GBK"/>
          <w:snapToGrid w:val="0"/>
          <w:sz w:val="28"/>
          <w:szCs w:val="28"/>
        </w:rPr>
        <w:t>建设项目污染物排放量汇总表</w:t>
      </w:r>
      <w:bookmarkEnd w:id="34"/>
      <w:bookmarkEnd w:id="35"/>
      <w:bookmarkEnd w:id="36"/>
    </w:p>
    <w:tbl>
      <w:tblPr>
        <w:tblStyle w:val="35"/>
        <w:tblW w:w="497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0"/>
        <w:gridCol w:w="2802"/>
        <w:gridCol w:w="1596"/>
        <w:gridCol w:w="1118"/>
        <w:gridCol w:w="1807"/>
        <w:gridCol w:w="1656"/>
        <w:gridCol w:w="1871"/>
        <w:gridCol w:w="1769"/>
        <w:gridCol w:w="1189"/>
      </w:tblGrid>
      <w:tr w14:paraId="5E34D5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tcBorders>
              <w:tl2br w:val="single" w:color="auto" w:sz="4" w:space="0"/>
            </w:tcBorders>
            <w:tcMar>
              <w:left w:w="28" w:type="dxa"/>
              <w:right w:w="28" w:type="dxa"/>
            </w:tcMar>
            <w:vAlign w:val="center"/>
          </w:tcPr>
          <w:p w14:paraId="1840493B">
            <w:pPr>
              <w:pStyle w:val="43"/>
              <w:wordWrap w:val="0"/>
              <w:spacing w:before="24" w:after="24" w:line="240" w:lineRule="auto"/>
              <w:ind w:left="396" w:hanging="396"/>
              <w:rPr>
                <w:rFonts w:ascii="Times New Roman" w:eastAsia="黑体" w:cs="宋体"/>
                <w:snapToGrid w:val="0"/>
                <w:color w:val="auto"/>
                <w:spacing w:val="-6"/>
                <w:kern w:val="21"/>
                <w:szCs w:val="21"/>
              </w:rPr>
            </w:pPr>
            <w:r>
              <w:rPr>
                <w:rFonts w:hint="eastAsia" w:ascii="Times New Roman" w:eastAsia="黑体" w:cs="宋体"/>
                <w:snapToGrid w:val="0"/>
                <w:color w:val="auto"/>
                <w:spacing w:val="-6"/>
                <w:kern w:val="21"/>
                <w:szCs w:val="21"/>
              </w:rPr>
              <w:t>项目</w:t>
            </w:r>
          </w:p>
          <w:p w14:paraId="75461706">
            <w:pPr>
              <w:pStyle w:val="43"/>
              <w:wordWrap w:val="0"/>
              <w:spacing w:before="24" w:after="24" w:line="240" w:lineRule="auto"/>
              <w:ind w:left="396" w:hanging="396"/>
              <w:rPr>
                <w:rFonts w:ascii="Times New Roman" w:eastAsia="黑体" w:cs="宋体"/>
                <w:snapToGrid w:val="0"/>
                <w:color w:val="auto"/>
                <w:spacing w:val="-6"/>
                <w:kern w:val="21"/>
                <w:szCs w:val="21"/>
              </w:rPr>
            </w:pPr>
            <w:r>
              <w:rPr>
                <w:rFonts w:hint="eastAsia" w:ascii="Times New Roman" w:eastAsia="黑体" w:cs="宋体"/>
                <w:snapToGrid w:val="0"/>
                <w:color w:val="auto"/>
                <w:spacing w:val="-6"/>
                <w:kern w:val="21"/>
                <w:szCs w:val="21"/>
              </w:rPr>
              <w:t>分类</w:t>
            </w:r>
          </w:p>
        </w:tc>
        <w:tc>
          <w:tcPr>
            <w:tcW w:w="2802" w:type="dxa"/>
            <w:tcMar>
              <w:left w:w="28" w:type="dxa"/>
              <w:right w:w="28" w:type="dxa"/>
            </w:tcMar>
            <w:vAlign w:val="center"/>
          </w:tcPr>
          <w:p w14:paraId="1CEE4308">
            <w:pPr>
              <w:pStyle w:val="43"/>
              <w:wordWrap w:val="0"/>
              <w:spacing w:before="24" w:after="24" w:line="240" w:lineRule="auto"/>
              <w:ind w:left="396" w:hanging="396"/>
              <w:rPr>
                <w:rFonts w:ascii="Times New Roman" w:eastAsia="黑体" w:cs="宋体"/>
                <w:snapToGrid w:val="0"/>
                <w:color w:val="auto"/>
                <w:spacing w:val="-6"/>
                <w:kern w:val="21"/>
                <w:szCs w:val="21"/>
              </w:rPr>
            </w:pPr>
            <w:r>
              <w:rPr>
                <w:rFonts w:hint="eastAsia" w:ascii="Times New Roman" w:eastAsia="黑体" w:cs="宋体"/>
                <w:snapToGrid w:val="0"/>
                <w:color w:val="auto"/>
                <w:spacing w:val="-6"/>
                <w:kern w:val="21"/>
                <w:szCs w:val="21"/>
              </w:rPr>
              <w:t>污染物名称</w:t>
            </w:r>
          </w:p>
        </w:tc>
        <w:tc>
          <w:tcPr>
            <w:tcW w:w="1596" w:type="dxa"/>
            <w:tcMar>
              <w:left w:w="28" w:type="dxa"/>
              <w:right w:w="28" w:type="dxa"/>
            </w:tcMar>
            <w:vAlign w:val="center"/>
          </w:tcPr>
          <w:p w14:paraId="7B8E5B80">
            <w:pPr>
              <w:pStyle w:val="43"/>
              <w:wordWrap w:val="0"/>
              <w:spacing w:before="24" w:after="24" w:line="240" w:lineRule="auto"/>
              <w:ind w:left="396" w:hanging="396"/>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14:paraId="1F593649">
            <w:pPr>
              <w:pStyle w:val="43"/>
              <w:wordWrap w:val="0"/>
              <w:spacing w:before="24" w:after="24" w:line="240" w:lineRule="auto"/>
              <w:ind w:left="396" w:hanging="396"/>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w:t>
            </w:r>
            <w:r>
              <w:rPr>
                <w:rFonts w:hint="eastAsia" w:ascii="Times New Roman" w:eastAsia="黑体"/>
                <w:snapToGrid w:val="0"/>
                <w:color w:val="auto"/>
                <w:spacing w:val="-6"/>
                <w:kern w:val="21"/>
                <w:szCs w:val="21"/>
              </w:rPr>
              <w:t>体</w:t>
            </w:r>
            <w:r>
              <w:rPr>
                <w:rFonts w:ascii="Times New Roman" w:eastAsia="黑体"/>
                <w:snapToGrid w:val="0"/>
                <w:color w:val="auto"/>
                <w:spacing w:val="-6"/>
                <w:kern w:val="21"/>
                <w:szCs w:val="21"/>
              </w:rPr>
              <w:t>废</w:t>
            </w:r>
            <w:r>
              <w:rPr>
                <w:rFonts w:hint="eastAsia" w:ascii="Times New Roman" w:eastAsia="黑体"/>
                <w:snapToGrid w:val="0"/>
                <w:color w:val="auto"/>
                <w:spacing w:val="-6"/>
                <w:kern w:val="21"/>
                <w:szCs w:val="21"/>
              </w:rPr>
              <w:t>物</w:t>
            </w:r>
            <w:r>
              <w:rPr>
                <w:rFonts w:ascii="Times New Roman" w:eastAsia="黑体"/>
                <w:snapToGrid w:val="0"/>
                <w:color w:val="auto"/>
                <w:spacing w:val="-6"/>
                <w:kern w:val="21"/>
                <w:szCs w:val="21"/>
              </w:rPr>
              <w:t>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=1\*GB3\*MERGEFORMAT</w:instrText>
            </w:r>
            <w:r>
              <w:rPr>
                <w:rFonts w:ascii="Times New Roman" w:eastAsia="黑体"/>
                <w:snapToGrid w:val="0"/>
                <w:color w:val="auto"/>
                <w:spacing w:val="-6"/>
                <w:kern w:val="21"/>
                <w:szCs w:val="21"/>
              </w:rPr>
              <w:fldChar w:fldCharType="separate"/>
            </w:r>
            <w:r>
              <w:rPr>
                <w:rFonts w:hint="eastAsia" w:ascii="Times New Roman" w:eastAsia="黑体" w:cs="宋体"/>
                <w:color w:val="auto"/>
                <w:kern w:val="2"/>
                <w:szCs w:val="21"/>
              </w:rPr>
              <w:t>①</w:t>
            </w:r>
            <w:r>
              <w:rPr>
                <w:rFonts w:ascii="Times New Roman" w:eastAsia="黑体"/>
                <w:snapToGrid w:val="0"/>
                <w:color w:val="auto"/>
                <w:spacing w:val="-6"/>
                <w:kern w:val="21"/>
                <w:szCs w:val="21"/>
              </w:rPr>
              <w:fldChar w:fldCharType="end"/>
            </w:r>
          </w:p>
        </w:tc>
        <w:tc>
          <w:tcPr>
            <w:tcW w:w="1118" w:type="dxa"/>
            <w:tcMar>
              <w:left w:w="28" w:type="dxa"/>
              <w:right w:w="28" w:type="dxa"/>
            </w:tcMar>
            <w:vAlign w:val="center"/>
          </w:tcPr>
          <w:p w14:paraId="3C8460DE">
            <w:pPr>
              <w:pStyle w:val="43"/>
              <w:wordWrap w:val="0"/>
              <w:spacing w:before="24" w:after="24" w:line="240" w:lineRule="auto"/>
              <w:ind w:left="396" w:hanging="396"/>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14:paraId="3D84F007">
            <w:pPr>
              <w:pStyle w:val="43"/>
              <w:wordWrap w:val="0"/>
              <w:spacing w:before="24" w:after="24" w:line="240" w:lineRule="auto"/>
              <w:ind w:left="396" w:hanging="396"/>
              <w:rPr>
                <w:rFonts w:ascii="Times New Roman" w:eastAsia="黑体"/>
                <w:snapToGrid w:val="0"/>
                <w:color w:val="auto"/>
                <w:spacing w:val="-6"/>
                <w:kern w:val="21"/>
                <w:szCs w:val="21"/>
              </w:rPr>
            </w:pPr>
            <w:r>
              <w:rPr>
                <w:rFonts w:ascii="Times New Roman" w:eastAsia="黑体"/>
                <w:snapToGrid w:val="0"/>
                <w:color w:val="auto"/>
                <w:spacing w:val="-6"/>
                <w:kern w:val="21"/>
                <w:szCs w:val="21"/>
              </w:rPr>
              <w:t>许可排放量</w:t>
            </w:r>
          </w:p>
          <w:p w14:paraId="2FF90C0B">
            <w:pPr>
              <w:pStyle w:val="43"/>
              <w:wordWrap w:val="0"/>
              <w:spacing w:before="24" w:after="24"/>
              <w:ind w:left="420" w:hanging="420"/>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=2\*GB3\*MERGEFORMAT</w:instrText>
            </w:r>
            <w:r>
              <w:rPr>
                <w:rFonts w:ascii="Times New Roman" w:eastAsia="黑体"/>
                <w:snapToGrid w:val="0"/>
                <w:color w:val="auto"/>
                <w:spacing w:val="-6"/>
                <w:kern w:val="21"/>
                <w:szCs w:val="21"/>
              </w:rPr>
              <w:fldChar w:fldCharType="separate"/>
            </w:r>
            <w:r>
              <w:rPr>
                <w:rFonts w:hint="eastAsia" w:ascii="Times New Roman" w:eastAsia="黑体" w:cs="宋体"/>
                <w:snapToGrid w:val="0"/>
                <w:color w:val="auto"/>
                <w:spacing w:val="-6"/>
                <w:kern w:val="21"/>
                <w:szCs w:val="21"/>
              </w:rPr>
              <w:t>②</w:t>
            </w:r>
            <w:r>
              <w:rPr>
                <w:rFonts w:ascii="Times New Roman" w:eastAsia="黑体"/>
                <w:snapToGrid w:val="0"/>
                <w:color w:val="auto"/>
                <w:spacing w:val="-6"/>
                <w:kern w:val="21"/>
                <w:szCs w:val="21"/>
              </w:rPr>
              <w:fldChar w:fldCharType="end"/>
            </w:r>
          </w:p>
        </w:tc>
        <w:tc>
          <w:tcPr>
            <w:tcW w:w="1807" w:type="dxa"/>
            <w:tcMar>
              <w:left w:w="28" w:type="dxa"/>
              <w:right w:w="28" w:type="dxa"/>
            </w:tcMar>
            <w:vAlign w:val="center"/>
          </w:tcPr>
          <w:p w14:paraId="004FD120">
            <w:pPr>
              <w:pStyle w:val="43"/>
              <w:wordWrap w:val="0"/>
              <w:spacing w:before="24" w:after="24" w:line="240" w:lineRule="auto"/>
              <w:ind w:left="396" w:hanging="396"/>
              <w:rPr>
                <w:rFonts w:ascii="Times New Roman" w:eastAsia="黑体"/>
                <w:snapToGrid w:val="0"/>
                <w:color w:val="auto"/>
                <w:spacing w:val="-6"/>
                <w:kern w:val="21"/>
                <w:szCs w:val="21"/>
              </w:rPr>
            </w:pPr>
            <w:r>
              <w:rPr>
                <w:rFonts w:ascii="Times New Roman" w:eastAsia="黑体"/>
                <w:snapToGrid w:val="0"/>
                <w:color w:val="auto"/>
                <w:spacing w:val="-6"/>
                <w:kern w:val="21"/>
                <w:szCs w:val="21"/>
              </w:rPr>
              <w:t>在建工程</w:t>
            </w:r>
          </w:p>
          <w:p w14:paraId="111664E9">
            <w:pPr>
              <w:pStyle w:val="43"/>
              <w:wordWrap w:val="0"/>
              <w:spacing w:before="24" w:after="24" w:line="240" w:lineRule="auto"/>
              <w:ind w:left="396" w:hanging="396"/>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w:t>
            </w:r>
            <w:r>
              <w:rPr>
                <w:rFonts w:hint="eastAsia" w:ascii="Times New Roman" w:eastAsia="黑体"/>
                <w:snapToGrid w:val="0"/>
                <w:color w:val="auto"/>
                <w:spacing w:val="-6"/>
                <w:kern w:val="21"/>
                <w:szCs w:val="21"/>
              </w:rPr>
              <w:t>体</w:t>
            </w:r>
            <w:r>
              <w:rPr>
                <w:rFonts w:ascii="Times New Roman" w:eastAsia="黑体"/>
                <w:snapToGrid w:val="0"/>
                <w:color w:val="auto"/>
                <w:spacing w:val="-6"/>
                <w:kern w:val="21"/>
                <w:szCs w:val="21"/>
              </w:rPr>
              <w:t>废</w:t>
            </w:r>
            <w:r>
              <w:rPr>
                <w:rFonts w:hint="eastAsia" w:ascii="Times New Roman" w:eastAsia="黑体"/>
                <w:snapToGrid w:val="0"/>
                <w:color w:val="auto"/>
                <w:spacing w:val="-6"/>
                <w:kern w:val="21"/>
                <w:szCs w:val="21"/>
              </w:rPr>
              <w:t>物</w:t>
            </w:r>
            <w:r>
              <w:rPr>
                <w:rFonts w:ascii="Times New Roman" w:eastAsia="黑体"/>
                <w:snapToGrid w:val="0"/>
                <w:color w:val="auto"/>
                <w:spacing w:val="-6"/>
                <w:kern w:val="21"/>
                <w:szCs w:val="21"/>
              </w:rPr>
              <w:t>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=3\*GB3\*MERGEFORMAT</w:instrText>
            </w:r>
            <w:r>
              <w:rPr>
                <w:rFonts w:ascii="Times New Roman" w:eastAsia="黑体"/>
                <w:snapToGrid w:val="0"/>
                <w:color w:val="auto"/>
                <w:spacing w:val="-6"/>
                <w:kern w:val="21"/>
                <w:szCs w:val="21"/>
              </w:rPr>
              <w:fldChar w:fldCharType="separate"/>
            </w:r>
            <w:r>
              <w:rPr>
                <w:rFonts w:hint="eastAsia" w:ascii="Times New Roman" w:eastAsia="黑体" w:cs="宋体"/>
                <w:color w:val="auto"/>
                <w:kern w:val="2"/>
                <w:szCs w:val="21"/>
              </w:rPr>
              <w:t>③</w:t>
            </w:r>
            <w:r>
              <w:rPr>
                <w:rFonts w:ascii="Times New Roman" w:eastAsia="黑体"/>
                <w:snapToGrid w:val="0"/>
                <w:color w:val="auto"/>
                <w:spacing w:val="-6"/>
                <w:kern w:val="21"/>
                <w:szCs w:val="21"/>
              </w:rPr>
              <w:fldChar w:fldCharType="end"/>
            </w:r>
          </w:p>
        </w:tc>
        <w:tc>
          <w:tcPr>
            <w:tcW w:w="1656" w:type="dxa"/>
            <w:tcMar>
              <w:left w:w="28" w:type="dxa"/>
              <w:right w:w="28" w:type="dxa"/>
            </w:tcMar>
            <w:vAlign w:val="center"/>
          </w:tcPr>
          <w:p w14:paraId="2329FF89">
            <w:pPr>
              <w:pStyle w:val="43"/>
              <w:wordWrap w:val="0"/>
              <w:spacing w:before="24" w:after="24" w:line="240" w:lineRule="auto"/>
              <w:ind w:left="396" w:hanging="396"/>
              <w:rPr>
                <w:rFonts w:ascii="Times New Roman" w:eastAsia="黑体"/>
                <w:snapToGrid w:val="0"/>
                <w:color w:val="auto"/>
                <w:spacing w:val="-6"/>
                <w:kern w:val="21"/>
                <w:szCs w:val="21"/>
              </w:rPr>
            </w:pPr>
            <w:r>
              <w:rPr>
                <w:rFonts w:ascii="Times New Roman" w:eastAsia="黑体"/>
                <w:snapToGrid w:val="0"/>
                <w:color w:val="auto"/>
                <w:spacing w:val="-6"/>
                <w:kern w:val="21"/>
                <w:szCs w:val="21"/>
              </w:rPr>
              <w:t>本项目</w:t>
            </w:r>
          </w:p>
          <w:p w14:paraId="1D3CF827">
            <w:pPr>
              <w:pStyle w:val="43"/>
              <w:wordWrap w:val="0"/>
              <w:spacing w:before="24" w:after="24" w:line="240" w:lineRule="auto"/>
              <w:ind w:left="396" w:hanging="396"/>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w:t>
            </w:r>
            <w:r>
              <w:rPr>
                <w:rFonts w:hint="eastAsia" w:ascii="Times New Roman" w:eastAsia="黑体"/>
                <w:snapToGrid w:val="0"/>
                <w:color w:val="auto"/>
                <w:spacing w:val="-6"/>
                <w:kern w:val="21"/>
                <w:szCs w:val="21"/>
              </w:rPr>
              <w:t>体</w:t>
            </w:r>
            <w:r>
              <w:rPr>
                <w:rFonts w:ascii="Times New Roman" w:eastAsia="黑体"/>
                <w:snapToGrid w:val="0"/>
                <w:color w:val="auto"/>
                <w:spacing w:val="-6"/>
                <w:kern w:val="21"/>
                <w:szCs w:val="21"/>
              </w:rPr>
              <w:t>废</w:t>
            </w:r>
            <w:r>
              <w:rPr>
                <w:rFonts w:hint="eastAsia" w:ascii="Times New Roman" w:eastAsia="黑体"/>
                <w:snapToGrid w:val="0"/>
                <w:color w:val="auto"/>
                <w:spacing w:val="-6"/>
                <w:kern w:val="21"/>
                <w:szCs w:val="21"/>
              </w:rPr>
              <w:t>物</w:t>
            </w:r>
            <w:r>
              <w:rPr>
                <w:rFonts w:ascii="Times New Roman" w:eastAsia="黑体"/>
                <w:snapToGrid w:val="0"/>
                <w:color w:val="auto"/>
                <w:spacing w:val="-6"/>
                <w:kern w:val="21"/>
                <w:szCs w:val="21"/>
              </w:rPr>
              <w:t>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=4\*GB3\*MERGEFORMAT</w:instrText>
            </w:r>
            <w:r>
              <w:rPr>
                <w:rFonts w:ascii="Times New Roman" w:eastAsia="黑体"/>
                <w:snapToGrid w:val="0"/>
                <w:color w:val="auto"/>
                <w:spacing w:val="-6"/>
                <w:kern w:val="21"/>
                <w:szCs w:val="21"/>
              </w:rPr>
              <w:fldChar w:fldCharType="separate"/>
            </w:r>
            <w:r>
              <w:rPr>
                <w:rFonts w:hint="eastAsia" w:ascii="Times New Roman" w:eastAsia="黑体" w:cs="宋体"/>
                <w:color w:val="auto"/>
                <w:kern w:val="2"/>
                <w:szCs w:val="21"/>
              </w:rPr>
              <w:t>④</w:t>
            </w:r>
            <w:r>
              <w:rPr>
                <w:rFonts w:ascii="Times New Roman" w:eastAsia="黑体"/>
                <w:snapToGrid w:val="0"/>
                <w:color w:val="auto"/>
                <w:spacing w:val="-6"/>
                <w:kern w:val="21"/>
                <w:szCs w:val="21"/>
              </w:rPr>
              <w:fldChar w:fldCharType="end"/>
            </w:r>
          </w:p>
        </w:tc>
        <w:tc>
          <w:tcPr>
            <w:tcW w:w="1871" w:type="dxa"/>
            <w:tcMar>
              <w:left w:w="28" w:type="dxa"/>
              <w:right w:w="28" w:type="dxa"/>
            </w:tcMar>
            <w:vAlign w:val="center"/>
          </w:tcPr>
          <w:p w14:paraId="4708C3DD">
            <w:pPr>
              <w:pStyle w:val="43"/>
              <w:wordWrap w:val="0"/>
              <w:spacing w:before="24" w:after="24" w:line="240" w:lineRule="auto"/>
              <w:ind w:left="356" w:hanging="356"/>
              <w:rPr>
                <w:rFonts w:ascii="Times New Roman" w:eastAsia="黑体"/>
                <w:snapToGrid w:val="0"/>
                <w:color w:val="auto"/>
                <w:spacing w:val="-16"/>
                <w:kern w:val="21"/>
                <w:szCs w:val="21"/>
              </w:rPr>
            </w:pPr>
            <w:r>
              <w:rPr>
                <w:rFonts w:ascii="Times New Roman" w:eastAsia="黑体"/>
                <w:snapToGrid w:val="0"/>
                <w:color w:val="auto"/>
                <w:spacing w:val="-16"/>
                <w:kern w:val="21"/>
                <w:szCs w:val="21"/>
              </w:rPr>
              <w:t>以新带老削减量</w:t>
            </w:r>
          </w:p>
          <w:p w14:paraId="364ECB01">
            <w:pPr>
              <w:pStyle w:val="43"/>
              <w:wordWrap w:val="0"/>
              <w:spacing w:before="24" w:after="24" w:line="240" w:lineRule="auto"/>
              <w:ind w:left="356" w:hanging="356"/>
              <w:rPr>
                <w:rFonts w:ascii="Times New Roman" w:eastAsia="黑体"/>
                <w:snapToGrid w:val="0"/>
                <w:color w:val="auto"/>
                <w:spacing w:val="-16"/>
                <w:kern w:val="21"/>
                <w:szCs w:val="21"/>
              </w:rPr>
            </w:pPr>
            <w:r>
              <w:rPr>
                <w:rFonts w:ascii="Times New Roman" w:eastAsia="黑体"/>
                <w:snapToGrid w:val="0"/>
                <w:color w:val="auto"/>
                <w:spacing w:val="-16"/>
                <w:kern w:val="21"/>
                <w:szCs w:val="21"/>
              </w:rPr>
              <w:t>（新建项目不填）</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=5\*GB3\*MERGEFORMAT</w:instrText>
            </w:r>
            <w:r>
              <w:rPr>
                <w:rFonts w:ascii="Times New Roman" w:eastAsia="黑体"/>
                <w:snapToGrid w:val="0"/>
                <w:color w:val="auto"/>
                <w:spacing w:val="-16"/>
                <w:kern w:val="21"/>
                <w:szCs w:val="21"/>
              </w:rPr>
              <w:fldChar w:fldCharType="separate"/>
            </w:r>
            <w:r>
              <w:rPr>
                <w:rFonts w:hint="eastAsia" w:ascii="Times New Roman" w:eastAsia="黑体" w:cs="宋体"/>
                <w:color w:val="auto"/>
                <w:kern w:val="2"/>
                <w:szCs w:val="21"/>
              </w:rPr>
              <w:t>⑤</w:t>
            </w:r>
            <w:r>
              <w:rPr>
                <w:rFonts w:ascii="Times New Roman" w:eastAsia="黑体"/>
                <w:snapToGrid w:val="0"/>
                <w:color w:val="auto"/>
                <w:spacing w:val="-16"/>
                <w:kern w:val="21"/>
                <w:szCs w:val="21"/>
              </w:rPr>
              <w:fldChar w:fldCharType="end"/>
            </w:r>
          </w:p>
        </w:tc>
        <w:tc>
          <w:tcPr>
            <w:tcW w:w="1769" w:type="dxa"/>
            <w:tcMar>
              <w:left w:w="28" w:type="dxa"/>
              <w:right w:w="28" w:type="dxa"/>
            </w:tcMar>
            <w:vAlign w:val="center"/>
          </w:tcPr>
          <w:p w14:paraId="07CEB76A">
            <w:pPr>
              <w:pStyle w:val="43"/>
              <w:wordWrap w:val="0"/>
              <w:spacing w:before="24" w:after="24" w:line="240" w:lineRule="auto"/>
              <w:ind w:left="356" w:hanging="356"/>
              <w:rPr>
                <w:rFonts w:ascii="Times New Roman" w:eastAsia="黑体"/>
                <w:snapToGrid w:val="0"/>
                <w:color w:val="auto"/>
                <w:spacing w:val="-16"/>
                <w:kern w:val="21"/>
                <w:szCs w:val="21"/>
              </w:rPr>
            </w:pPr>
            <w:r>
              <w:rPr>
                <w:rFonts w:ascii="Times New Roman" w:eastAsia="黑体"/>
                <w:snapToGrid w:val="0"/>
                <w:color w:val="auto"/>
                <w:spacing w:val="-16"/>
                <w:kern w:val="21"/>
                <w:szCs w:val="21"/>
              </w:rPr>
              <w:t>本项目建成后</w:t>
            </w:r>
          </w:p>
          <w:p w14:paraId="205F0D04">
            <w:pPr>
              <w:pStyle w:val="43"/>
              <w:wordWrap w:val="0"/>
              <w:spacing w:before="24" w:after="24" w:line="240" w:lineRule="auto"/>
              <w:ind w:left="356" w:hanging="356"/>
              <w:rPr>
                <w:rFonts w:ascii="Times New Roman" w:eastAsia="黑体"/>
                <w:snapToGrid w:val="0"/>
                <w:color w:val="auto"/>
                <w:spacing w:val="-16"/>
                <w:kern w:val="21"/>
                <w:szCs w:val="21"/>
              </w:rPr>
            </w:pPr>
            <w:r>
              <w:rPr>
                <w:rFonts w:hint="eastAsia" w:ascii="Times New Roman" w:eastAsia="黑体"/>
                <w:snapToGrid w:val="0"/>
                <w:color w:val="auto"/>
                <w:spacing w:val="-16"/>
                <w:kern w:val="21"/>
                <w:szCs w:val="21"/>
              </w:rPr>
              <w:t>全厂</w:t>
            </w:r>
            <w:r>
              <w:rPr>
                <w:rFonts w:ascii="Times New Roman" w:eastAsia="黑体"/>
                <w:snapToGrid w:val="0"/>
                <w:color w:val="auto"/>
                <w:spacing w:val="-16"/>
                <w:kern w:val="21"/>
                <w:szCs w:val="21"/>
              </w:rPr>
              <w:t>排放量（固</w:t>
            </w:r>
            <w:r>
              <w:rPr>
                <w:rFonts w:hint="eastAsia" w:ascii="Times New Roman" w:eastAsia="黑体"/>
                <w:snapToGrid w:val="0"/>
                <w:color w:val="auto"/>
                <w:spacing w:val="-16"/>
                <w:kern w:val="21"/>
                <w:szCs w:val="21"/>
              </w:rPr>
              <w:t>体</w:t>
            </w:r>
            <w:r>
              <w:rPr>
                <w:rFonts w:ascii="Times New Roman" w:eastAsia="黑体"/>
                <w:snapToGrid w:val="0"/>
                <w:color w:val="auto"/>
                <w:spacing w:val="-16"/>
                <w:kern w:val="21"/>
                <w:szCs w:val="21"/>
              </w:rPr>
              <w:t>废</w:t>
            </w:r>
            <w:r>
              <w:rPr>
                <w:rFonts w:hint="eastAsia" w:ascii="Times New Roman" w:eastAsia="黑体"/>
                <w:snapToGrid w:val="0"/>
                <w:color w:val="auto"/>
                <w:spacing w:val="-16"/>
                <w:kern w:val="21"/>
                <w:szCs w:val="21"/>
              </w:rPr>
              <w:t>物</w:t>
            </w:r>
            <w:r>
              <w:rPr>
                <w:rFonts w:ascii="Times New Roman" w:eastAsia="黑体"/>
                <w:snapToGrid w:val="0"/>
                <w:color w:val="auto"/>
                <w:spacing w:val="-16"/>
                <w:kern w:val="21"/>
                <w:szCs w:val="21"/>
              </w:rPr>
              <w:t>产生量）</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=6\*GB3\*MERGEFORMAT</w:instrText>
            </w:r>
            <w:r>
              <w:rPr>
                <w:rFonts w:ascii="Times New Roman" w:eastAsia="黑体"/>
                <w:snapToGrid w:val="0"/>
                <w:color w:val="auto"/>
                <w:spacing w:val="-16"/>
                <w:kern w:val="21"/>
                <w:szCs w:val="21"/>
              </w:rPr>
              <w:fldChar w:fldCharType="separate"/>
            </w:r>
            <w:r>
              <w:rPr>
                <w:rFonts w:hint="eastAsia" w:ascii="Times New Roman" w:eastAsia="黑体" w:cs="宋体"/>
                <w:color w:val="auto"/>
                <w:kern w:val="2"/>
                <w:szCs w:val="21"/>
              </w:rPr>
              <w:t>⑥</w:t>
            </w:r>
            <w:r>
              <w:rPr>
                <w:rFonts w:ascii="Times New Roman" w:eastAsia="黑体"/>
                <w:snapToGrid w:val="0"/>
                <w:color w:val="auto"/>
                <w:spacing w:val="-16"/>
                <w:kern w:val="21"/>
                <w:szCs w:val="21"/>
              </w:rPr>
              <w:fldChar w:fldCharType="end"/>
            </w:r>
          </w:p>
        </w:tc>
        <w:tc>
          <w:tcPr>
            <w:tcW w:w="1189" w:type="dxa"/>
            <w:tcMar>
              <w:left w:w="28" w:type="dxa"/>
              <w:right w:w="28" w:type="dxa"/>
            </w:tcMar>
            <w:vAlign w:val="center"/>
          </w:tcPr>
          <w:p w14:paraId="79830C12">
            <w:pPr>
              <w:pStyle w:val="43"/>
              <w:wordWrap w:val="0"/>
              <w:spacing w:before="24" w:after="24" w:line="240" w:lineRule="auto"/>
              <w:ind w:left="396" w:hanging="396"/>
              <w:rPr>
                <w:rFonts w:ascii="Times New Roman" w:eastAsia="黑体"/>
                <w:snapToGrid w:val="0"/>
                <w:color w:val="auto"/>
                <w:spacing w:val="-6"/>
                <w:kern w:val="21"/>
                <w:szCs w:val="21"/>
              </w:rPr>
            </w:pPr>
            <w:r>
              <w:rPr>
                <w:rFonts w:ascii="Times New Roman" w:eastAsia="黑体"/>
                <w:snapToGrid w:val="0"/>
                <w:color w:val="auto"/>
                <w:spacing w:val="-6"/>
                <w:kern w:val="21"/>
                <w:szCs w:val="21"/>
              </w:rPr>
              <w:t>变化量</w:t>
            </w:r>
          </w:p>
          <w:p w14:paraId="33730287">
            <w:pPr>
              <w:pStyle w:val="43"/>
              <w:wordWrap w:val="0"/>
              <w:spacing w:before="24" w:after="24" w:line="240" w:lineRule="auto"/>
              <w:ind w:left="420" w:hanging="420"/>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=7\*GB3\*MERGEFORMAT</w:instrText>
            </w:r>
            <w:r>
              <w:rPr>
                <w:rFonts w:ascii="Times New Roman" w:eastAsia="黑体"/>
                <w:snapToGrid w:val="0"/>
                <w:color w:val="auto"/>
                <w:spacing w:val="-6"/>
                <w:kern w:val="21"/>
                <w:szCs w:val="21"/>
              </w:rPr>
              <w:fldChar w:fldCharType="separate"/>
            </w:r>
            <w:r>
              <w:rPr>
                <w:rFonts w:hint="eastAsia" w:ascii="Times New Roman" w:eastAsia="黑体" w:cs="宋体"/>
                <w:color w:val="auto"/>
                <w:kern w:val="2"/>
                <w:szCs w:val="21"/>
              </w:rPr>
              <w:t>⑦</w:t>
            </w:r>
            <w:r>
              <w:rPr>
                <w:rFonts w:ascii="Times New Roman" w:eastAsia="黑体"/>
                <w:snapToGrid w:val="0"/>
                <w:color w:val="auto"/>
                <w:spacing w:val="-6"/>
                <w:kern w:val="21"/>
                <w:szCs w:val="21"/>
              </w:rPr>
              <w:fldChar w:fldCharType="end"/>
            </w:r>
          </w:p>
        </w:tc>
      </w:tr>
      <w:tr w14:paraId="1B5387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restart"/>
            <w:vAlign w:val="center"/>
          </w:tcPr>
          <w:p w14:paraId="2BF9F9E1">
            <w:pPr>
              <w:pStyle w:val="57"/>
              <w:bidi w:val="0"/>
              <w:rPr>
                <w:b w:val="0"/>
                <w:bCs/>
              </w:rPr>
            </w:pPr>
            <w:r>
              <w:rPr>
                <w:rFonts w:hint="eastAsia"/>
                <w:b w:val="0"/>
                <w:bCs/>
              </w:rPr>
              <w:t>废气</w:t>
            </w:r>
          </w:p>
        </w:tc>
        <w:tc>
          <w:tcPr>
            <w:tcW w:w="2802" w:type="dxa"/>
            <w:shd w:val="clear" w:color="auto" w:fill="auto"/>
            <w:vAlign w:val="center"/>
          </w:tcPr>
          <w:p w14:paraId="2FF3E443">
            <w:pPr>
              <w:pStyle w:val="57"/>
              <w:bidi w:val="0"/>
              <w:rPr>
                <w:b w:val="0"/>
                <w:bCs/>
                <w:lang w:val="en-US" w:eastAsia="zh-CN"/>
              </w:rPr>
            </w:pPr>
            <w:r>
              <w:rPr>
                <w:rFonts w:hint="eastAsia"/>
                <w:b w:val="0"/>
                <w:bCs/>
                <w:lang w:val="en-US"/>
              </w:rPr>
              <w:t>颗粒物</w:t>
            </w:r>
          </w:p>
        </w:tc>
        <w:tc>
          <w:tcPr>
            <w:tcW w:w="1596" w:type="dxa"/>
            <w:shd w:val="clear" w:color="auto" w:fill="auto"/>
            <w:vAlign w:val="center"/>
          </w:tcPr>
          <w:p w14:paraId="3A88A8AB">
            <w:pPr>
              <w:pStyle w:val="57"/>
              <w:bidi w:val="0"/>
              <w:rPr>
                <w:b w:val="0"/>
                <w:bCs/>
                <w:lang w:val="en-US" w:eastAsia="zh-CN"/>
              </w:rPr>
            </w:pPr>
            <w:r>
              <w:rPr>
                <w:rFonts w:hint="eastAsia"/>
                <w:b w:val="0"/>
                <w:bCs/>
                <w:lang w:val="en-US"/>
              </w:rPr>
              <w:t xml:space="preserve">1.179 </w:t>
            </w:r>
          </w:p>
        </w:tc>
        <w:tc>
          <w:tcPr>
            <w:tcW w:w="1118" w:type="dxa"/>
            <w:shd w:val="clear" w:color="auto" w:fill="auto"/>
            <w:vAlign w:val="center"/>
          </w:tcPr>
          <w:p w14:paraId="27BB8928">
            <w:pPr>
              <w:pStyle w:val="57"/>
              <w:bidi w:val="0"/>
              <w:rPr>
                <w:b w:val="0"/>
                <w:bCs/>
                <w:lang w:val="en-US" w:eastAsia="zh-CN"/>
              </w:rPr>
            </w:pPr>
            <w:r>
              <w:rPr>
                <w:rFonts w:hint="eastAsia"/>
                <w:b w:val="0"/>
                <w:bCs/>
                <w:lang w:val="en-US"/>
              </w:rPr>
              <w:t>/</w:t>
            </w:r>
          </w:p>
        </w:tc>
        <w:tc>
          <w:tcPr>
            <w:tcW w:w="1807" w:type="dxa"/>
            <w:shd w:val="clear" w:color="auto" w:fill="auto"/>
            <w:vAlign w:val="center"/>
          </w:tcPr>
          <w:p w14:paraId="60897F9F">
            <w:pPr>
              <w:pStyle w:val="57"/>
              <w:bidi w:val="0"/>
              <w:rPr>
                <w:b w:val="0"/>
                <w:bCs/>
                <w:lang w:val="en-US" w:eastAsia="zh-CN"/>
              </w:rPr>
            </w:pPr>
            <w:r>
              <w:rPr>
                <w:rFonts w:hint="eastAsia"/>
                <w:b w:val="0"/>
                <w:bCs/>
                <w:lang w:val="en-US"/>
              </w:rPr>
              <w:t>1.327</w:t>
            </w:r>
          </w:p>
        </w:tc>
        <w:tc>
          <w:tcPr>
            <w:tcW w:w="1656" w:type="dxa"/>
            <w:shd w:val="clear" w:color="auto" w:fill="auto"/>
            <w:vAlign w:val="center"/>
          </w:tcPr>
          <w:p w14:paraId="15F1EA87">
            <w:pPr>
              <w:pStyle w:val="57"/>
              <w:bidi w:val="0"/>
              <w:rPr>
                <w:b w:val="0"/>
                <w:bCs/>
                <w:lang w:val="en-US"/>
              </w:rPr>
            </w:pPr>
            <w:r>
              <w:rPr>
                <w:rFonts w:hint="eastAsia"/>
                <w:b w:val="0"/>
                <w:bCs/>
                <w:lang w:val="en-US" w:eastAsia="zh-CN"/>
              </w:rPr>
              <w:t>0.006</w:t>
            </w:r>
          </w:p>
        </w:tc>
        <w:tc>
          <w:tcPr>
            <w:tcW w:w="1871" w:type="dxa"/>
            <w:vAlign w:val="center"/>
          </w:tcPr>
          <w:p w14:paraId="7CBF08DE">
            <w:pPr>
              <w:pStyle w:val="57"/>
              <w:bidi w:val="0"/>
              <w:rPr>
                <w:b w:val="0"/>
                <w:bCs/>
              </w:rPr>
            </w:pPr>
            <w:r>
              <w:rPr>
                <w:rFonts w:hint="eastAsia"/>
                <w:b w:val="0"/>
                <w:bCs/>
              </w:rPr>
              <w:t>/</w:t>
            </w:r>
          </w:p>
        </w:tc>
        <w:tc>
          <w:tcPr>
            <w:tcW w:w="1769" w:type="dxa"/>
            <w:shd w:val="clear" w:color="auto" w:fill="auto"/>
            <w:vAlign w:val="center"/>
          </w:tcPr>
          <w:p w14:paraId="47C425F5">
            <w:pPr>
              <w:pStyle w:val="57"/>
              <w:bidi w:val="0"/>
              <w:rPr>
                <w:b w:val="0"/>
                <w:bCs/>
                <w:lang w:val="en-US"/>
              </w:rPr>
            </w:pPr>
            <w:r>
              <w:rPr>
                <w:rFonts w:hint="default"/>
                <w:b w:val="0"/>
                <w:bCs/>
                <w:lang w:val="en-US" w:eastAsia="zh-CN"/>
              </w:rPr>
              <w:t>2.512</w:t>
            </w:r>
          </w:p>
        </w:tc>
        <w:tc>
          <w:tcPr>
            <w:tcW w:w="1189" w:type="dxa"/>
            <w:shd w:val="clear" w:color="auto" w:fill="auto"/>
            <w:vAlign w:val="center"/>
          </w:tcPr>
          <w:p w14:paraId="4AF104D7">
            <w:pPr>
              <w:pStyle w:val="57"/>
              <w:bidi w:val="0"/>
              <w:rPr>
                <w:b w:val="0"/>
                <w:bCs/>
                <w:lang w:val="en-US" w:eastAsia="zh-CN"/>
              </w:rPr>
            </w:pPr>
            <w:r>
              <w:rPr>
                <w:rFonts w:hint="eastAsia"/>
                <w:b w:val="0"/>
                <w:bCs/>
                <w:lang w:val="en-US" w:eastAsia="zh-CN"/>
              </w:rPr>
              <w:t>+0.006</w:t>
            </w:r>
          </w:p>
        </w:tc>
      </w:tr>
      <w:tr w14:paraId="022454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6E940317">
            <w:pPr>
              <w:pStyle w:val="57"/>
              <w:bidi w:val="0"/>
              <w:rPr>
                <w:b w:val="0"/>
                <w:bCs/>
              </w:rPr>
            </w:pPr>
          </w:p>
        </w:tc>
        <w:tc>
          <w:tcPr>
            <w:tcW w:w="2802" w:type="dxa"/>
            <w:shd w:val="clear" w:color="auto" w:fill="auto"/>
            <w:vAlign w:val="center"/>
          </w:tcPr>
          <w:p w14:paraId="3F478CEE">
            <w:pPr>
              <w:pStyle w:val="57"/>
              <w:bidi w:val="0"/>
              <w:rPr>
                <w:b w:val="0"/>
                <w:bCs/>
                <w:lang w:val="en-US" w:eastAsia="zh-CN"/>
              </w:rPr>
            </w:pPr>
            <w:r>
              <w:rPr>
                <w:rFonts w:hint="eastAsia"/>
                <w:b w:val="0"/>
                <w:bCs/>
                <w:lang w:val="en-US"/>
              </w:rPr>
              <w:t>氮氧化物</w:t>
            </w:r>
          </w:p>
        </w:tc>
        <w:tc>
          <w:tcPr>
            <w:tcW w:w="1596" w:type="dxa"/>
            <w:shd w:val="clear" w:color="auto" w:fill="auto"/>
            <w:vAlign w:val="center"/>
          </w:tcPr>
          <w:p w14:paraId="36F65ECD">
            <w:pPr>
              <w:pStyle w:val="57"/>
              <w:bidi w:val="0"/>
              <w:rPr>
                <w:b w:val="0"/>
                <w:bCs/>
                <w:lang w:val="en-US" w:eastAsia="zh-CN"/>
              </w:rPr>
            </w:pPr>
            <w:r>
              <w:rPr>
                <w:rFonts w:hint="eastAsia"/>
                <w:b w:val="0"/>
                <w:bCs/>
                <w:lang w:val="en-US"/>
              </w:rPr>
              <w:t xml:space="preserve">0.591 </w:t>
            </w:r>
          </w:p>
        </w:tc>
        <w:tc>
          <w:tcPr>
            <w:tcW w:w="1118" w:type="dxa"/>
            <w:shd w:val="clear" w:color="auto" w:fill="auto"/>
            <w:vAlign w:val="center"/>
          </w:tcPr>
          <w:p w14:paraId="249FBE3C">
            <w:pPr>
              <w:pStyle w:val="57"/>
              <w:bidi w:val="0"/>
              <w:rPr>
                <w:b w:val="0"/>
                <w:bCs/>
                <w:lang w:val="en-US" w:eastAsia="zh-CN"/>
              </w:rPr>
            </w:pPr>
            <w:r>
              <w:rPr>
                <w:rFonts w:hint="eastAsia"/>
                <w:b w:val="0"/>
                <w:bCs/>
                <w:lang w:val="en-US"/>
              </w:rPr>
              <w:t>9.52</w:t>
            </w:r>
          </w:p>
        </w:tc>
        <w:tc>
          <w:tcPr>
            <w:tcW w:w="1807" w:type="dxa"/>
            <w:shd w:val="clear" w:color="auto" w:fill="auto"/>
            <w:vAlign w:val="center"/>
          </w:tcPr>
          <w:p w14:paraId="1F51BC85">
            <w:pPr>
              <w:pStyle w:val="57"/>
              <w:bidi w:val="0"/>
              <w:rPr>
                <w:b w:val="0"/>
                <w:bCs/>
                <w:lang w:val="en-US" w:eastAsia="zh-CN"/>
              </w:rPr>
            </w:pPr>
            <w:r>
              <w:rPr>
                <w:rFonts w:hint="eastAsia"/>
                <w:b w:val="0"/>
                <w:bCs/>
                <w:lang w:val="en-US"/>
              </w:rPr>
              <w:t>7.177</w:t>
            </w:r>
          </w:p>
        </w:tc>
        <w:tc>
          <w:tcPr>
            <w:tcW w:w="1656" w:type="dxa"/>
            <w:shd w:val="clear" w:color="auto" w:fill="auto"/>
            <w:vAlign w:val="center"/>
          </w:tcPr>
          <w:p w14:paraId="1DBA010D">
            <w:pPr>
              <w:pStyle w:val="57"/>
              <w:bidi w:val="0"/>
              <w:rPr>
                <w:b w:val="0"/>
                <w:bCs/>
                <w:lang w:val="en-US"/>
              </w:rPr>
            </w:pPr>
            <w:r>
              <w:rPr>
                <w:rFonts w:hint="eastAsia"/>
                <w:b w:val="0"/>
                <w:bCs/>
                <w:lang w:val="en-US" w:eastAsia="zh-CN"/>
              </w:rPr>
              <w:t>0.026</w:t>
            </w:r>
          </w:p>
        </w:tc>
        <w:tc>
          <w:tcPr>
            <w:tcW w:w="1871" w:type="dxa"/>
            <w:vAlign w:val="center"/>
          </w:tcPr>
          <w:p w14:paraId="03C7152F">
            <w:pPr>
              <w:pStyle w:val="57"/>
              <w:bidi w:val="0"/>
              <w:rPr>
                <w:b w:val="0"/>
                <w:bCs/>
              </w:rPr>
            </w:pPr>
            <w:r>
              <w:rPr>
                <w:rFonts w:hint="eastAsia"/>
                <w:b w:val="0"/>
                <w:bCs/>
              </w:rPr>
              <w:t>/</w:t>
            </w:r>
          </w:p>
        </w:tc>
        <w:tc>
          <w:tcPr>
            <w:tcW w:w="1769" w:type="dxa"/>
            <w:shd w:val="clear" w:color="auto" w:fill="auto"/>
            <w:vAlign w:val="center"/>
          </w:tcPr>
          <w:p w14:paraId="07846E2A">
            <w:pPr>
              <w:pStyle w:val="57"/>
              <w:bidi w:val="0"/>
              <w:rPr>
                <w:b w:val="0"/>
                <w:bCs/>
                <w:lang w:val="en-US"/>
              </w:rPr>
            </w:pPr>
            <w:r>
              <w:rPr>
                <w:rFonts w:hint="default"/>
                <w:b w:val="0"/>
                <w:bCs/>
                <w:lang w:val="en-US" w:eastAsia="zh-CN"/>
              </w:rPr>
              <w:t>7.794</w:t>
            </w:r>
          </w:p>
        </w:tc>
        <w:tc>
          <w:tcPr>
            <w:tcW w:w="1189" w:type="dxa"/>
            <w:shd w:val="clear" w:color="auto" w:fill="auto"/>
            <w:vAlign w:val="center"/>
          </w:tcPr>
          <w:p w14:paraId="7E82FCAC">
            <w:pPr>
              <w:pStyle w:val="57"/>
              <w:bidi w:val="0"/>
              <w:rPr>
                <w:b w:val="0"/>
                <w:bCs/>
                <w:lang w:val="en-US" w:eastAsia="zh-CN"/>
              </w:rPr>
            </w:pPr>
            <w:r>
              <w:rPr>
                <w:rFonts w:hint="eastAsia"/>
                <w:b w:val="0"/>
                <w:bCs/>
                <w:lang w:val="en-US" w:eastAsia="zh-CN"/>
              </w:rPr>
              <w:t>+0.026</w:t>
            </w:r>
          </w:p>
        </w:tc>
      </w:tr>
      <w:tr w14:paraId="2E2B2D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46C158E5">
            <w:pPr>
              <w:pStyle w:val="57"/>
              <w:bidi w:val="0"/>
              <w:rPr>
                <w:b w:val="0"/>
                <w:bCs/>
              </w:rPr>
            </w:pPr>
          </w:p>
        </w:tc>
        <w:tc>
          <w:tcPr>
            <w:tcW w:w="2802" w:type="dxa"/>
            <w:shd w:val="clear" w:color="auto" w:fill="auto"/>
            <w:vAlign w:val="center"/>
          </w:tcPr>
          <w:p w14:paraId="027C18C6">
            <w:pPr>
              <w:pStyle w:val="57"/>
              <w:bidi w:val="0"/>
              <w:rPr>
                <w:b w:val="0"/>
                <w:bCs/>
                <w:lang w:val="en-US" w:eastAsia="zh-CN"/>
              </w:rPr>
            </w:pPr>
            <w:r>
              <w:rPr>
                <w:rFonts w:hint="eastAsia"/>
                <w:b w:val="0"/>
                <w:bCs/>
                <w:lang w:val="en-US"/>
              </w:rPr>
              <w:t>二氧化硫</w:t>
            </w:r>
          </w:p>
        </w:tc>
        <w:tc>
          <w:tcPr>
            <w:tcW w:w="1596" w:type="dxa"/>
            <w:shd w:val="clear" w:color="auto" w:fill="auto"/>
            <w:vAlign w:val="center"/>
          </w:tcPr>
          <w:p w14:paraId="6DCF044C">
            <w:pPr>
              <w:pStyle w:val="57"/>
              <w:bidi w:val="0"/>
              <w:rPr>
                <w:b w:val="0"/>
                <w:bCs/>
                <w:lang w:val="en-US" w:eastAsia="zh-CN"/>
              </w:rPr>
            </w:pPr>
            <w:r>
              <w:rPr>
                <w:rFonts w:hint="eastAsia"/>
                <w:b w:val="0"/>
                <w:bCs/>
                <w:lang w:val="en-US"/>
              </w:rPr>
              <w:t xml:space="preserve">0.213 </w:t>
            </w:r>
          </w:p>
        </w:tc>
        <w:tc>
          <w:tcPr>
            <w:tcW w:w="1118" w:type="dxa"/>
            <w:shd w:val="clear" w:color="auto" w:fill="auto"/>
            <w:vAlign w:val="center"/>
          </w:tcPr>
          <w:p w14:paraId="39E4C36F">
            <w:pPr>
              <w:pStyle w:val="57"/>
              <w:bidi w:val="0"/>
              <w:rPr>
                <w:b w:val="0"/>
                <w:bCs/>
                <w:lang w:val="en-US" w:eastAsia="zh-CN"/>
              </w:rPr>
            </w:pPr>
            <w:r>
              <w:rPr>
                <w:rFonts w:hint="eastAsia"/>
                <w:b w:val="0"/>
                <w:bCs/>
                <w:lang w:val="en-US"/>
              </w:rPr>
              <w:t>0.226</w:t>
            </w:r>
          </w:p>
        </w:tc>
        <w:tc>
          <w:tcPr>
            <w:tcW w:w="1807" w:type="dxa"/>
            <w:shd w:val="clear" w:color="auto" w:fill="auto"/>
            <w:vAlign w:val="center"/>
          </w:tcPr>
          <w:p w14:paraId="182A526B">
            <w:pPr>
              <w:pStyle w:val="57"/>
              <w:bidi w:val="0"/>
              <w:rPr>
                <w:b w:val="0"/>
                <w:bCs/>
                <w:lang w:val="en-US" w:eastAsia="zh-CN"/>
              </w:rPr>
            </w:pPr>
            <w:r>
              <w:rPr>
                <w:rFonts w:hint="eastAsia"/>
                <w:b w:val="0"/>
                <w:bCs/>
                <w:lang w:val="en-US"/>
              </w:rPr>
              <w:t>1.2</w:t>
            </w:r>
          </w:p>
        </w:tc>
        <w:tc>
          <w:tcPr>
            <w:tcW w:w="1656" w:type="dxa"/>
            <w:shd w:val="clear" w:color="auto" w:fill="auto"/>
            <w:vAlign w:val="center"/>
          </w:tcPr>
          <w:p w14:paraId="2AA88539">
            <w:pPr>
              <w:pStyle w:val="57"/>
              <w:bidi w:val="0"/>
              <w:rPr>
                <w:b w:val="0"/>
                <w:bCs/>
                <w:lang w:val="en-US"/>
              </w:rPr>
            </w:pPr>
            <w:r>
              <w:rPr>
                <w:rFonts w:hint="eastAsia"/>
                <w:b w:val="0"/>
                <w:bCs/>
                <w:lang w:val="en-US" w:eastAsia="zh-CN"/>
              </w:rPr>
              <w:t>0.007</w:t>
            </w:r>
          </w:p>
        </w:tc>
        <w:tc>
          <w:tcPr>
            <w:tcW w:w="1871" w:type="dxa"/>
            <w:vAlign w:val="center"/>
          </w:tcPr>
          <w:p w14:paraId="1E0BB7F2">
            <w:pPr>
              <w:pStyle w:val="57"/>
              <w:bidi w:val="0"/>
              <w:rPr>
                <w:b w:val="0"/>
                <w:bCs/>
              </w:rPr>
            </w:pPr>
            <w:r>
              <w:rPr>
                <w:rFonts w:hint="eastAsia"/>
                <w:b w:val="0"/>
                <w:bCs/>
              </w:rPr>
              <w:t>/</w:t>
            </w:r>
          </w:p>
        </w:tc>
        <w:tc>
          <w:tcPr>
            <w:tcW w:w="1769" w:type="dxa"/>
            <w:shd w:val="clear" w:color="auto" w:fill="auto"/>
            <w:vAlign w:val="center"/>
          </w:tcPr>
          <w:p w14:paraId="429C8965">
            <w:pPr>
              <w:pStyle w:val="57"/>
              <w:bidi w:val="0"/>
              <w:rPr>
                <w:b w:val="0"/>
                <w:bCs/>
                <w:lang w:val="en-US"/>
              </w:rPr>
            </w:pPr>
            <w:r>
              <w:rPr>
                <w:rFonts w:hint="default"/>
                <w:b w:val="0"/>
                <w:bCs/>
                <w:lang w:val="en-US" w:eastAsia="zh-CN"/>
              </w:rPr>
              <w:t>1.42</w:t>
            </w:r>
          </w:p>
        </w:tc>
        <w:tc>
          <w:tcPr>
            <w:tcW w:w="1189" w:type="dxa"/>
            <w:shd w:val="clear" w:color="auto" w:fill="auto"/>
            <w:vAlign w:val="center"/>
          </w:tcPr>
          <w:p w14:paraId="0A4FB04D">
            <w:pPr>
              <w:pStyle w:val="57"/>
              <w:bidi w:val="0"/>
              <w:rPr>
                <w:b w:val="0"/>
                <w:bCs/>
                <w:lang w:val="en-US" w:eastAsia="zh-CN"/>
              </w:rPr>
            </w:pPr>
            <w:r>
              <w:rPr>
                <w:rFonts w:hint="eastAsia"/>
                <w:b w:val="0"/>
                <w:bCs/>
                <w:lang w:val="en-US" w:eastAsia="zh-CN"/>
              </w:rPr>
              <w:t>+0.007</w:t>
            </w:r>
          </w:p>
        </w:tc>
      </w:tr>
      <w:tr w14:paraId="1F0910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71C1ECD2">
            <w:pPr>
              <w:pStyle w:val="57"/>
              <w:bidi w:val="0"/>
              <w:rPr>
                <w:rFonts w:hint="eastAsia"/>
                <w:b w:val="0"/>
                <w:bCs/>
                <w:lang w:val="en-US" w:eastAsia="zh-CN"/>
              </w:rPr>
            </w:pPr>
          </w:p>
        </w:tc>
        <w:tc>
          <w:tcPr>
            <w:tcW w:w="2802" w:type="dxa"/>
            <w:shd w:val="clear" w:color="auto" w:fill="auto"/>
            <w:vAlign w:val="center"/>
          </w:tcPr>
          <w:p w14:paraId="001C0A20">
            <w:pPr>
              <w:pStyle w:val="57"/>
              <w:bidi w:val="0"/>
              <w:rPr>
                <w:rFonts w:hint="default"/>
                <w:b w:val="0"/>
                <w:bCs/>
                <w:lang w:val="en-US" w:eastAsia="zh-CN"/>
              </w:rPr>
            </w:pPr>
            <w:r>
              <w:rPr>
                <w:rFonts w:hint="eastAsia"/>
                <w:b w:val="0"/>
                <w:bCs/>
                <w:lang w:val="en-US" w:eastAsia="zh-CN"/>
              </w:rPr>
              <w:t>碱雾</w:t>
            </w:r>
          </w:p>
        </w:tc>
        <w:tc>
          <w:tcPr>
            <w:tcW w:w="1596" w:type="dxa"/>
            <w:shd w:val="clear" w:color="auto" w:fill="auto"/>
            <w:vAlign w:val="center"/>
          </w:tcPr>
          <w:p w14:paraId="6F50158D">
            <w:pPr>
              <w:pStyle w:val="57"/>
              <w:bidi w:val="0"/>
              <w:rPr>
                <w:rFonts w:hint="eastAsia"/>
                <w:b w:val="0"/>
                <w:bCs/>
                <w:lang w:val="en-US"/>
              </w:rPr>
            </w:pPr>
            <w:r>
              <w:rPr>
                <w:rFonts w:hint="eastAsia"/>
                <w:b w:val="0"/>
                <w:bCs/>
                <w:lang w:val="en-US" w:eastAsia="zh-CN"/>
              </w:rPr>
              <w:t>/</w:t>
            </w:r>
          </w:p>
        </w:tc>
        <w:tc>
          <w:tcPr>
            <w:tcW w:w="1118" w:type="dxa"/>
            <w:shd w:val="clear" w:color="auto" w:fill="auto"/>
            <w:vAlign w:val="center"/>
          </w:tcPr>
          <w:p w14:paraId="6EBFA117">
            <w:pPr>
              <w:pStyle w:val="57"/>
              <w:bidi w:val="0"/>
              <w:rPr>
                <w:rFonts w:hint="eastAsia"/>
                <w:b w:val="0"/>
                <w:bCs/>
                <w:lang w:val="en-US"/>
              </w:rPr>
            </w:pPr>
            <w:r>
              <w:rPr>
                <w:rFonts w:hint="eastAsia"/>
                <w:b w:val="0"/>
                <w:bCs/>
                <w:lang w:val="en-US" w:eastAsia="zh-CN"/>
              </w:rPr>
              <w:t>/</w:t>
            </w:r>
          </w:p>
        </w:tc>
        <w:tc>
          <w:tcPr>
            <w:tcW w:w="1807" w:type="dxa"/>
            <w:shd w:val="clear" w:color="auto" w:fill="auto"/>
            <w:vAlign w:val="center"/>
          </w:tcPr>
          <w:p w14:paraId="3AE4802F">
            <w:pPr>
              <w:pStyle w:val="57"/>
              <w:bidi w:val="0"/>
              <w:rPr>
                <w:rFonts w:hint="eastAsia"/>
                <w:b w:val="0"/>
                <w:bCs/>
                <w:lang w:val="en-US"/>
              </w:rPr>
            </w:pPr>
            <w:r>
              <w:rPr>
                <w:rFonts w:hint="eastAsia"/>
                <w:b w:val="0"/>
                <w:bCs/>
                <w:lang w:val="en-US" w:eastAsia="zh-CN"/>
              </w:rPr>
              <w:t>/</w:t>
            </w:r>
          </w:p>
        </w:tc>
        <w:tc>
          <w:tcPr>
            <w:tcW w:w="1656" w:type="dxa"/>
            <w:shd w:val="clear" w:color="auto" w:fill="auto"/>
            <w:vAlign w:val="center"/>
          </w:tcPr>
          <w:p w14:paraId="79CE0FEF">
            <w:pPr>
              <w:pStyle w:val="57"/>
              <w:bidi w:val="0"/>
              <w:rPr>
                <w:rFonts w:hint="default"/>
                <w:b w:val="0"/>
                <w:bCs/>
                <w:lang w:val="en-US" w:eastAsia="zh-CN"/>
              </w:rPr>
            </w:pPr>
            <w:r>
              <w:rPr>
                <w:rFonts w:hint="eastAsia"/>
                <w:b w:val="0"/>
                <w:bCs/>
                <w:lang w:val="en-US" w:eastAsia="zh-CN"/>
              </w:rPr>
              <w:t>0.233</w:t>
            </w:r>
          </w:p>
        </w:tc>
        <w:tc>
          <w:tcPr>
            <w:tcW w:w="1871" w:type="dxa"/>
            <w:vAlign w:val="center"/>
          </w:tcPr>
          <w:p w14:paraId="0727A60D">
            <w:pPr>
              <w:pStyle w:val="57"/>
              <w:bidi w:val="0"/>
              <w:rPr>
                <w:rFonts w:hint="eastAsia"/>
                <w:b w:val="0"/>
                <w:bCs/>
              </w:rPr>
            </w:pPr>
          </w:p>
        </w:tc>
        <w:tc>
          <w:tcPr>
            <w:tcW w:w="1769" w:type="dxa"/>
            <w:shd w:val="clear" w:color="auto" w:fill="auto"/>
            <w:vAlign w:val="center"/>
          </w:tcPr>
          <w:p w14:paraId="5B57E862">
            <w:pPr>
              <w:pStyle w:val="57"/>
              <w:bidi w:val="0"/>
              <w:rPr>
                <w:b w:val="0"/>
                <w:bCs/>
                <w:lang w:val="en-US"/>
              </w:rPr>
            </w:pPr>
            <w:r>
              <w:rPr>
                <w:rFonts w:hint="default"/>
                <w:b w:val="0"/>
                <w:bCs/>
                <w:lang w:val="en-US" w:eastAsia="zh-CN"/>
              </w:rPr>
              <w:t>0.233</w:t>
            </w:r>
          </w:p>
        </w:tc>
        <w:tc>
          <w:tcPr>
            <w:tcW w:w="1189" w:type="dxa"/>
            <w:shd w:val="clear" w:color="auto" w:fill="auto"/>
            <w:vAlign w:val="center"/>
          </w:tcPr>
          <w:p w14:paraId="5D65C934">
            <w:pPr>
              <w:pStyle w:val="57"/>
              <w:bidi w:val="0"/>
              <w:rPr>
                <w:rFonts w:hint="eastAsia"/>
                <w:b w:val="0"/>
                <w:bCs/>
                <w:lang w:val="en-US" w:eastAsia="zh-CN"/>
              </w:rPr>
            </w:pPr>
            <w:r>
              <w:rPr>
                <w:rFonts w:hint="eastAsia"/>
                <w:b w:val="0"/>
                <w:bCs/>
                <w:lang w:val="en-US" w:eastAsia="zh-CN"/>
              </w:rPr>
              <w:t>+0.233</w:t>
            </w:r>
          </w:p>
        </w:tc>
      </w:tr>
      <w:tr w14:paraId="324A03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restart"/>
            <w:vAlign w:val="center"/>
          </w:tcPr>
          <w:p w14:paraId="73FEEFA9">
            <w:pPr>
              <w:pStyle w:val="57"/>
              <w:bidi w:val="0"/>
              <w:rPr>
                <w:b w:val="0"/>
                <w:bCs/>
              </w:rPr>
            </w:pPr>
            <w:r>
              <w:rPr>
                <w:rFonts w:hint="eastAsia"/>
                <w:b w:val="0"/>
                <w:bCs/>
              </w:rPr>
              <w:t>废水</w:t>
            </w:r>
          </w:p>
        </w:tc>
        <w:tc>
          <w:tcPr>
            <w:tcW w:w="2802" w:type="dxa"/>
            <w:shd w:val="clear" w:color="auto" w:fill="auto"/>
            <w:vAlign w:val="center"/>
          </w:tcPr>
          <w:p w14:paraId="4576349F">
            <w:pPr>
              <w:pStyle w:val="57"/>
              <w:bidi w:val="0"/>
              <w:rPr>
                <w:b w:val="0"/>
                <w:bCs/>
                <w:lang w:val="en-US" w:eastAsia="zh-CN"/>
              </w:rPr>
            </w:pPr>
            <w:r>
              <w:rPr>
                <w:b w:val="0"/>
                <w:bCs/>
                <w:lang w:val="en-US"/>
              </w:rPr>
              <w:t>COD</w:t>
            </w:r>
          </w:p>
        </w:tc>
        <w:tc>
          <w:tcPr>
            <w:tcW w:w="1596" w:type="dxa"/>
            <w:shd w:val="clear" w:color="auto" w:fill="auto"/>
            <w:vAlign w:val="bottom"/>
          </w:tcPr>
          <w:p w14:paraId="62CD87DC">
            <w:pPr>
              <w:pStyle w:val="57"/>
              <w:bidi w:val="0"/>
              <w:rPr>
                <w:b w:val="0"/>
                <w:bCs/>
                <w:lang w:val="en-US" w:eastAsia="zh-CN"/>
              </w:rPr>
            </w:pPr>
            <w:r>
              <w:rPr>
                <w:rFonts w:hint="eastAsia"/>
                <w:b w:val="0"/>
                <w:bCs/>
                <w:lang w:val="en-US"/>
              </w:rPr>
              <w:t>0.002</w:t>
            </w:r>
          </w:p>
        </w:tc>
        <w:tc>
          <w:tcPr>
            <w:tcW w:w="1118" w:type="dxa"/>
            <w:shd w:val="clear" w:color="auto" w:fill="auto"/>
            <w:vAlign w:val="center"/>
          </w:tcPr>
          <w:p w14:paraId="01E1E36F">
            <w:pPr>
              <w:pStyle w:val="57"/>
              <w:bidi w:val="0"/>
              <w:rPr>
                <w:b w:val="0"/>
                <w:bCs/>
                <w:lang w:val="en-GB" w:eastAsia="zh-CN"/>
              </w:rPr>
            </w:pPr>
            <w:r>
              <w:rPr>
                <w:rFonts w:hint="eastAsia"/>
                <w:b w:val="0"/>
                <w:bCs/>
                <w:lang w:val="en-US" w:eastAsia="zh-CN"/>
              </w:rPr>
              <w:t>/</w:t>
            </w:r>
          </w:p>
        </w:tc>
        <w:tc>
          <w:tcPr>
            <w:tcW w:w="1807" w:type="dxa"/>
            <w:shd w:val="clear" w:color="auto" w:fill="auto"/>
            <w:vAlign w:val="bottom"/>
          </w:tcPr>
          <w:p w14:paraId="51DECB00">
            <w:pPr>
              <w:pStyle w:val="57"/>
              <w:bidi w:val="0"/>
              <w:rPr>
                <w:b w:val="0"/>
                <w:bCs/>
                <w:lang w:val="en-US" w:eastAsia="zh-CN"/>
              </w:rPr>
            </w:pPr>
            <w:r>
              <w:rPr>
                <w:rFonts w:hint="eastAsia"/>
                <w:b w:val="0"/>
                <w:bCs/>
                <w:lang w:val="en-US"/>
              </w:rPr>
              <w:t>0.862</w:t>
            </w:r>
          </w:p>
        </w:tc>
        <w:tc>
          <w:tcPr>
            <w:tcW w:w="1656" w:type="dxa"/>
            <w:shd w:val="clear" w:color="auto" w:fill="auto"/>
            <w:vAlign w:val="center"/>
          </w:tcPr>
          <w:p w14:paraId="6B1EA940">
            <w:pPr>
              <w:pStyle w:val="57"/>
              <w:bidi w:val="0"/>
              <w:rPr>
                <w:b w:val="0"/>
                <w:bCs/>
                <w:lang w:val="en-US"/>
              </w:rPr>
            </w:pPr>
            <w:r>
              <w:rPr>
                <w:rFonts w:hint="eastAsia"/>
                <w:b w:val="0"/>
                <w:bCs/>
                <w:lang w:val="en-US"/>
              </w:rPr>
              <w:t>0.0824</w:t>
            </w:r>
          </w:p>
        </w:tc>
        <w:tc>
          <w:tcPr>
            <w:tcW w:w="1871" w:type="dxa"/>
            <w:vAlign w:val="center"/>
          </w:tcPr>
          <w:p w14:paraId="124FDC76">
            <w:pPr>
              <w:pStyle w:val="57"/>
              <w:bidi w:val="0"/>
              <w:rPr>
                <w:b w:val="0"/>
                <w:bCs/>
              </w:rPr>
            </w:pPr>
            <w:r>
              <w:rPr>
                <w:rFonts w:hint="eastAsia"/>
                <w:b w:val="0"/>
                <w:bCs/>
              </w:rPr>
              <w:t>/</w:t>
            </w:r>
          </w:p>
        </w:tc>
        <w:tc>
          <w:tcPr>
            <w:tcW w:w="1769" w:type="dxa"/>
            <w:shd w:val="clear" w:color="auto" w:fill="auto"/>
            <w:vAlign w:val="center"/>
          </w:tcPr>
          <w:p w14:paraId="1CC95709">
            <w:pPr>
              <w:pStyle w:val="57"/>
              <w:bidi w:val="0"/>
              <w:rPr>
                <w:b w:val="0"/>
                <w:bCs/>
                <w:lang w:val="en-US"/>
              </w:rPr>
            </w:pPr>
            <w:r>
              <w:rPr>
                <w:rFonts w:hint="default"/>
                <w:b w:val="0"/>
                <w:bCs/>
                <w:lang w:val="en-US" w:eastAsia="zh-CN"/>
              </w:rPr>
              <w:t>0.9464</w:t>
            </w:r>
          </w:p>
        </w:tc>
        <w:tc>
          <w:tcPr>
            <w:tcW w:w="1189" w:type="dxa"/>
            <w:shd w:val="clear" w:color="auto" w:fill="auto"/>
            <w:vAlign w:val="center"/>
          </w:tcPr>
          <w:p w14:paraId="731CC8A3">
            <w:pPr>
              <w:pStyle w:val="57"/>
              <w:bidi w:val="0"/>
              <w:rPr>
                <w:b w:val="0"/>
                <w:bCs/>
                <w:lang w:val="en-US" w:eastAsia="zh-CN"/>
              </w:rPr>
            </w:pPr>
            <w:r>
              <w:rPr>
                <w:rFonts w:hint="eastAsia"/>
                <w:b w:val="0"/>
                <w:bCs/>
                <w:lang w:val="en-US" w:eastAsia="zh-CN"/>
              </w:rPr>
              <w:t>+</w:t>
            </w:r>
            <w:r>
              <w:rPr>
                <w:rFonts w:hint="eastAsia"/>
                <w:b w:val="0"/>
                <w:bCs/>
                <w:lang w:val="en-US"/>
              </w:rPr>
              <w:t>0.0824</w:t>
            </w:r>
          </w:p>
        </w:tc>
      </w:tr>
      <w:tr w14:paraId="19344D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5C6CDAEA">
            <w:pPr>
              <w:pStyle w:val="57"/>
              <w:bidi w:val="0"/>
              <w:rPr>
                <w:b w:val="0"/>
                <w:bCs/>
              </w:rPr>
            </w:pPr>
          </w:p>
        </w:tc>
        <w:tc>
          <w:tcPr>
            <w:tcW w:w="2802" w:type="dxa"/>
            <w:shd w:val="clear" w:color="auto" w:fill="auto"/>
            <w:vAlign w:val="center"/>
          </w:tcPr>
          <w:p w14:paraId="57172337">
            <w:pPr>
              <w:pStyle w:val="57"/>
              <w:bidi w:val="0"/>
              <w:rPr>
                <w:b w:val="0"/>
                <w:bCs/>
                <w:lang w:val="en-US" w:eastAsia="zh-CN"/>
              </w:rPr>
            </w:pPr>
            <w:r>
              <w:rPr>
                <w:b w:val="0"/>
                <w:bCs/>
                <w:lang w:val="en-US"/>
              </w:rPr>
              <w:t>BOD5</w:t>
            </w:r>
          </w:p>
        </w:tc>
        <w:tc>
          <w:tcPr>
            <w:tcW w:w="1596" w:type="dxa"/>
            <w:shd w:val="clear" w:color="auto" w:fill="auto"/>
            <w:vAlign w:val="bottom"/>
          </w:tcPr>
          <w:p w14:paraId="2DAED783">
            <w:pPr>
              <w:pStyle w:val="57"/>
              <w:bidi w:val="0"/>
              <w:rPr>
                <w:b w:val="0"/>
                <w:bCs/>
                <w:lang w:val="en-US" w:eastAsia="zh-CN"/>
              </w:rPr>
            </w:pPr>
            <w:r>
              <w:rPr>
                <w:rFonts w:hint="eastAsia"/>
                <w:b w:val="0"/>
                <w:bCs/>
                <w:lang w:val="en-US"/>
              </w:rPr>
              <w:t>/</w:t>
            </w:r>
          </w:p>
        </w:tc>
        <w:tc>
          <w:tcPr>
            <w:tcW w:w="1118" w:type="dxa"/>
            <w:shd w:val="clear" w:color="auto" w:fill="auto"/>
            <w:vAlign w:val="center"/>
          </w:tcPr>
          <w:p w14:paraId="278E90F6">
            <w:pPr>
              <w:pStyle w:val="57"/>
              <w:bidi w:val="0"/>
              <w:rPr>
                <w:b w:val="0"/>
                <w:bCs/>
                <w:lang w:val="en-US" w:eastAsia="zh-CN"/>
              </w:rPr>
            </w:pPr>
            <w:r>
              <w:rPr>
                <w:rFonts w:hint="eastAsia"/>
                <w:b w:val="0"/>
                <w:bCs/>
                <w:lang w:val="en-US" w:eastAsia="zh-CN"/>
              </w:rPr>
              <w:t>/</w:t>
            </w:r>
          </w:p>
        </w:tc>
        <w:tc>
          <w:tcPr>
            <w:tcW w:w="1807" w:type="dxa"/>
            <w:shd w:val="clear" w:color="auto" w:fill="auto"/>
            <w:vAlign w:val="bottom"/>
          </w:tcPr>
          <w:p w14:paraId="235BF513">
            <w:pPr>
              <w:pStyle w:val="57"/>
              <w:bidi w:val="0"/>
              <w:rPr>
                <w:b w:val="0"/>
                <w:bCs/>
                <w:lang w:val="en-US" w:eastAsia="zh-CN"/>
              </w:rPr>
            </w:pPr>
            <w:r>
              <w:rPr>
                <w:rFonts w:hint="eastAsia"/>
                <w:b w:val="0"/>
                <w:bCs/>
                <w:lang w:val="en-US"/>
              </w:rPr>
              <w:t>0.729</w:t>
            </w:r>
          </w:p>
        </w:tc>
        <w:tc>
          <w:tcPr>
            <w:tcW w:w="1656" w:type="dxa"/>
            <w:shd w:val="clear" w:color="auto" w:fill="auto"/>
            <w:vAlign w:val="center"/>
          </w:tcPr>
          <w:p w14:paraId="19D5AD3A">
            <w:pPr>
              <w:pStyle w:val="57"/>
              <w:bidi w:val="0"/>
              <w:rPr>
                <w:rFonts w:hint="eastAsia"/>
                <w:b w:val="0"/>
                <w:bCs/>
                <w:lang w:val="en-US" w:eastAsia="zh-CN"/>
              </w:rPr>
            </w:pPr>
            <w:r>
              <w:rPr>
                <w:rFonts w:hint="eastAsia"/>
                <w:b w:val="0"/>
                <w:bCs/>
                <w:lang w:val="en-US" w:eastAsia="zh-CN"/>
              </w:rPr>
              <w:t>/</w:t>
            </w:r>
          </w:p>
        </w:tc>
        <w:tc>
          <w:tcPr>
            <w:tcW w:w="1871" w:type="dxa"/>
            <w:vAlign w:val="center"/>
          </w:tcPr>
          <w:p w14:paraId="35633CF3">
            <w:pPr>
              <w:pStyle w:val="57"/>
              <w:bidi w:val="0"/>
              <w:rPr>
                <w:b w:val="0"/>
                <w:bCs/>
              </w:rPr>
            </w:pPr>
            <w:r>
              <w:rPr>
                <w:rFonts w:hint="eastAsia"/>
                <w:b w:val="0"/>
                <w:bCs/>
              </w:rPr>
              <w:t>/</w:t>
            </w:r>
          </w:p>
        </w:tc>
        <w:tc>
          <w:tcPr>
            <w:tcW w:w="1769" w:type="dxa"/>
            <w:shd w:val="clear" w:color="auto" w:fill="auto"/>
            <w:vAlign w:val="center"/>
          </w:tcPr>
          <w:p w14:paraId="3B25F691">
            <w:pPr>
              <w:pStyle w:val="57"/>
              <w:bidi w:val="0"/>
              <w:rPr>
                <w:b w:val="0"/>
                <w:bCs/>
                <w:lang w:val="en-US"/>
              </w:rPr>
            </w:pPr>
            <w:r>
              <w:rPr>
                <w:rFonts w:hint="eastAsia"/>
                <w:b w:val="0"/>
                <w:bCs/>
                <w:lang w:val="en-US" w:eastAsia="zh-CN"/>
              </w:rPr>
              <w:t>/</w:t>
            </w:r>
          </w:p>
        </w:tc>
        <w:tc>
          <w:tcPr>
            <w:tcW w:w="1189" w:type="dxa"/>
            <w:shd w:val="clear" w:color="auto" w:fill="auto"/>
            <w:vAlign w:val="center"/>
          </w:tcPr>
          <w:p w14:paraId="3A70ECAC">
            <w:pPr>
              <w:pStyle w:val="57"/>
              <w:bidi w:val="0"/>
              <w:rPr>
                <w:rFonts w:hint="eastAsia"/>
                <w:b w:val="0"/>
                <w:bCs/>
                <w:lang w:val="en-US" w:eastAsia="zh-CN"/>
              </w:rPr>
            </w:pPr>
            <w:r>
              <w:rPr>
                <w:rFonts w:hint="eastAsia"/>
                <w:b w:val="0"/>
                <w:bCs/>
                <w:lang w:val="en-US" w:eastAsia="zh-CN"/>
              </w:rPr>
              <w:t>/</w:t>
            </w:r>
          </w:p>
        </w:tc>
      </w:tr>
      <w:tr w14:paraId="30EB25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0696270C">
            <w:pPr>
              <w:pStyle w:val="57"/>
              <w:bidi w:val="0"/>
              <w:rPr>
                <w:b w:val="0"/>
                <w:bCs/>
              </w:rPr>
            </w:pPr>
          </w:p>
        </w:tc>
        <w:tc>
          <w:tcPr>
            <w:tcW w:w="2802" w:type="dxa"/>
            <w:shd w:val="clear" w:color="auto" w:fill="auto"/>
            <w:vAlign w:val="center"/>
          </w:tcPr>
          <w:p w14:paraId="4964A85D">
            <w:pPr>
              <w:pStyle w:val="57"/>
              <w:bidi w:val="0"/>
              <w:rPr>
                <w:b w:val="0"/>
                <w:bCs/>
                <w:lang w:val="en-US" w:eastAsia="zh-CN"/>
              </w:rPr>
            </w:pPr>
            <w:r>
              <w:rPr>
                <w:b w:val="0"/>
                <w:bCs/>
                <w:lang w:val="en-US"/>
              </w:rPr>
              <w:t>SS</w:t>
            </w:r>
          </w:p>
        </w:tc>
        <w:tc>
          <w:tcPr>
            <w:tcW w:w="1596" w:type="dxa"/>
            <w:shd w:val="clear" w:color="auto" w:fill="auto"/>
            <w:vAlign w:val="bottom"/>
          </w:tcPr>
          <w:p w14:paraId="359BC9AF">
            <w:pPr>
              <w:pStyle w:val="57"/>
              <w:bidi w:val="0"/>
              <w:rPr>
                <w:b w:val="0"/>
                <w:bCs/>
                <w:lang w:val="en-US" w:eastAsia="zh-CN"/>
              </w:rPr>
            </w:pPr>
            <w:r>
              <w:rPr>
                <w:rFonts w:hint="eastAsia"/>
                <w:b w:val="0"/>
                <w:bCs/>
                <w:lang w:val="en-US"/>
              </w:rPr>
              <w:t>0.001</w:t>
            </w:r>
          </w:p>
        </w:tc>
        <w:tc>
          <w:tcPr>
            <w:tcW w:w="1118" w:type="dxa"/>
            <w:shd w:val="clear" w:color="auto" w:fill="auto"/>
            <w:vAlign w:val="center"/>
          </w:tcPr>
          <w:p w14:paraId="34950682">
            <w:pPr>
              <w:pStyle w:val="57"/>
              <w:bidi w:val="0"/>
              <w:rPr>
                <w:b w:val="0"/>
                <w:bCs/>
                <w:lang w:val="en-US" w:eastAsia="zh-CN"/>
              </w:rPr>
            </w:pPr>
            <w:r>
              <w:rPr>
                <w:rFonts w:hint="eastAsia"/>
                <w:b w:val="0"/>
                <w:bCs/>
                <w:lang w:val="en-US" w:eastAsia="zh-CN"/>
              </w:rPr>
              <w:t>/</w:t>
            </w:r>
          </w:p>
        </w:tc>
        <w:tc>
          <w:tcPr>
            <w:tcW w:w="1807" w:type="dxa"/>
            <w:shd w:val="clear" w:color="auto" w:fill="auto"/>
            <w:vAlign w:val="bottom"/>
          </w:tcPr>
          <w:p w14:paraId="54276B16">
            <w:pPr>
              <w:pStyle w:val="57"/>
              <w:bidi w:val="0"/>
              <w:rPr>
                <w:b w:val="0"/>
                <w:bCs/>
                <w:lang w:val="en-US" w:eastAsia="zh-CN"/>
              </w:rPr>
            </w:pPr>
            <w:r>
              <w:rPr>
                <w:rFonts w:hint="eastAsia"/>
                <w:b w:val="0"/>
                <w:bCs/>
                <w:lang w:val="en-US"/>
              </w:rPr>
              <w:t>0.265</w:t>
            </w:r>
          </w:p>
        </w:tc>
        <w:tc>
          <w:tcPr>
            <w:tcW w:w="1656" w:type="dxa"/>
            <w:shd w:val="clear" w:color="auto" w:fill="auto"/>
            <w:vAlign w:val="center"/>
          </w:tcPr>
          <w:p w14:paraId="07441E3C">
            <w:pPr>
              <w:pStyle w:val="57"/>
              <w:bidi w:val="0"/>
              <w:rPr>
                <w:b w:val="0"/>
                <w:bCs/>
                <w:lang w:val="en-US"/>
              </w:rPr>
            </w:pPr>
            <w:r>
              <w:rPr>
                <w:rFonts w:hint="eastAsia"/>
                <w:b w:val="0"/>
                <w:bCs/>
                <w:lang w:val="en-US"/>
              </w:rPr>
              <w:t>0.003202</w:t>
            </w:r>
          </w:p>
        </w:tc>
        <w:tc>
          <w:tcPr>
            <w:tcW w:w="1871" w:type="dxa"/>
            <w:vAlign w:val="center"/>
          </w:tcPr>
          <w:p w14:paraId="5B48A535">
            <w:pPr>
              <w:pStyle w:val="57"/>
              <w:bidi w:val="0"/>
              <w:rPr>
                <w:b w:val="0"/>
                <w:bCs/>
              </w:rPr>
            </w:pPr>
            <w:r>
              <w:rPr>
                <w:rFonts w:hint="eastAsia"/>
                <w:b w:val="0"/>
                <w:bCs/>
              </w:rPr>
              <w:t>/</w:t>
            </w:r>
          </w:p>
        </w:tc>
        <w:tc>
          <w:tcPr>
            <w:tcW w:w="1769" w:type="dxa"/>
            <w:shd w:val="clear" w:color="auto" w:fill="auto"/>
            <w:vAlign w:val="center"/>
          </w:tcPr>
          <w:p w14:paraId="0CF6D20D">
            <w:pPr>
              <w:pStyle w:val="57"/>
              <w:bidi w:val="0"/>
              <w:rPr>
                <w:b w:val="0"/>
                <w:bCs/>
                <w:lang w:val="en-US"/>
              </w:rPr>
            </w:pPr>
            <w:r>
              <w:rPr>
                <w:rFonts w:hint="default"/>
                <w:b w:val="0"/>
                <w:bCs/>
                <w:lang w:val="en-US" w:eastAsia="zh-CN"/>
              </w:rPr>
              <w:t>0.269202</w:t>
            </w:r>
          </w:p>
        </w:tc>
        <w:tc>
          <w:tcPr>
            <w:tcW w:w="1189" w:type="dxa"/>
            <w:shd w:val="clear" w:color="auto" w:fill="auto"/>
            <w:vAlign w:val="center"/>
          </w:tcPr>
          <w:p w14:paraId="73E4F07F">
            <w:pPr>
              <w:pStyle w:val="57"/>
              <w:bidi w:val="0"/>
              <w:rPr>
                <w:b w:val="0"/>
                <w:bCs/>
                <w:lang w:val="en-US" w:eastAsia="zh-CN"/>
              </w:rPr>
            </w:pPr>
            <w:r>
              <w:rPr>
                <w:rFonts w:hint="eastAsia"/>
                <w:b w:val="0"/>
                <w:bCs/>
                <w:lang w:val="en-US" w:eastAsia="zh-CN"/>
              </w:rPr>
              <w:t>+</w:t>
            </w:r>
            <w:r>
              <w:rPr>
                <w:rFonts w:hint="eastAsia"/>
                <w:b w:val="0"/>
                <w:bCs/>
                <w:lang w:val="en-US"/>
              </w:rPr>
              <w:t>0.003202</w:t>
            </w:r>
          </w:p>
        </w:tc>
      </w:tr>
      <w:tr w14:paraId="7F0618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481173A1">
            <w:pPr>
              <w:pStyle w:val="57"/>
              <w:bidi w:val="0"/>
              <w:rPr>
                <w:b w:val="0"/>
                <w:bCs/>
              </w:rPr>
            </w:pPr>
          </w:p>
        </w:tc>
        <w:tc>
          <w:tcPr>
            <w:tcW w:w="2802" w:type="dxa"/>
            <w:shd w:val="clear" w:color="auto" w:fill="auto"/>
            <w:vAlign w:val="center"/>
          </w:tcPr>
          <w:p w14:paraId="608DC526">
            <w:pPr>
              <w:pStyle w:val="57"/>
              <w:bidi w:val="0"/>
              <w:rPr>
                <w:b w:val="0"/>
                <w:bCs/>
                <w:lang w:val="en-US" w:eastAsia="zh-CN"/>
              </w:rPr>
            </w:pPr>
            <w:r>
              <w:rPr>
                <w:b w:val="0"/>
                <w:bCs/>
                <w:lang w:val="en-US"/>
              </w:rPr>
              <w:t>氨氮</w:t>
            </w:r>
          </w:p>
        </w:tc>
        <w:tc>
          <w:tcPr>
            <w:tcW w:w="1596" w:type="dxa"/>
            <w:shd w:val="clear" w:color="auto" w:fill="auto"/>
            <w:vAlign w:val="bottom"/>
          </w:tcPr>
          <w:p w14:paraId="39D11E98">
            <w:pPr>
              <w:pStyle w:val="57"/>
              <w:bidi w:val="0"/>
              <w:rPr>
                <w:b w:val="0"/>
                <w:bCs/>
                <w:lang w:val="en-US" w:eastAsia="zh-CN"/>
              </w:rPr>
            </w:pPr>
            <w:r>
              <w:rPr>
                <w:rFonts w:hint="eastAsia"/>
                <w:b w:val="0"/>
                <w:bCs/>
                <w:lang w:val="en-US"/>
              </w:rPr>
              <w:t>/</w:t>
            </w:r>
          </w:p>
        </w:tc>
        <w:tc>
          <w:tcPr>
            <w:tcW w:w="1118" w:type="dxa"/>
            <w:shd w:val="clear" w:color="auto" w:fill="auto"/>
            <w:vAlign w:val="center"/>
          </w:tcPr>
          <w:p w14:paraId="268F7441">
            <w:pPr>
              <w:pStyle w:val="57"/>
              <w:bidi w:val="0"/>
              <w:rPr>
                <w:b w:val="0"/>
                <w:bCs/>
                <w:lang w:val="en-US" w:eastAsia="zh-CN"/>
              </w:rPr>
            </w:pPr>
            <w:r>
              <w:rPr>
                <w:rFonts w:hint="eastAsia"/>
                <w:b w:val="0"/>
                <w:bCs/>
                <w:lang w:val="en-US" w:eastAsia="zh-CN"/>
              </w:rPr>
              <w:t>/</w:t>
            </w:r>
          </w:p>
        </w:tc>
        <w:tc>
          <w:tcPr>
            <w:tcW w:w="1807" w:type="dxa"/>
            <w:shd w:val="clear" w:color="auto" w:fill="auto"/>
            <w:vAlign w:val="bottom"/>
          </w:tcPr>
          <w:p w14:paraId="686B9C94">
            <w:pPr>
              <w:pStyle w:val="57"/>
              <w:bidi w:val="0"/>
              <w:rPr>
                <w:b w:val="0"/>
                <w:bCs/>
                <w:lang w:val="en-US" w:eastAsia="zh-CN"/>
              </w:rPr>
            </w:pPr>
            <w:r>
              <w:rPr>
                <w:rFonts w:hint="eastAsia"/>
                <w:b w:val="0"/>
                <w:bCs/>
                <w:lang w:val="en-US"/>
              </w:rPr>
              <w:t>0.083</w:t>
            </w:r>
          </w:p>
        </w:tc>
        <w:tc>
          <w:tcPr>
            <w:tcW w:w="1656" w:type="dxa"/>
            <w:shd w:val="clear" w:color="auto" w:fill="auto"/>
            <w:vAlign w:val="center"/>
          </w:tcPr>
          <w:p w14:paraId="0362D819">
            <w:pPr>
              <w:pStyle w:val="57"/>
              <w:bidi w:val="0"/>
              <w:rPr>
                <w:rFonts w:hint="eastAsia"/>
                <w:b w:val="0"/>
                <w:bCs/>
                <w:lang w:val="en-US" w:eastAsia="zh-CN"/>
              </w:rPr>
            </w:pPr>
            <w:r>
              <w:rPr>
                <w:rFonts w:hint="eastAsia"/>
                <w:b w:val="0"/>
                <w:bCs/>
                <w:lang w:val="en-US" w:eastAsia="zh-CN"/>
              </w:rPr>
              <w:t>/</w:t>
            </w:r>
          </w:p>
        </w:tc>
        <w:tc>
          <w:tcPr>
            <w:tcW w:w="1871" w:type="dxa"/>
            <w:vAlign w:val="center"/>
          </w:tcPr>
          <w:p w14:paraId="0208F401">
            <w:pPr>
              <w:pStyle w:val="57"/>
              <w:bidi w:val="0"/>
              <w:rPr>
                <w:b w:val="0"/>
                <w:bCs/>
              </w:rPr>
            </w:pPr>
            <w:r>
              <w:rPr>
                <w:rFonts w:hint="eastAsia"/>
                <w:b w:val="0"/>
                <w:bCs/>
              </w:rPr>
              <w:t>/</w:t>
            </w:r>
          </w:p>
        </w:tc>
        <w:tc>
          <w:tcPr>
            <w:tcW w:w="1769" w:type="dxa"/>
            <w:shd w:val="clear" w:color="auto" w:fill="auto"/>
            <w:vAlign w:val="center"/>
          </w:tcPr>
          <w:p w14:paraId="2C857154">
            <w:pPr>
              <w:pStyle w:val="57"/>
              <w:bidi w:val="0"/>
              <w:rPr>
                <w:b w:val="0"/>
                <w:bCs/>
              </w:rPr>
            </w:pPr>
            <w:r>
              <w:rPr>
                <w:rFonts w:hint="eastAsia"/>
                <w:b w:val="0"/>
                <w:bCs/>
                <w:lang w:val="en-US" w:eastAsia="zh-CN"/>
              </w:rPr>
              <w:t>/</w:t>
            </w:r>
          </w:p>
        </w:tc>
        <w:tc>
          <w:tcPr>
            <w:tcW w:w="1189" w:type="dxa"/>
            <w:shd w:val="clear" w:color="auto" w:fill="auto"/>
            <w:vAlign w:val="center"/>
          </w:tcPr>
          <w:p w14:paraId="16596861">
            <w:pPr>
              <w:pStyle w:val="57"/>
              <w:bidi w:val="0"/>
              <w:rPr>
                <w:rFonts w:hint="eastAsia"/>
                <w:b w:val="0"/>
                <w:bCs/>
                <w:lang w:val="en-US" w:eastAsia="zh-CN"/>
              </w:rPr>
            </w:pPr>
            <w:r>
              <w:rPr>
                <w:rFonts w:hint="eastAsia"/>
                <w:b w:val="0"/>
                <w:bCs/>
                <w:lang w:val="en-US" w:eastAsia="zh-CN"/>
              </w:rPr>
              <w:t>/</w:t>
            </w:r>
          </w:p>
        </w:tc>
      </w:tr>
      <w:tr w14:paraId="48DF44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0B69AA9F">
            <w:pPr>
              <w:pStyle w:val="57"/>
              <w:bidi w:val="0"/>
              <w:rPr>
                <w:b w:val="0"/>
                <w:bCs/>
              </w:rPr>
            </w:pPr>
          </w:p>
        </w:tc>
        <w:tc>
          <w:tcPr>
            <w:tcW w:w="2802" w:type="dxa"/>
            <w:shd w:val="clear" w:color="auto" w:fill="auto"/>
            <w:vAlign w:val="center"/>
          </w:tcPr>
          <w:p w14:paraId="6FC345A3">
            <w:pPr>
              <w:pStyle w:val="57"/>
              <w:bidi w:val="0"/>
              <w:rPr>
                <w:b w:val="0"/>
                <w:bCs/>
                <w:lang w:val="en-US" w:eastAsia="zh-CN"/>
              </w:rPr>
            </w:pPr>
            <w:r>
              <w:rPr>
                <w:rFonts w:hint="eastAsia"/>
                <w:b w:val="0"/>
                <w:bCs/>
                <w:lang w:val="en-US"/>
              </w:rPr>
              <w:t>石油类</w:t>
            </w:r>
          </w:p>
        </w:tc>
        <w:tc>
          <w:tcPr>
            <w:tcW w:w="1596" w:type="dxa"/>
            <w:shd w:val="clear" w:color="auto" w:fill="auto"/>
            <w:vAlign w:val="bottom"/>
          </w:tcPr>
          <w:p w14:paraId="3153810A">
            <w:pPr>
              <w:pStyle w:val="57"/>
              <w:bidi w:val="0"/>
              <w:rPr>
                <w:b w:val="0"/>
                <w:bCs/>
                <w:lang w:val="en-US" w:eastAsia="zh-CN"/>
              </w:rPr>
            </w:pPr>
            <w:r>
              <w:rPr>
                <w:rFonts w:hint="eastAsia"/>
                <w:b w:val="0"/>
                <w:bCs/>
                <w:lang w:val="en-US"/>
              </w:rPr>
              <w:t>/</w:t>
            </w:r>
          </w:p>
        </w:tc>
        <w:tc>
          <w:tcPr>
            <w:tcW w:w="1118" w:type="dxa"/>
            <w:shd w:val="clear" w:color="auto" w:fill="auto"/>
            <w:vAlign w:val="center"/>
          </w:tcPr>
          <w:p w14:paraId="6B8A3C2A">
            <w:pPr>
              <w:pStyle w:val="57"/>
              <w:bidi w:val="0"/>
              <w:rPr>
                <w:b w:val="0"/>
                <w:bCs/>
                <w:lang w:val="en-US" w:eastAsia="zh-CN"/>
              </w:rPr>
            </w:pPr>
            <w:r>
              <w:rPr>
                <w:rFonts w:hint="eastAsia"/>
                <w:b w:val="0"/>
                <w:bCs/>
                <w:lang w:val="en-US" w:eastAsia="zh-CN"/>
              </w:rPr>
              <w:t>/</w:t>
            </w:r>
          </w:p>
        </w:tc>
        <w:tc>
          <w:tcPr>
            <w:tcW w:w="1807" w:type="dxa"/>
            <w:shd w:val="clear" w:color="auto" w:fill="auto"/>
            <w:vAlign w:val="bottom"/>
          </w:tcPr>
          <w:p w14:paraId="313307CD">
            <w:pPr>
              <w:pStyle w:val="57"/>
              <w:bidi w:val="0"/>
              <w:rPr>
                <w:b w:val="0"/>
                <w:bCs/>
                <w:lang w:val="en-US" w:eastAsia="zh-CN"/>
              </w:rPr>
            </w:pPr>
            <w:r>
              <w:rPr>
                <w:rFonts w:hint="eastAsia"/>
                <w:b w:val="0"/>
                <w:bCs/>
                <w:lang w:val="en-US"/>
              </w:rPr>
              <w:t>0.002</w:t>
            </w:r>
          </w:p>
        </w:tc>
        <w:tc>
          <w:tcPr>
            <w:tcW w:w="1656" w:type="dxa"/>
            <w:shd w:val="clear" w:color="auto" w:fill="auto"/>
            <w:vAlign w:val="center"/>
          </w:tcPr>
          <w:p w14:paraId="0DBF16B9">
            <w:pPr>
              <w:pStyle w:val="57"/>
              <w:bidi w:val="0"/>
              <w:rPr>
                <w:b w:val="0"/>
                <w:bCs/>
              </w:rPr>
            </w:pPr>
            <w:r>
              <w:rPr>
                <w:rFonts w:hint="eastAsia"/>
                <w:b w:val="0"/>
                <w:bCs/>
                <w:lang w:val="en-US"/>
              </w:rPr>
              <w:t>0.00403</w:t>
            </w:r>
          </w:p>
        </w:tc>
        <w:tc>
          <w:tcPr>
            <w:tcW w:w="1871" w:type="dxa"/>
            <w:vAlign w:val="center"/>
          </w:tcPr>
          <w:p w14:paraId="76D7631D">
            <w:pPr>
              <w:pStyle w:val="57"/>
              <w:bidi w:val="0"/>
              <w:rPr>
                <w:b w:val="0"/>
                <w:bCs/>
              </w:rPr>
            </w:pPr>
            <w:r>
              <w:rPr>
                <w:rFonts w:hint="eastAsia"/>
                <w:b w:val="0"/>
                <w:bCs/>
              </w:rPr>
              <w:t>/</w:t>
            </w:r>
          </w:p>
        </w:tc>
        <w:tc>
          <w:tcPr>
            <w:tcW w:w="1769" w:type="dxa"/>
            <w:shd w:val="clear" w:color="auto" w:fill="auto"/>
            <w:vAlign w:val="center"/>
          </w:tcPr>
          <w:p w14:paraId="40023A4F">
            <w:pPr>
              <w:pStyle w:val="57"/>
              <w:bidi w:val="0"/>
              <w:rPr>
                <w:b w:val="0"/>
                <w:bCs/>
              </w:rPr>
            </w:pPr>
            <w:r>
              <w:rPr>
                <w:rFonts w:hint="eastAsia"/>
                <w:b w:val="0"/>
                <w:bCs/>
                <w:lang w:val="en-US" w:eastAsia="zh-CN"/>
              </w:rPr>
              <w:t>/</w:t>
            </w:r>
          </w:p>
        </w:tc>
        <w:tc>
          <w:tcPr>
            <w:tcW w:w="1189" w:type="dxa"/>
            <w:shd w:val="clear" w:color="auto" w:fill="auto"/>
            <w:vAlign w:val="center"/>
          </w:tcPr>
          <w:p w14:paraId="3083BC65">
            <w:pPr>
              <w:pStyle w:val="57"/>
              <w:bidi w:val="0"/>
              <w:rPr>
                <w:b w:val="0"/>
                <w:bCs/>
                <w:lang w:val="en-GB" w:eastAsia="zh-CN"/>
              </w:rPr>
            </w:pPr>
            <w:r>
              <w:rPr>
                <w:rFonts w:hint="eastAsia"/>
                <w:b w:val="0"/>
                <w:bCs/>
                <w:lang w:val="en-US" w:eastAsia="zh-CN"/>
              </w:rPr>
              <w:t>+</w:t>
            </w:r>
            <w:r>
              <w:rPr>
                <w:rFonts w:hint="eastAsia"/>
                <w:b w:val="0"/>
                <w:bCs/>
                <w:lang w:val="en-US"/>
              </w:rPr>
              <w:t>0.00403</w:t>
            </w:r>
          </w:p>
        </w:tc>
      </w:tr>
      <w:tr w14:paraId="09DDC3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restart"/>
            <w:vAlign w:val="center"/>
          </w:tcPr>
          <w:p w14:paraId="497E900F">
            <w:pPr>
              <w:pStyle w:val="57"/>
              <w:bidi w:val="0"/>
              <w:rPr>
                <w:b w:val="0"/>
                <w:bCs/>
              </w:rPr>
            </w:pPr>
            <w:r>
              <w:rPr>
                <w:rFonts w:hint="eastAsia"/>
                <w:b w:val="0"/>
                <w:bCs/>
              </w:rPr>
              <w:t>一般工业</w:t>
            </w:r>
          </w:p>
          <w:p w14:paraId="6B69DA80">
            <w:pPr>
              <w:pStyle w:val="57"/>
              <w:bidi w:val="0"/>
              <w:rPr>
                <w:b w:val="0"/>
                <w:bCs/>
              </w:rPr>
            </w:pPr>
            <w:r>
              <w:rPr>
                <w:rFonts w:hint="eastAsia"/>
                <w:b w:val="0"/>
                <w:bCs/>
              </w:rPr>
              <w:t>固体废物</w:t>
            </w:r>
          </w:p>
        </w:tc>
        <w:tc>
          <w:tcPr>
            <w:tcW w:w="2802" w:type="dxa"/>
            <w:shd w:val="clear" w:color="auto" w:fill="auto"/>
            <w:vAlign w:val="center"/>
          </w:tcPr>
          <w:p w14:paraId="7A0827AA">
            <w:pPr>
              <w:pStyle w:val="57"/>
              <w:bidi w:val="0"/>
              <w:rPr>
                <w:b w:val="0"/>
                <w:bCs/>
                <w:lang w:val="en-US" w:eastAsia="zh-CN"/>
              </w:rPr>
            </w:pPr>
            <w:r>
              <w:rPr>
                <w:b w:val="0"/>
                <w:bCs/>
              </w:rPr>
              <w:t>废包装物</w:t>
            </w:r>
          </w:p>
        </w:tc>
        <w:tc>
          <w:tcPr>
            <w:tcW w:w="1596" w:type="dxa"/>
            <w:shd w:val="clear" w:color="auto" w:fill="auto"/>
            <w:vAlign w:val="center"/>
          </w:tcPr>
          <w:p w14:paraId="25E6AB1B">
            <w:pPr>
              <w:pStyle w:val="57"/>
              <w:bidi w:val="0"/>
              <w:rPr>
                <w:b w:val="0"/>
                <w:bCs/>
                <w:lang w:val="en-US" w:eastAsia="zh-CN"/>
              </w:rPr>
            </w:pPr>
            <w:r>
              <w:rPr>
                <w:rFonts w:hint="eastAsia"/>
                <w:b w:val="0"/>
                <w:bCs/>
                <w:lang w:val="en-US"/>
              </w:rPr>
              <w:t>13</w:t>
            </w:r>
          </w:p>
        </w:tc>
        <w:tc>
          <w:tcPr>
            <w:tcW w:w="1118" w:type="dxa"/>
            <w:shd w:val="clear" w:color="auto" w:fill="auto"/>
            <w:vAlign w:val="center"/>
          </w:tcPr>
          <w:p w14:paraId="1D3EF883">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13D07AEE">
            <w:pPr>
              <w:pStyle w:val="57"/>
              <w:bidi w:val="0"/>
              <w:rPr>
                <w:b w:val="0"/>
                <w:bCs/>
                <w:lang w:val="en-US" w:eastAsia="zh-CN"/>
              </w:rPr>
            </w:pPr>
            <w:r>
              <w:rPr>
                <w:rFonts w:hint="eastAsia"/>
                <w:b w:val="0"/>
                <w:bCs/>
                <w:lang w:val="en-US"/>
              </w:rPr>
              <w:t>20</w:t>
            </w:r>
          </w:p>
        </w:tc>
        <w:tc>
          <w:tcPr>
            <w:tcW w:w="1656" w:type="dxa"/>
            <w:shd w:val="clear" w:color="auto" w:fill="auto"/>
            <w:vAlign w:val="center"/>
          </w:tcPr>
          <w:p w14:paraId="4008BEEC">
            <w:pPr>
              <w:pStyle w:val="57"/>
              <w:bidi w:val="0"/>
              <w:rPr>
                <w:b w:val="0"/>
                <w:bCs/>
              </w:rPr>
            </w:pPr>
            <w:r>
              <w:rPr>
                <w:rFonts w:hint="eastAsia"/>
                <w:b w:val="0"/>
                <w:bCs/>
                <w:lang w:val="en-US" w:eastAsia="zh-CN"/>
              </w:rPr>
              <w:t>/</w:t>
            </w:r>
          </w:p>
        </w:tc>
        <w:tc>
          <w:tcPr>
            <w:tcW w:w="1871" w:type="dxa"/>
            <w:vAlign w:val="center"/>
          </w:tcPr>
          <w:p w14:paraId="2A9141FF">
            <w:pPr>
              <w:pStyle w:val="57"/>
              <w:bidi w:val="0"/>
              <w:rPr>
                <w:b w:val="0"/>
                <w:bCs/>
              </w:rPr>
            </w:pPr>
            <w:r>
              <w:rPr>
                <w:rFonts w:hint="eastAsia"/>
                <w:b w:val="0"/>
                <w:bCs/>
              </w:rPr>
              <w:t>/</w:t>
            </w:r>
          </w:p>
        </w:tc>
        <w:tc>
          <w:tcPr>
            <w:tcW w:w="1769" w:type="dxa"/>
            <w:shd w:val="clear" w:color="auto" w:fill="auto"/>
            <w:vAlign w:val="center"/>
          </w:tcPr>
          <w:p w14:paraId="219D9A72">
            <w:pPr>
              <w:pStyle w:val="57"/>
              <w:bidi w:val="0"/>
              <w:rPr>
                <w:b w:val="0"/>
                <w:bCs/>
              </w:rPr>
            </w:pPr>
            <w:r>
              <w:rPr>
                <w:rFonts w:hint="default"/>
                <w:b w:val="0"/>
                <w:bCs/>
                <w:lang w:val="en-US" w:eastAsia="zh-CN"/>
              </w:rPr>
              <w:t>33</w:t>
            </w:r>
          </w:p>
        </w:tc>
        <w:tc>
          <w:tcPr>
            <w:tcW w:w="1189" w:type="dxa"/>
            <w:shd w:val="clear" w:color="auto" w:fill="auto"/>
            <w:vAlign w:val="center"/>
          </w:tcPr>
          <w:p w14:paraId="363AD3D8">
            <w:pPr>
              <w:pStyle w:val="57"/>
              <w:bidi w:val="0"/>
              <w:rPr>
                <w:b w:val="0"/>
                <w:bCs/>
                <w:lang w:val="en-GB" w:eastAsia="zh-CN"/>
              </w:rPr>
            </w:pPr>
            <w:r>
              <w:rPr>
                <w:rFonts w:hint="eastAsia"/>
                <w:b w:val="0"/>
                <w:bCs/>
                <w:lang w:val="en-US" w:eastAsia="zh-CN"/>
              </w:rPr>
              <w:t>/</w:t>
            </w:r>
          </w:p>
        </w:tc>
      </w:tr>
      <w:tr w14:paraId="1CE688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1B9F5B7C">
            <w:pPr>
              <w:pStyle w:val="57"/>
              <w:bidi w:val="0"/>
              <w:rPr>
                <w:b w:val="0"/>
                <w:bCs/>
              </w:rPr>
            </w:pPr>
          </w:p>
        </w:tc>
        <w:tc>
          <w:tcPr>
            <w:tcW w:w="2802" w:type="dxa"/>
            <w:shd w:val="clear" w:color="auto" w:fill="auto"/>
            <w:vAlign w:val="center"/>
          </w:tcPr>
          <w:p w14:paraId="4B855593">
            <w:pPr>
              <w:pStyle w:val="57"/>
              <w:bidi w:val="0"/>
              <w:rPr>
                <w:b w:val="0"/>
                <w:bCs/>
                <w:lang w:val="en-US" w:eastAsia="zh-CN"/>
              </w:rPr>
            </w:pPr>
            <w:r>
              <w:rPr>
                <w:b w:val="0"/>
                <w:bCs/>
              </w:rPr>
              <w:t>除尘器收尘灰</w:t>
            </w:r>
          </w:p>
        </w:tc>
        <w:tc>
          <w:tcPr>
            <w:tcW w:w="1596" w:type="dxa"/>
            <w:shd w:val="clear" w:color="auto" w:fill="auto"/>
            <w:vAlign w:val="center"/>
          </w:tcPr>
          <w:p w14:paraId="5530C4B7">
            <w:pPr>
              <w:pStyle w:val="57"/>
              <w:bidi w:val="0"/>
              <w:rPr>
                <w:b w:val="0"/>
                <w:bCs/>
                <w:lang w:val="en-US" w:eastAsia="zh-CN"/>
              </w:rPr>
            </w:pPr>
            <w:r>
              <w:rPr>
                <w:rFonts w:hint="eastAsia"/>
                <w:b w:val="0"/>
                <w:bCs/>
                <w:lang w:val="en-US"/>
              </w:rPr>
              <w:t>0.3</w:t>
            </w:r>
          </w:p>
        </w:tc>
        <w:tc>
          <w:tcPr>
            <w:tcW w:w="1118" w:type="dxa"/>
            <w:shd w:val="clear" w:color="auto" w:fill="auto"/>
            <w:vAlign w:val="center"/>
          </w:tcPr>
          <w:p w14:paraId="4AF771ED">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11DA7BF3">
            <w:pPr>
              <w:pStyle w:val="57"/>
              <w:bidi w:val="0"/>
              <w:rPr>
                <w:b w:val="0"/>
                <w:bCs/>
                <w:lang w:val="en-US" w:eastAsia="zh-CN"/>
              </w:rPr>
            </w:pPr>
            <w:r>
              <w:rPr>
                <w:rFonts w:hint="eastAsia"/>
                <w:b w:val="0"/>
                <w:bCs/>
                <w:lang w:val="en-US"/>
              </w:rPr>
              <w:t>6.496</w:t>
            </w:r>
          </w:p>
        </w:tc>
        <w:tc>
          <w:tcPr>
            <w:tcW w:w="1656" w:type="dxa"/>
            <w:shd w:val="clear" w:color="auto" w:fill="auto"/>
            <w:vAlign w:val="center"/>
          </w:tcPr>
          <w:p w14:paraId="05D1CD82">
            <w:pPr>
              <w:pStyle w:val="57"/>
              <w:bidi w:val="0"/>
              <w:rPr>
                <w:b w:val="0"/>
                <w:bCs/>
              </w:rPr>
            </w:pPr>
            <w:r>
              <w:rPr>
                <w:rFonts w:hint="eastAsia"/>
                <w:b w:val="0"/>
                <w:bCs/>
                <w:lang w:val="en-US" w:eastAsia="zh-CN"/>
              </w:rPr>
              <w:t>/</w:t>
            </w:r>
          </w:p>
        </w:tc>
        <w:tc>
          <w:tcPr>
            <w:tcW w:w="1871" w:type="dxa"/>
            <w:vAlign w:val="center"/>
          </w:tcPr>
          <w:p w14:paraId="5CC5987E">
            <w:pPr>
              <w:pStyle w:val="57"/>
              <w:bidi w:val="0"/>
              <w:rPr>
                <w:b w:val="0"/>
                <w:bCs/>
              </w:rPr>
            </w:pPr>
            <w:r>
              <w:rPr>
                <w:rFonts w:hint="eastAsia"/>
                <w:b w:val="0"/>
                <w:bCs/>
              </w:rPr>
              <w:t>/</w:t>
            </w:r>
          </w:p>
        </w:tc>
        <w:tc>
          <w:tcPr>
            <w:tcW w:w="1769" w:type="dxa"/>
            <w:shd w:val="clear" w:color="auto" w:fill="auto"/>
            <w:vAlign w:val="center"/>
          </w:tcPr>
          <w:p w14:paraId="2377F051">
            <w:pPr>
              <w:pStyle w:val="57"/>
              <w:bidi w:val="0"/>
              <w:rPr>
                <w:b w:val="0"/>
                <w:bCs/>
              </w:rPr>
            </w:pPr>
            <w:r>
              <w:rPr>
                <w:rFonts w:hint="default"/>
                <w:b w:val="0"/>
                <w:bCs/>
                <w:lang w:val="en-US" w:eastAsia="zh-CN"/>
              </w:rPr>
              <w:t>6.796</w:t>
            </w:r>
          </w:p>
        </w:tc>
        <w:tc>
          <w:tcPr>
            <w:tcW w:w="1189" w:type="dxa"/>
            <w:shd w:val="clear" w:color="auto" w:fill="auto"/>
            <w:vAlign w:val="center"/>
          </w:tcPr>
          <w:p w14:paraId="4B4B2566">
            <w:pPr>
              <w:pStyle w:val="57"/>
              <w:bidi w:val="0"/>
              <w:rPr>
                <w:b w:val="0"/>
                <w:bCs/>
                <w:lang w:val="en-US" w:eastAsia="zh-CN"/>
              </w:rPr>
            </w:pPr>
            <w:r>
              <w:rPr>
                <w:rFonts w:hint="eastAsia"/>
                <w:b w:val="0"/>
                <w:bCs/>
                <w:lang w:val="en-US" w:eastAsia="zh-CN"/>
              </w:rPr>
              <w:t>/</w:t>
            </w:r>
          </w:p>
        </w:tc>
      </w:tr>
      <w:tr w14:paraId="03FFA2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2EC158A4">
            <w:pPr>
              <w:pStyle w:val="57"/>
              <w:bidi w:val="0"/>
              <w:rPr>
                <w:b w:val="0"/>
                <w:bCs/>
              </w:rPr>
            </w:pPr>
          </w:p>
        </w:tc>
        <w:tc>
          <w:tcPr>
            <w:tcW w:w="2802" w:type="dxa"/>
            <w:shd w:val="clear" w:color="auto" w:fill="auto"/>
            <w:vAlign w:val="center"/>
          </w:tcPr>
          <w:p w14:paraId="4A724978">
            <w:pPr>
              <w:pStyle w:val="57"/>
              <w:bidi w:val="0"/>
              <w:rPr>
                <w:b w:val="0"/>
                <w:bCs/>
                <w:lang w:val="en-US" w:eastAsia="zh-CN"/>
              </w:rPr>
            </w:pPr>
            <w:r>
              <w:rPr>
                <w:rFonts w:hint="eastAsia"/>
                <w:b w:val="0"/>
                <w:bCs/>
              </w:rPr>
              <w:t>废模具</w:t>
            </w:r>
          </w:p>
        </w:tc>
        <w:tc>
          <w:tcPr>
            <w:tcW w:w="1596" w:type="dxa"/>
            <w:shd w:val="clear" w:color="auto" w:fill="auto"/>
            <w:vAlign w:val="center"/>
          </w:tcPr>
          <w:p w14:paraId="1D795BC9">
            <w:pPr>
              <w:pStyle w:val="57"/>
              <w:bidi w:val="0"/>
              <w:rPr>
                <w:b w:val="0"/>
                <w:bCs/>
                <w:lang w:val="en-US" w:eastAsia="zh-CN"/>
              </w:rPr>
            </w:pPr>
            <w:r>
              <w:rPr>
                <w:b w:val="0"/>
                <w:bCs/>
                <w:lang w:val="en-US"/>
              </w:rPr>
              <w:t>0.24</w:t>
            </w:r>
          </w:p>
        </w:tc>
        <w:tc>
          <w:tcPr>
            <w:tcW w:w="1118" w:type="dxa"/>
            <w:shd w:val="clear" w:color="auto" w:fill="auto"/>
            <w:vAlign w:val="center"/>
          </w:tcPr>
          <w:p w14:paraId="53C2E3AB">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76A4F30E">
            <w:pPr>
              <w:pStyle w:val="57"/>
              <w:bidi w:val="0"/>
              <w:rPr>
                <w:b w:val="0"/>
                <w:bCs/>
                <w:lang w:val="en-US" w:eastAsia="zh-CN"/>
              </w:rPr>
            </w:pPr>
            <w:r>
              <w:rPr>
                <w:rFonts w:hint="eastAsia"/>
                <w:b w:val="0"/>
                <w:bCs/>
                <w:lang w:val="en-US"/>
              </w:rPr>
              <w:t>/</w:t>
            </w:r>
          </w:p>
        </w:tc>
        <w:tc>
          <w:tcPr>
            <w:tcW w:w="1656" w:type="dxa"/>
            <w:shd w:val="clear" w:color="auto" w:fill="auto"/>
            <w:vAlign w:val="center"/>
          </w:tcPr>
          <w:p w14:paraId="310D5B6B">
            <w:pPr>
              <w:pStyle w:val="57"/>
              <w:bidi w:val="0"/>
              <w:rPr>
                <w:b w:val="0"/>
                <w:bCs/>
                <w:lang w:val="en-US"/>
              </w:rPr>
            </w:pPr>
            <w:r>
              <w:rPr>
                <w:rFonts w:hint="eastAsia"/>
                <w:b w:val="0"/>
                <w:bCs/>
                <w:lang w:val="en-US" w:eastAsia="zh-CN"/>
              </w:rPr>
              <w:t>/</w:t>
            </w:r>
          </w:p>
        </w:tc>
        <w:tc>
          <w:tcPr>
            <w:tcW w:w="1871" w:type="dxa"/>
            <w:vAlign w:val="center"/>
          </w:tcPr>
          <w:p w14:paraId="6878F11C">
            <w:pPr>
              <w:pStyle w:val="57"/>
              <w:bidi w:val="0"/>
              <w:rPr>
                <w:b w:val="0"/>
                <w:bCs/>
              </w:rPr>
            </w:pPr>
            <w:r>
              <w:rPr>
                <w:rFonts w:hint="eastAsia"/>
                <w:b w:val="0"/>
                <w:bCs/>
              </w:rPr>
              <w:t>/</w:t>
            </w:r>
          </w:p>
        </w:tc>
        <w:tc>
          <w:tcPr>
            <w:tcW w:w="1769" w:type="dxa"/>
            <w:shd w:val="clear" w:color="auto" w:fill="auto"/>
            <w:vAlign w:val="center"/>
          </w:tcPr>
          <w:p w14:paraId="02C6A5D4">
            <w:pPr>
              <w:pStyle w:val="57"/>
              <w:bidi w:val="0"/>
              <w:rPr>
                <w:b w:val="0"/>
                <w:bCs/>
                <w:lang w:val="en-US"/>
              </w:rPr>
            </w:pPr>
            <w:r>
              <w:rPr>
                <w:rFonts w:hint="eastAsia"/>
                <w:b w:val="0"/>
                <w:bCs/>
                <w:lang w:val="en-US" w:eastAsia="zh-CN"/>
              </w:rPr>
              <w:t>/</w:t>
            </w:r>
          </w:p>
        </w:tc>
        <w:tc>
          <w:tcPr>
            <w:tcW w:w="1189" w:type="dxa"/>
            <w:shd w:val="clear" w:color="auto" w:fill="auto"/>
            <w:vAlign w:val="center"/>
          </w:tcPr>
          <w:p w14:paraId="19D463A6">
            <w:pPr>
              <w:pStyle w:val="57"/>
              <w:bidi w:val="0"/>
              <w:rPr>
                <w:b w:val="0"/>
                <w:bCs/>
                <w:lang w:val="en-US" w:eastAsia="zh-CN"/>
              </w:rPr>
            </w:pPr>
            <w:r>
              <w:rPr>
                <w:rFonts w:hint="eastAsia"/>
                <w:b w:val="0"/>
                <w:bCs/>
                <w:lang w:val="en-US" w:eastAsia="zh-CN"/>
              </w:rPr>
              <w:t>/</w:t>
            </w:r>
          </w:p>
        </w:tc>
      </w:tr>
      <w:tr w14:paraId="4B53E8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010B3A57">
            <w:pPr>
              <w:pStyle w:val="57"/>
              <w:bidi w:val="0"/>
              <w:rPr>
                <w:b w:val="0"/>
                <w:bCs/>
              </w:rPr>
            </w:pPr>
          </w:p>
        </w:tc>
        <w:tc>
          <w:tcPr>
            <w:tcW w:w="2802" w:type="dxa"/>
            <w:shd w:val="clear" w:color="auto" w:fill="auto"/>
            <w:vAlign w:val="center"/>
          </w:tcPr>
          <w:p w14:paraId="26C9C38B">
            <w:pPr>
              <w:pStyle w:val="57"/>
              <w:bidi w:val="0"/>
              <w:rPr>
                <w:b w:val="0"/>
                <w:bCs/>
                <w:lang w:val="en-US" w:eastAsia="zh-CN"/>
              </w:rPr>
            </w:pPr>
            <w:r>
              <w:rPr>
                <w:rFonts w:hint="eastAsia"/>
                <w:b w:val="0"/>
                <w:bCs/>
              </w:rPr>
              <w:t>污泥</w:t>
            </w:r>
          </w:p>
        </w:tc>
        <w:tc>
          <w:tcPr>
            <w:tcW w:w="1596" w:type="dxa"/>
            <w:shd w:val="clear" w:color="auto" w:fill="auto"/>
            <w:vAlign w:val="center"/>
          </w:tcPr>
          <w:p w14:paraId="255F7E38">
            <w:pPr>
              <w:pStyle w:val="57"/>
              <w:bidi w:val="0"/>
              <w:rPr>
                <w:b w:val="0"/>
                <w:bCs/>
                <w:lang w:val="en-US" w:eastAsia="zh-CN"/>
              </w:rPr>
            </w:pPr>
            <w:r>
              <w:rPr>
                <w:b w:val="0"/>
                <w:bCs/>
                <w:lang w:val="en-US"/>
              </w:rPr>
              <w:t>1.39</w:t>
            </w:r>
          </w:p>
        </w:tc>
        <w:tc>
          <w:tcPr>
            <w:tcW w:w="1118" w:type="dxa"/>
            <w:shd w:val="clear" w:color="auto" w:fill="auto"/>
            <w:vAlign w:val="center"/>
          </w:tcPr>
          <w:p w14:paraId="5B79FDB3">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7206ABEE">
            <w:pPr>
              <w:pStyle w:val="57"/>
              <w:bidi w:val="0"/>
              <w:rPr>
                <w:b w:val="0"/>
                <w:bCs/>
                <w:lang w:val="en-US" w:eastAsia="zh-CN"/>
              </w:rPr>
            </w:pPr>
            <w:r>
              <w:rPr>
                <w:rFonts w:hint="eastAsia"/>
                <w:b w:val="0"/>
                <w:bCs/>
                <w:lang w:val="en-US"/>
              </w:rPr>
              <w:t>0.8</w:t>
            </w:r>
          </w:p>
        </w:tc>
        <w:tc>
          <w:tcPr>
            <w:tcW w:w="1656" w:type="dxa"/>
            <w:shd w:val="clear" w:color="auto" w:fill="auto"/>
            <w:vAlign w:val="center"/>
          </w:tcPr>
          <w:p w14:paraId="04FEC133">
            <w:pPr>
              <w:pStyle w:val="57"/>
              <w:bidi w:val="0"/>
              <w:rPr>
                <w:b w:val="0"/>
                <w:bCs/>
                <w:lang w:val="en-US"/>
              </w:rPr>
            </w:pPr>
            <w:r>
              <w:rPr>
                <w:rFonts w:hint="eastAsia"/>
                <w:b w:val="0"/>
                <w:bCs/>
                <w:lang w:val="en-US" w:eastAsia="zh-CN"/>
              </w:rPr>
              <w:t>/</w:t>
            </w:r>
          </w:p>
        </w:tc>
        <w:tc>
          <w:tcPr>
            <w:tcW w:w="1871" w:type="dxa"/>
            <w:vAlign w:val="center"/>
          </w:tcPr>
          <w:p w14:paraId="3C467F32">
            <w:pPr>
              <w:pStyle w:val="57"/>
              <w:bidi w:val="0"/>
              <w:rPr>
                <w:b w:val="0"/>
                <w:bCs/>
              </w:rPr>
            </w:pPr>
            <w:r>
              <w:rPr>
                <w:rFonts w:hint="eastAsia"/>
                <w:b w:val="0"/>
                <w:bCs/>
              </w:rPr>
              <w:t>/</w:t>
            </w:r>
          </w:p>
        </w:tc>
        <w:tc>
          <w:tcPr>
            <w:tcW w:w="1769" w:type="dxa"/>
            <w:shd w:val="clear" w:color="auto" w:fill="auto"/>
            <w:vAlign w:val="center"/>
          </w:tcPr>
          <w:p w14:paraId="778A6772">
            <w:pPr>
              <w:pStyle w:val="57"/>
              <w:bidi w:val="0"/>
              <w:rPr>
                <w:b w:val="0"/>
                <w:bCs/>
                <w:lang w:val="en-US"/>
              </w:rPr>
            </w:pPr>
            <w:r>
              <w:rPr>
                <w:rFonts w:hint="default"/>
                <w:b w:val="0"/>
                <w:bCs/>
                <w:lang w:val="en-US" w:eastAsia="zh-CN"/>
              </w:rPr>
              <w:t>2.19</w:t>
            </w:r>
          </w:p>
        </w:tc>
        <w:tc>
          <w:tcPr>
            <w:tcW w:w="1189" w:type="dxa"/>
            <w:shd w:val="clear" w:color="auto" w:fill="auto"/>
            <w:vAlign w:val="center"/>
          </w:tcPr>
          <w:p w14:paraId="13AF68CB">
            <w:pPr>
              <w:pStyle w:val="57"/>
              <w:bidi w:val="0"/>
              <w:rPr>
                <w:b w:val="0"/>
                <w:bCs/>
                <w:lang w:val="en-US" w:eastAsia="zh-CN"/>
              </w:rPr>
            </w:pPr>
            <w:r>
              <w:rPr>
                <w:rFonts w:hint="eastAsia"/>
                <w:b w:val="0"/>
                <w:bCs/>
                <w:lang w:val="en-US" w:eastAsia="zh-CN"/>
              </w:rPr>
              <w:t>/</w:t>
            </w:r>
          </w:p>
        </w:tc>
      </w:tr>
      <w:tr w14:paraId="4D8531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6D028591">
            <w:pPr>
              <w:pStyle w:val="57"/>
              <w:bidi w:val="0"/>
              <w:rPr>
                <w:b w:val="0"/>
                <w:bCs/>
                <w:lang w:val="en-US"/>
              </w:rPr>
            </w:pPr>
          </w:p>
        </w:tc>
        <w:tc>
          <w:tcPr>
            <w:tcW w:w="2802" w:type="dxa"/>
            <w:shd w:val="clear" w:color="auto" w:fill="auto"/>
            <w:vAlign w:val="center"/>
          </w:tcPr>
          <w:p w14:paraId="14CAF81A">
            <w:pPr>
              <w:pStyle w:val="57"/>
              <w:bidi w:val="0"/>
              <w:rPr>
                <w:b w:val="0"/>
                <w:bCs/>
                <w:lang w:val="en-US" w:eastAsia="zh-CN"/>
              </w:rPr>
            </w:pPr>
            <w:r>
              <w:rPr>
                <w:rFonts w:hint="eastAsia"/>
                <w:b w:val="0"/>
                <w:bCs/>
              </w:rPr>
              <w:t>蒸发干化物（钨酸钠杂盐）</w:t>
            </w:r>
          </w:p>
        </w:tc>
        <w:tc>
          <w:tcPr>
            <w:tcW w:w="1596" w:type="dxa"/>
            <w:shd w:val="clear" w:color="auto" w:fill="auto"/>
            <w:vAlign w:val="center"/>
          </w:tcPr>
          <w:p w14:paraId="499CAAA0">
            <w:pPr>
              <w:pStyle w:val="57"/>
              <w:bidi w:val="0"/>
              <w:rPr>
                <w:b w:val="0"/>
                <w:bCs/>
                <w:lang w:val="en-US" w:eastAsia="zh-CN"/>
              </w:rPr>
            </w:pPr>
            <w:r>
              <w:rPr>
                <w:rFonts w:hint="eastAsia"/>
                <w:b w:val="0"/>
                <w:bCs/>
                <w:lang w:val="en-US"/>
              </w:rPr>
              <w:t>/</w:t>
            </w:r>
          </w:p>
        </w:tc>
        <w:tc>
          <w:tcPr>
            <w:tcW w:w="1118" w:type="dxa"/>
            <w:shd w:val="clear" w:color="auto" w:fill="auto"/>
            <w:vAlign w:val="center"/>
          </w:tcPr>
          <w:p w14:paraId="1A4AAA46">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3D72F35B">
            <w:pPr>
              <w:pStyle w:val="57"/>
              <w:bidi w:val="0"/>
              <w:rPr>
                <w:b w:val="0"/>
                <w:bCs/>
                <w:lang w:val="en-US" w:eastAsia="zh-CN"/>
              </w:rPr>
            </w:pPr>
            <w:r>
              <w:rPr>
                <w:rFonts w:hint="eastAsia"/>
                <w:b w:val="0"/>
                <w:bCs/>
                <w:lang w:val="en-US"/>
              </w:rPr>
              <w:t>6.13</w:t>
            </w:r>
          </w:p>
        </w:tc>
        <w:tc>
          <w:tcPr>
            <w:tcW w:w="1656" w:type="dxa"/>
            <w:shd w:val="clear" w:color="auto" w:fill="auto"/>
            <w:vAlign w:val="center"/>
          </w:tcPr>
          <w:p w14:paraId="7DEEBF2C">
            <w:pPr>
              <w:pStyle w:val="57"/>
              <w:bidi w:val="0"/>
              <w:rPr>
                <w:b w:val="0"/>
                <w:bCs/>
                <w:lang w:val="en-US"/>
              </w:rPr>
            </w:pPr>
            <w:r>
              <w:rPr>
                <w:rFonts w:hint="eastAsia"/>
                <w:b w:val="0"/>
                <w:bCs/>
                <w:lang w:val="en-US"/>
              </w:rPr>
              <w:t>226.8</w:t>
            </w:r>
          </w:p>
        </w:tc>
        <w:tc>
          <w:tcPr>
            <w:tcW w:w="1871" w:type="dxa"/>
            <w:vAlign w:val="center"/>
          </w:tcPr>
          <w:p w14:paraId="4B290860">
            <w:pPr>
              <w:pStyle w:val="57"/>
              <w:bidi w:val="0"/>
              <w:rPr>
                <w:b w:val="0"/>
                <w:bCs/>
              </w:rPr>
            </w:pPr>
            <w:r>
              <w:rPr>
                <w:rFonts w:hint="eastAsia"/>
                <w:b w:val="0"/>
                <w:bCs/>
              </w:rPr>
              <w:t>/</w:t>
            </w:r>
          </w:p>
        </w:tc>
        <w:tc>
          <w:tcPr>
            <w:tcW w:w="1769" w:type="dxa"/>
            <w:shd w:val="clear" w:color="auto" w:fill="auto"/>
            <w:vAlign w:val="center"/>
          </w:tcPr>
          <w:p w14:paraId="00331B6D">
            <w:pPr>
              <w:pStyle w:val="57"/>
              <w:bidi w:val="0"/>
              <w:rPr>
                <w:b w:val="0"/>
                <w:bCs/>
                <w:lang w:val="en-US"/>
              </w:rPr>
            </w:pPr>
            <w:r>
              <w:rPr>
                <w:rFonts w:hint="eastAsia"/>
                <w:b w:val="0"/>
                <w:bCs/>
                <w:lang w:val="en-US" w:eastAsia="zh-CN"/>
              </w:rPr>
              <w:t>/</w:t>
            </w:r>
          </w:p>
        </w:tc>
        <w:tc>
          <w:tcPr>
            <w:tcW w:w="1189" w:type="dxa"/>
            <w:shd w:val="clear" w:color="auto" w:fill="auto"/>
            <w:vAlign w:val="center"/>
          </w:tcPr>
          <w:p w14:paraId="43AFE230">
            <w:pPr>
              <w:pStyle w:val="57"/>
              <w:bidi w:val="0"/>
              <w:rPr>
                <w:b w:val="0"/>
                <w:bCs/>
                <w:lang w:val="en-US" w:eastAsia="zh-CN"/>
              </w:rPr>
            </w:pPr>
            <w:r>
              <w:rPr>
                <w:rFonts w:hint="eastAsia"/>
                <w:b w:val="0"/>
                <w:bCs/>
                <w:lang w:val="en-US" w:eastAsia="zh-CN"/>
              </w:rPr>
              <w:t>+</w:t>
            </w:r>
            <w:r>
              <w:rPr>
                <w:rFonts w:hint="eastAsia"/>
                <w:b w:val="0"/>
                <w:bCs/>
                <w:lang w:val="en-US"/>
              </w:rPr>
              <w:t>226.8</w:t>
            </w:r>
          </w:p>
        </w:tc>
      </w:tr>
      <w:tr w14:paraId="0388D3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09BA206C">
            <w:pPr>
              <w:pStyle w:val="57"/>
              <w:bidi w:val="0"/>
              <w:rPr>
                <w:b w:val="0"/>
                <w:bCs/>
              </w:rPr>
            </w:pPr>
          </w:p>
        </w:tc>
        <w:tc>
          <w:tcPr>
            <w:tcW w:w="2802" w:type="dxa"/>
            <w:shd w:val="clear" w:color="auto" w:fill="auto"/>
            <w:vAlign w:val="center"/>
          </w:tcPr>
          <w:p w14:paraId="447A7E84">
            <w:pPr>
              <w:pStyle w:val="57"/>
              <w:bidi w:val="0"/>
              <w:rPr>
                <w:b w:val="0"/>
                <w:bCs/>
                <w:lang w:val="en-US" w:eastAsia="zh-CN"/>
              </w:rPr>
            </w:pPr>
            <w:r>
              <w:rPr>
                <w:rFonts w:hint="eastAsia"/>
                <w:b w:val="0"/>
                <w:bCs/>
              </w:rPr>
              <w:t>化尖产生的钨酸钠</w:t>
            </w:r>
            <w:r>
              <w:rPr>
                <w:rFonts w:hint="eastAsia"/>
                <w:b w:val="0"/>
                <w:bCs/>
                <w:lang w:val="en-US"/>
              </w:rPr>
              <w:t xml:space="preserve"> </w:t>
            </w:r>
          </w:p>
        </w:tc>
        <w:tc>
          <w:tcPr>
            <w:tcW w:w="1596" w:type="dxa"/>
            <w:shd w:val="clear" w:color="auto" w:fill="auto"/>
            <w:vAlign w:val="center"/>
          </w:tcPr>
          <w:p w14:paraId="2A545908">
            <w:pPr>
              <w:pStyle w:val="57"/>
              <w:bidi w:val="0"/>
              <w:rPr>
                <w:b w:val="0"/>
                <w:bCs/>
                <w:lang w:val="en-US" w:eastAsia="zh-CN"/>
              </w:rPr>
            </w:pPr>
            <w:r>
              <w:rPr>
                <w:rFonts w:hint="eastAsia"/>
                <w:b w:val="0"/>
                <w:bCs/>
                <w:lang w:val="en-US"/>
              </w:rPr>
              <w:t>/</w:t>
            </w:r>
          </w:p>
        </w:tc>
        <w:tc>
          <w:tcPr>
            <w:tcW w:w="1118" w:type="dxa"/>
            <w:shd w:val="clear" w:color="auto" w:fill="auto"/>
            <w:vAlign w:val="center"/>
          </w:tcPr>
          <w:p w14:paraId="00E861E6">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6E006DCC">
            <w:pPr>
              <w:pStyle w:val="57"/>
              <w:bidi w:val="0"/>
              <w:rPr>
                <w:b w:val="0"/>
                <w:bCs/>
                <w:lang w:val="en-US" w:eastAsia="zh-CN"/>
              </w:rPr>
            </w:pPr>
            <w:r>
              <w:rPr>
                <w:rFonts w:hint="eastAsia"/>
                <w:b w:val="0"/>
                <w:bCs/>
                <w:lang w:val="en-US"/>
              </w:rPr>
              <w:t>2.4</w:t>
            </w:r>
          </w:p>
        </w:tc>
        <w:tc>
          <w:tcPr>
            <w:tcW w:w="1656" w:type="dxa"/>
            <w:shd w:val="clear" w:color="auto" w:fill="auto"/>
            <w:vAlign w:val="center"/>
          </w:tcPr>
          <w:p w14:paraId="218122A0">
            <w:pPr>
              <w:pStyle w:val="57"/>
              <w:bidi w:val="0"/>
              <w:rPr>
                <w:b w:val="0"/>
                <w:bCs/>
                <w:lang w:val="en-US"/>
              </w:rPr>
            </w:pPr>
            <w:r>
              <w:rPr>
                <w:rFonts w:hint="eastAsia"/>
                <w:b w:val="0"/>
                <w:bCs/>
                <w:lang w:val="en-US" w:eastAsia="zh-CN"/>
              </w:rPr>
              <w:t>/</w:t>
            </w:r>
          </w:p>
        </w:tc>
        <w:tc>
          <w:tcPr>
            <w:tcW w:w="1871" w:type="dxa"/>
            <w:vAlign w:val="center"/>
          </w:tcPr>
          <w:p w14:paraId="721A0859">
            <w:pPr>
              <w:pStyle w:val="57"/>
              <w:bidi w:val="0"/>
              <w:rPr>
                <w:b w:val="0"/>
                <w:bCs/>
              </w:rPr>
            </w:pPr>
            <w:r>
              <w:rPr>
                <w:rFonts w:hint="eastAsia"/>
                <w:b w:val="0"/>
                <w:bCs/>
              </w:rPr>
              <w:t>/</w:t>
            </w:r>
          </w:p>
        </w:tc>
        <w:tc>
          <w:tcPr>
            <w:tcW w:w="1769" w:type="dxa"/>
            <w:shd w:val="clear" w:color="auto" w:fill="auto"/>
            <w:vAlign w:val="center"/>
          </w:tcPr>
          <w:p w14:paraId="6BBF2F52">
            <w:pPr>
              <w:pStyle w:val="57"/>
              <w:bidi w:val="0"/>
              <w:rPr>
                <w:b w:val="0"/>
                <w:bCs/>
                <w:lang w:val="en-US"/>
              </w:rPr>
            </w:pPr>
            <w:r>
              <w:rPr>
                <w:rFonts w:hint="eastAsia"/>
                <w:b w:val="0"/>
                <w:bCs/>
                <w:lang w:val="en-US" w:eastAsia="zh-CN"/>
              </w:rPr>
              <w:t>/</w:t>
            </w:r>
          </w:p>
        </w:tc>
        <w:tc>
          <w:tcPr>
            <w:tcW w:w="1189" w:type="dxa"/>
            <w:shd w:val="clear" w:color="auto" w:fill="auto"/>
            <w:vAlign w:val="center"/>
          </w:tcPr>
          <w:p w14:paraId="208759B2">
            <w:pPr>
              <w:pStyle w:val="57"/>
              <w:bidi w:val="0"/>
              <w:rPr>
                <w:b w:val="0"/>
                <w:bCs/>
                <w:lang w:val="en-US" w:eastAsia="zh-CN"/>
              </w:rPr>
            </w:pPr>
            <w:r>
              <w:rPr>
                <w:rFonts w:hint="eastAsia"/>
                <w:b w:val="0"/>
                <w:bCs/>
                <w:lang w:val="en-US" w:eastAsia="zh-CN"/>
              </w:rPr>
              <w:t>/</w:t>
            </w:r>
          </w:p>
        </w:tc>
      </w:tr>
      <w:tr w14:paraId="1F42E0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332EC2FC">
            <w:pPr>
              <w:pStyle w:val="57"/>
              <w:bidi w:val="0"/>
              <w:rPr>
                <w:b w:val="0"/>
                <w:bCs/>
                <w:lang w:val="en-US"/>
              </w:rPr>
            </w:pPr>
          </w:p>
        </w:tc>
        <w:tc>
          <w:tcPr>
            <w:tcW w:w="2802" w:type="dxa"/>
            <w:shd w:val="clear" w:color="auto" w:fill="auto"/>
            <w:vAlign w:val="center"/>
          </w:tcPr>
          <w:p w14:paraId="23FB1D88">
            <w:pPr>
              <w:pStyle w:val="57"/>
              <w:bidi w:val="0"/>
              <w:rPr>
                <w:b w:val="0"/>
                <w:bCs/>
                <w:lang w:val="en-US" w:eastAsia="zh-CN"/>
              </w:rPr>
            </w:pPr>
            <w:r>
              <w:rPr>
                <w:rFonts w:hint="eastAsia"/>
                <w:b w:val="0"/>
                <w:bCs/>
              </w:rPr>
              <w:t>石墨乳废渣</w:t>
            </w:r>
          </w:p>
        </w:tc>
        <w:tc>
          <w:tcPr>
            <w:tcW w:w="1596" w:type="dxa"/>
            <w:shd w:val="clear" w:color="auto" w:fill="auto"/>
            <w:vAlign w:val="center"/>
          </w:tcPr>
          <w:p w14:paraId="73A8B807">
            <w:pPr>
              <w:pStyle w:val="57"/>
              <w:bidi w:val="0"/>
              <w:rPr>
                <w:b w:val="0"/>
                <w:bCs/>
                <w:lang w:val="en-US" w:eastAsia="zh-CN"/>
              </w:rPr>
            </w:pPr>
            <w:r>
              <w:rPr>
                <w:b w:val="0"/>
                <w:bCs/>
                <w:lang w:val="en-US"/>
              </w:rPr>
              <w:t>1.8</w:t>
            </w:r>
          </w:p>
        </w:tc>
        <w:tc>
          <w:tcPr>
            <w:tcW w:w="1118" w:type="dxa"/>
            <w:shd w:val="clear" w:color="auto" w:fill="auto"/>
            <w:vAlign w:val="center"/>
          </w:tcPr>
          <w:p w14:paraId="2AA8EBA4">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2D64B93D">
            <w:pPr>
              <w:pStyle w:val="57"/>
              <w:bidi w:val="0"/>
              <w:rPr>
                <w:b w:val="0"/>
                <w:bCs/>
                <w:lang w:val="en-US" w:eastAsia="zh-CN"/>
              </w:rPr>
            </w:pPr>
            <w:r>
              <w:rPr>
                <w:rFonts w:hint="eastAsia"/>
                <w:b w:val="0"/>
                <w:bCs/>
                <w:lang w:val="en-US"/>
              </w:rPr>
              <w:t>37.8</w:t>
            </w:r>
          </w:p>
        </w:tc>
        <w:tc>
          <w:tcPr>
            <w:tcW w:w="1656" w:type="dxa"/>
            <w:shd w:val="clear" w:color="auto" w:fill="auto"/>
            <w:vAlign w:val="center"/>
          </w:tcPr>
          <w:p w14:paraId="0C2317A7">
            <w:pPr>
              <w:pStyle w:val="57"/>
              <w:bidi w:val="0"/>
              <w:rPr>
                <w:b w:val="0"/>
                <w:bCs/>
                <w:lang w:val="en-US"/>
              </w:rPr>
            </w:pPr>
            <w:r>
              <w:rPr>
                <w:rFonts w:hint="eastAsia"/>
                <w:b w:val="0"/>
                <w:bCs/>
                <w:lang w:val="en-US" w:eastAsia="zh-CN"/>
              </w:rPr>
              <w:t>/</w:t>
            </w:r>
          </w:p>
        </w:tc>
        <w:tc>
          <w:tcPr>
            <w:tcW w:w="1871" w:type="dxa"/>
            <w:vAlign w:val="center"/>
          </w:tcPr>
          <w:p w14:paraId="394F27E0">
            <w:pPr>
              <w:pStyle w:val="57"/>
              <w:bidi w:val="0"/>
              <w:rPr>
                <w:b w:val="0"/>
                <w:bCs/>
              </w:rPr>
            </w:pPr>
            <w:r>
              <w:rPr>
                <w:rFonts w:hint="eastAsia"/>
                <w:b w:val="0"/>
                <w:bCs/>
              </w:rPr>
              <w:t>/</w:t>
            </w:r>
          </w:p>
        </w:tc>
        <w:tc>
          <w:tcPr>
            <w:tcW w:w="1769" w:type="dxa"/>
            <w:shd w:val="clear" w:color="auto" w:fill="auto"/>
            <w:vAlign w:val="center"/>
          </w:tcPr>
          <w:p w14:paraId="2CB99DC9">
            <w:pPr>
              <w:pStyle w:val="57"/>
              <w:bidi w:val="0"/>
              <w:rPr>
                <w:b w:val="0"/>
                <w:bCs/>
                <w:lang w:val="en-US"/>
              </w:rPr>
            </w:pPr>
            <w:r>
              <w:rPr>
                <w:rFonts w:hint="default"/>
                <w:b w:val="0"/>
                <w:bCs/>
                <w:lang w:val="en-US" w:eastAsia="zh-CN"/>
              </w:rPr>
              <w:t>39.6</w:t>
            </w:r>
          </w:p>
        </w:tc>
        <w:tc>
          <w:tcPr>
            <w:tcW w:w="1189" w:type="dxa"/>
            <w:shd w:val="clear" w:color="auto" w:fill="auto"/>
            <w:vAlign w:val="center"/>
          </w:tcPr>
          <w:p w14:paraId="67E6E097">
            <w:pPr>
              <w:pStyle w:val="57"/>
              <w:bidi w:val="0"/>
              <w:rPr>
                <w:b w:val="0"/>
                <w:bCs/>
                <w:lang w:val="en-US" w:eastAsia="zh-CN"/>
              </w:rPr>
            </w:pPr>
            <w:r>
              <w:rPr>
                <w:rFonts w:hint="eastAsia"/>
                <w:b w:val="0"/>
                <w:bCs/>
                <w:lang w:val="en-US" w:eastAsia="zh-CN"/>
              </w:rPr>
              <w:t>/</w:t>
            </w:r>
          </w:p>
        </w:tc>
      </w:tr>
      <w:tr w14:paraId="16A863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restart"/>
            <w:vAlign w:val="center"/>
          </w:tcPr>
          <w:p w14:paraId="6398C727">
            <w:pPr>
              <w:pStyle w:val="57"/>
              <w:bidi w:val="0"/>
              <w:rPr>
                <w:b w:val="0"/>
                <w:bCs/>
              </w:rPr>
            </w:pPr>
            <w:r>
              <w:rPr>
                <w:rFonts w:hint="eastAsia"/>
                <w:b w:val="0"/>
                <w:bCs/>
              </w:rPr>
              <w:t>危险废物</w:t>
            </w:r>
          </w:p>
        </w:tc>
        <w:tc>
          <w:tcPr>
            <w:tcW w:w="2802" w:type="dxa"/>
            <w:shd w:val="clear" w:color="auto" w:fill="auto"/>
            <w:vAlign w:val="center"/>
          </w:tcPr>
          <w:p w14:paraId="771D0ADE">
            <w:pPr>
              <w:pStyle w:val="57"/>
              <w:bidi w:val="0"/>
              <w:rPr>
                <w:b w:val="0"/>
                <w:bCs/>
                <w:lang w:val="en-US" w:eastAsia="zh-CN"/>
              </w:rPr>
            </w:pPr>
            <w:r>
              <w:rPr>
                <w:b w:val="0"/>
                <w:bCs/>
              </w:rPr>
              <w:t>废润滑油</w:t>
            </w:r>
          </w:p>
        </w:tc>
        <w:tc>
          <w:tcPr>
            <w:tcW w:w="1596" w:type="dxa"/>
            <w:shd w:val="clear" w:color="auto" w:fill="auto"/>
            <w:vAlign w:val="center"/>
          </w:tcPr>
          <w:p w14:paraId="3036CF79">
            <w:pPr>
              <w:pStyle w:val="57"/>
              <w:bidi w:val="0"/>
              <w:rPr>
                <w:b w:val="0"/>
                <w:bCs/>
                <w:lang w:val="en-US" w:eastAsia="zh-CN"/>
              </w:rPr>
            </w:pPr>
            <w:r>
              <w:rPr>
                <w:b w:val="0"/>
                <w:bCs/>
                <w:lang w:val="en-US"/>
              </w:rPr>
              <w:t>1.75</w:t>
            </w:r>
          </w:p>
        </w:tc>
        <w:tc>
          <w:tcPr>
            <w:tcW w:w="1118" w:type="dxa"/>
            <w:shd w:val="clear" w:color="auto" w:fill="auto"/>
            <w:vAlign w:val="center"/>
          </w:tcPr>
          <w:p w14:paraId="41C2334B">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52369205">
            <w:pPr>
              <w:pStyle w:val="57"/>
              <w:bidi w:val="0"/>
              <w:rPr>
                <w:b w:val="0"/>
                <w:bCs/>
                <w:lang w:val="en-US" w:eastAsia="zh-CN"/>
              </w:rPr>
            </w:pPr>
            <w:r>
              <w:rPr>
                <w:rFonts w:hint="eastAsia"/>
                <w:b w:val="0"/>
                <w:bCs/>
                <w:lang w:val="en-US"/>
              </w:rPr>
              <w:t>4.2</w:t>
            </w:r>
          </w:p>
        </w:tc>
        <w:tc>
          <w:tcPr>
            <w:tcW w:w="1656" w:type="dxa"/>
            <w:shd w:val="clear" w:color="auto" w:fill="auto"/>
            <w:vAlign w:val="center"/>
          </w:tcPr>
          <w:p w14:paraId="128CB87D">
            <w:pPr>
              <w:pStyle w:val="57"/>
              <w:bidi w:val="0"/>
              <w:rPr>
                <w:b w:val="0"/>
                <w:bCs/>
                <w:lang w:val="en-US"/>
              </w:rPr>
            </w:pPr>
            <w:r>
              <w:rPr>
                <w:rFonts w:hint="eastAsia"/>
                <w:b w:val="0"/>
                <w:bCs/>
                <w:lang w:val="en-US" w:eastAsia="zh-CN"/>
              </w:rPr>
              <w:t>/</w:t>
            </w:r>
          </w:p>
        </w:tc>
        <w:tc>
          <w:tcPr>
            <w:tcW w:w="1871" w:type="dxa"/>
            <w:vAlign w:val="center"/>
          </w:tcPr>
          <w:p w14:paraId="3B8E51C0">
            <w:pPr>
              <w:pStyle w:val="57"/>
              <w:bidi w:val="0"/>
              <w:rPr>
                <w:b w:val="0"/>
                <w:bCs/>
              </w:rPr>
            </w:pPr>
            <w:r>
              <w:rPr>
                <w:rFonts w:hint="eastAsia"/>
                <w:b w:val="0"/>
                <w:bCs/>
              </w:rPr>
              <w:t>/</w:t>
            </w:r>
          </w:p>
        </w:tc>
        <w:tc>
          <w:tcPr>
            <w:tcW w:w="1769" w:type="dxa"/>
            <w:shd w:val="clear" w:color="auto" w:fill="auto"/>
            <w:vAlign w:val="center"/>
          </w:tcPr>
          <w:p w14:paraId="5DE31162">
            <w:pPr>
              <w:pStyle w:val="57"/>
              <w:bidi w:val="0"/>
              <w:rPr>
                <w:b w:val="0"/>
                <w:bCs/>
                <w:lang w:val="en-US"/>
              </w:rPr>
            </w:pPr>
            <w:r>
              <w:rPr>
                <w:rFonts w:hint="default"/>
                <w:b w:val="0"/>
                <w:bCs/>
                <w:lang w:val="en-US" w:eastAsia="zh-CN"/>
              </w:rPr>
              <w:t>5.95</w:t>
            </w:r>
          </w:p>
        </w:tc>
        <w:tc>
          <w:tcPr>
            <w:tcW w:w="1189" w:type="dxa"/>
            <w:shd w:val="clear" w:color="auto" w:fill="auto"/>
            <w:vAlign w:val="center"/>
          </w:tcPr>
          <w:p w14:paraId="6B1EC640">
            <w:pPr>
              <w:pStyle w:val="57"/>
              <w:bidi w:val="0"/>
              <w:rPr>
                <w:b w:val="0"/>
                <w:bCs/>
                <w:lang w:val="en-US" w:eastAsia="zh-CN"/>
              </w:rPr>
            </w:pPr>
            <w:r>
              <w:rPr>
                <w:rFonts w:hint="eastAsia"/>
                <w:b w:val="0"/>
                <w:bCs/>
                <w:lang w:val="en-US" w:eastAsia="zh-CN"/>
              </w:rPr>
              <w:t>/</w:t>
            </w:r>
          </w:p>
        </w:tc>
      </w:tr>
      <w:tr w14:paraId="7D8874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54FB7F9A">
            <w:pPr>
              <w:pStyle w:val="57"/>
              <w:bidi w:val="0"/>
              <w:rPr>
                <w:b w:val="0"/>
                <w:bCs/>
              </w:rPr>
            </w:pPr>
          </w:p>
        </w:tc>
        <w:tc>
          <w:tcPr>
            <w:tcW w:w="2802" w:type="dxa"/>
            <w:shd w:val="clear" w:color="auto" w:fill="auto"/>
            <w:vAlign w:val="center"/>
          </w:tcPr>
          <w:p w14:paraId="4F5B0E76">
            <w:pPr>
              <w:pStyle w:val="57"/>
              <w:bidi w:val="0"/>
              <w:rPr>
                <w:b w:val="0"/>
                <w:bCs/>
                <w:lang w:val="en-US" w:eastAsia="zh-CN"/>
              </w:rPr>
            </w:pPr>
            <w:r>
              <w:rPr>
                <w:b w:val="0"/>
                <w:bCs/>
              </w:rPr>
              <w:t>含油手套、抹布</w:t>
            </w:r>
          </w:p>
        </w:tc>
        <w:tc>
          <w:tcPr>
            <w:tcW w:w="1596" w:type="dxa"/>
            <w:shd w:val="clear" w:color="auto" w:fill="auto"/>
            <w:vAlign w:val="center"/>
          </w:tcPr>
          <w:p w14:paraId="7346A4B3">
            <w:pPr>
              <w:pStyle w:val="57"/>
              <w:bidi w:val="0"/>
              <w:rPr>
                <w:b w:val="0"/>
                <w:bCs/>
                <w:lang w:val="en-US" w:eastAsia="zh-CN"/>
              </w:rPr>
            </w:pPr>
            <w:r>
              <w:rPr>
                <w:b w:val="0"/>
                <w:bCs/>
                <w:lang w:val="en-US"/>
              </w:rPr>
              <w:t>0.5</w:t>
            </w:r>
          </w:p>
        </w:tc>
        <w:tc>
          <w:tcPr>
            <w:tcW w:w="1118" w:type="dxa"/>
            <w:shd w:val="clear" w:color="auto" w:fill="auto"/>
            <w:vAlign w:val="center"/>
          </w:tcPr>
          <w:p w14:paraId="78294D14">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637EE163">
            <w:pPr>
              <w:pStyle w:val="57"/>
              <w:bidi w:val="0"/>
              <w:rPr>
                <w:b w:val="0"/>
                <w:bCs/>
                <w:lang w:val="en-US" w:eastAsia="zh-CN"/>
              </w:rPr>
            </w:pPr>
            <w:r>
              <w:rPr>
                <w:rFonts w:hint="eastAsia"/>
                <w:b w:val="0"/>
                <w:bCs/>
                <w:lang w:val="en-US"/>
              </w:rPr>
              <w:t>0.5</w:t>
            </w:r>
          </w:p>
        </w:tc>
        <w:tc>
          <w:tcPr>
            <w:tcW w:w="1656" w:type="dxa"/>
            <w:shd w:val="clear" w:color="auto" w:fill="auto"/>
            <w:vAlign w:val="center"/>
          </w:tcPr>
          <w:p w14:paraId="15998D2D">
            <w:pPr>
              <w:pStyle w:val="57"/>
              <w:bidi w:val="0"/>
              <w:rPr>
                <w:b w:val="0"/>
                <w:bCs/>
                <w:lang w:val="en-US"/>
              </w:rPr>
            </w:pPr>
            <w:r>
              <w:rPr>
                <w:rFonts w:hint="eastAsia"/>
                <w:b w:val="0"/>
                <w:bCs/>
                <w:lang w:val="en-US" w:eastAsia="zh-CN"/>
              </w:rPr>
              <w:t>/</w:t>
            </w:r>
          </w:p>
        </w:tc>
        <w:tc>
          <w:tcPr>
            <w:tcW w:w="1871" w:type="dxa"/>
            <w:vAlign w:val="center"/>
          </w:tcPr>
          <w:p w14:paraId="3EC9B4A4">
            <w:pPr>
              <w:pStyle w:val="57"/>
              <w:bidi w:val="0"/>
              <w:rPr>
                <w:b w:val="0"/>
                <w:bCs/>
              </w:rPr>
            </w:pPr>
            <w:r>
              <w:rPr>
                <w:rFonts w:hint="eastAsia"/>
                <w:b w:val="0"/>
                <w:bCs/>
              </w:rPr>
              <w:t>/</w:t>
            </w:r>
          </w:p>
        </w:tc>
        <w:tc>
          <w:tcPr>
            <w:tcW w:w="1769" w:type="dxa"/>
            <w:shd w:val="clear" w:color="auto" w:fill="auto"/>
            <w:vAlign w:val="center"/>
          </w:tcPr>
          <w:p w14:paraId="5B23C162">
            <w:pPr>
              <w:pStyle w:val="57"/>
              <w:bidi w:val="0"/>
              <w:rPr>
                <w:b w:val="0"/>
                <w:bCs/>
                <w:lang w:val="en-US"/>
              </w:rPr>
            </w:pPr>
            <w:r>
              <w:rPr>
                <w:rFonts w:hint="default"/>
                <w:b w:val="0"/>
                <w:bCs/>
                <w:lang w:val="en-US" w:eastAsia="zh-CN"/>
              </w:rPr>
              <w:t>1</w:t>
            </w:r>
          </w:p>
        </w:tc>
        <w:tc>
          <w:tcPr>
            <w:tcW w:w="1189" w:type="dxa"/>
            <w:shd w:val="clear" w:color="auto" w:fill="auto"/>
            <w:vAlign w:val="center"/>
          </w:tcPr>
          <w:p w14:paraId="05BEA339">
            <w:pPr>
              <w:pStyle w:val="57"/>
              <w:bidi w:val="0"/>
              <w:rPr>
                <w:b w:val="0"/>
                <w:bCs/>
                <w:lang w:val="en-US" w:eastAsia="zh-CN"/>
              </w:rPr>
            </w:pPr>
            <w:r>
              <w:rPr>
                <w:rFonts w:hint="eastAsia"/>
                <w:b w:val="0"/>
                <w:bCs/>
                <w:lang w:val="en-US" w:eastAsia="zh-CN"/>
              </w:rPr>
              <w:t>/</w:t>
            </w:r>
          </w:p>
        </w:tc>
      </w:tr>
      <w:tr w14:paraId="21698E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76E1DF4C">
            <w:pPr>
              <w:pStyle w:val="57"/>
              <w:bidi w:val="0"/>
              <w:rPr>
                <w:b w:val="0"/>
                <w:bCs/>
              </w:rPr>
            </w:pPr>
          </w:p>
        </w:tc>
        <w:tc>
          <w:tcPr>
            <w:tcW w:w="2802" w:type="dxa"/>
            <w:shd w:val="clear" w:color="auto" w:fill="auto"/>
            <w:vAlign w:val="center"/>
          </w:tcPr>
          <w:p w14:paraId="52404B3D">
            <w:pPr>
              <w:pStyle w:val="57"/>
              <w:bidi w:val="0"/>
              <w:rPr>
                <w:b w:val="0"/>
                <w:bCs/>
                <w:lang w:val="en-US" w:eastAsia="zh-CN"/>
              </w:rPr>
            </w:pPr>
            <w:r>
              <w:rPr>
                <w:b w:val="0"/>
                <w:bCs/>
              </w:rPr>
              <w:t>废乳化液</w:t>
            </w:r>
          </w:p>
        </w:tc>
        <w:tc>
          <w:tcPr>
            <w:tcW w:w="1596" w:type="dxa"/>
            <w:shd w:val="clear" w:color="auto" w:fill="auto"/>
            <w:vAlign w:val="center"/>
          </w:tcPr>
          <w:p w14:paraId="07933AE8">
            <w:pPr>
              <w:pStyle w:val="57"/>
              <w:bidi w:val="0"/>
              <w:rPr>
                <w:b w:val="0"/>
                <w:bCs/>
                <w:lang w:val="en-US" w:eastAsia="zh-CN"/>
              </w:rPr>
            </w:pPr>
            <w:r>
              <w:rPr>
                <w:b w:val="0"/>
                <w:bCs/>
                <w:lang w:val="en-US"/>
              </w:rPr>
              <w:t>1.5</w:t>
            </w:r>
          </w:p>
        </w:tc>
        <w:tc>
          <w:tcPr>
            <w:tcW w:w="1118" w:type="dxa"/>
            <w:shd w:val="clear" w:color="auto" w:fill="auto"/>
            <w:vAlign w:val="center"/>
          </w:tcPr>
          <w:p w14:paraId="36477E4B">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6FC4DCEF">
            <w:pPr>
              <w:pStyle w:val="57"/>
              <w:bidi w:val="0"/>
              <w:rPr>
                <w:b w:val="0"/>
                <w:bCs/>
                <w:lang w:val="en-US" w:eastAsia="zh-CN"/>
              </w:rPr>
            </w:pPr>
            <w:r>
              <w:rPr>
                <w:rFonts w:hint="eastAsia"/>
                <w:b w:val="0"/>
                <w:bCs/>
                <w:lang w:val="en-US"/>
              </w:rPr>
              <w:t>0.9</w:t>
            </w:r>
          </w:p>
        </w:tc>
        <w:tc>
          <w:tcPr>
            <w:tcW w:w="1656" w:type="dxa"/>
            <w:shd w:val="clear" w:color="auto" w:fill="auto"/>
            <w:vAlign w:val="center"/>
          </w:tcPr>
          <w:p w14:paraId="6E5CA6EC">
            <w:pPr>
              <w:pStyle w:val="57"/>
              <w:bidi w:val="0"/>
              <w:rPr>
                <w:b w:val="0"/>
                <w:bCs/>
                <w:lang w:val="en-US"/>
              </w:rPr>
            </w:pPr>
            <w:r>
              <w:rPr>
                <w:rFonts w:hint="eastAsia"/>
                <w:b w:val="0"/>
                <w:bCs/>
                <w:lang w:val="en-US" w:eastAsia="zh-CN"/>
              </w:rPr>
              <w:t>/</w:t>
            </w:r>
          </w:p>
        </w:tc>
        <w:tc>
          <w:tcPr>
            <w:tcW w:w="1871" w:type="dxa"/>
            <w:vAlign w:val="center"/>
          </w:tcPr>
          <w:p w14:paraId="737C8D5D">
            <w:pPr>
              <w:pStyle w:val="57"/>
              <w:bidi w:val="0"/>
              <w:rPr>
                <w:b w:val="0"/>
                <w:bCs/>
              </w:rPr>
            </w:pPr>
            <w:r>
              <w:rPr>
                <w:rFonts w:hint="eastAsia"/>
                <w:b w:val="0"/>
                <w:bCs/>
              </w:rPr>
              <w:t>/</w:t>
            </w:r>
          </w:p>
        </w:tc>
        <w:tc>
          <w:tcPr>
            <w:tcW w:w="1769" w:type="dxa"/>
            <w:shd w:val="clear" w:color="auto" w:fill="auto"/>
            <w:vAlign w:val="center"/>
          </w:tcPr>
          <w:p w14:paraId="0C481CB4">
            <w:pPr>
              <w:pStyle w:val="57"/>
              <w:bidi w:val="0"/>
              <w:rPr>
                <w:b w:val="0"/>
                <w:bCs/>
                <w:lang w:val="en-US"/>
              </w:rPr>
            </w:pPr>
            <w:r>
              <w:rPr>
                <w:rFonts w:hint="default"/>
                <w:b w:val="0"/>
                <w:bCs/>
                <w:lang w:val="en-US" w:eastAsia="zh-CN"/>
              </w:rPr>
              <w:t>2.4</w:t>
            </w:r>
          </w:p>
        </w:tc>
        <w:tc>
          <w:tcPr>
            <w:tcW w:w="1189" w:type="dxa"/>
            <w:shd w:val="clear" w:color="auto" w:fill="auto"/>
            <w:vAlign w:val="center"/>
          </w:tcPr>
          <w:p w14:paraId="4581D8DE">
            <w:pPr>
              <w:pStyle w:val="57"/>
              <w:bidi w:val="0"/>
              <w:rPr>
                <w:b w:val="0"/>
                <w:bCs/>
                <w:lang w:val="en-US" w:eastAsia="zh-CN"/>
              </w:rPr>
            </w:pPr>
            <w:r>
              <w:rPr>
                <w:rFonts w:hint="eastAsia"/>
                <w:b w:val="0"/>
                <w:bCs/>
                <w:lang w:val="en-US" w:eastAsia="zh-CN"/>
              </w:rPr>
              <w:t>/</w:t>
            </w:r>
          </w:p>
        </w:tc>
      </w:tr>
      <w:tr w14:paraId="5FF24B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6985B92D">
            <w:pPr>
              <w:pStyle w:val="57"/>
              <w:bidi w:val="0"/>
              <w:rPr>
                <w:b w:val="0"/>
                <w:bCs/>
              </w:rPr>
            </w:pPr>
          </w:p>
        </w:tc>
        <w:tc>
          <w:tcPr>
            <w:tcW w:w="2802" w:type="dxa"/>
            <w:shd w:val="clear" w:color="auto" w:fill="auto"/>
            <w:vAlign w:val="center"/>
          </w:tcPr>
          <w:p w14:paraId="4A1DE7F0">
            <w:pPr>
              <w:pStyle w:val="57"/>
              <w:bidi w:val="0"/>
              <w:rPr>
                <w:b w:val="0"/>
                <w:bCs/>
                <w:lang w:val="en-US" w:eastAsia="zh-CN"/>
              </w:rPr>
            </w:pPr>
            <w:r>
              <w:rPr>
                <w:b w:val="0"/>
                <w:bCs/>
              </w:rPr>
              <w:t>废碱液</w:t>
            </w:r>
          </w:p>
        </w:tc>
        <w:tc>
          <w:tcPr>
            <w:tcW w:w="1596" w:type="dxa"/>
            <w:shd w:val="clear" w:color="auto" w:fill="auto"/>
            <w:vAlign w:val="center"/>
          </w:tcPr>
          <w:p w14:paraId="7857ADF0">
            <w:pPr>
              <w:pStyle w:val="57"/>
              <w:bidi w:val="0"/>
              <w:rPr>
                <w:b w:val="0"/>
                <w:bCs/>
                <w:lang w:val="en-US" w:eastAsia="zh-CN"/>
              </w:rPr>
            </w:pPr>
            <w:r>
              <w:rPr>
                <w:rFonts w:hint="eastAsia"/>
                <w:b w:val="0"/>
                <w:bCs/>
                <w:lang w:val="en-US"/>
              </w:rPr>
              <w:t>2</w:t>
            </w:r>
          </w:p>
        </w:tc>
        <w:tc>
          <w:tcPr>
            <w:tcW w:w="1118" w:type="dxa"/>
            <w:shd w:val="clear" w:color="auto" w:fill="auto"/>
            <w:vAlign w:val="center"/>
          </w:tcPr>
          <w:p w14:paraId="56B8C287">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090B9614">
            <w:pPr>
              <w:pStyle w:val="57"/>
              <w:bidi w:val="0"/>
              <w:rPr>
                <w:b w:val="0"/>
                <w:bCs/>
                <w:lang w:val="en-US" w:eastAsia="zh-CN"/>
              </w:rPr>
            </w:pPr>
            <w:r>
              <w:rPr>
                <w:rFonts w:hint="eastAsia"/>
                <w:b w:val="0"/>
                <w:bCs/>
                <w:lang w:val="en-US"/>
              </w:rPr>
              <w:t>/</w:t>
            </w:r>
          </w:p>
        </w:tc>
        <w:tc>
          <w:tcPr>
            <w:tcW w:w="1656" w:type="dxa"/>
            <w:shd w:val="clear" w:color="auto" w:fill="auto"/>
            <w:vAlign w:val="center"/>
          </w:tcPr>
          <w:p w14:paraId="1C89395C">
            <w:pPr>
              <w:pStyle w:val="57"/>
              <w:bidi w:val="0"/>
              <w:rPr>
                <w:b w:val="0"/>
                <w:bCs/>
                <w:lang w:val="en-US"/>
              </w:rPr>
            </w:pPr>
            <w:r>
              <w:rPr>
                <w:rFonts w:hint="eastAsia"/>
                <w:b w:val="0"/>
                <w:bCs/>
                <w:lang w:val="en-US" w:eastAsia="zh-CN"/>
              </w:rPr>
              <w:t>/</w:t>
            </w:r>
          </w:p>
        </w:tc>
        <w:tc>
          <w:tcPr>
            <w:tcW w:w="1871" w:type="dxa"/>
            <w:vAlign w:val="center"/>
          </w:tcPr>
          <w:p w14:paraId="576A4BD2">
            <w:pPr>
              <w:pStyle w:val="57"/>
              <w:bidi w:val="0"/>
              <w:rPr>
                <w:b w:val="0"/>
                <w:bCs/>
              </w:rPr>
            </w:pPr>
            <w:r>
              <w:rPr>
                <w:rFonts w:hint="eastAsia"/>
                <w:b w:val="0"/>
                <w:bCs/>
              </w:rPr>
              <w:t>/</w:t>
            </w:r>
          </w:p>
        </w:tc>
        <w:tc>
          <w:tcPr>
            <w:tcW w:w="1769" w:type="dxa"/>
            <w:shd w:val="clear" w:color="auto" w:fill="auto"/>
            <w:vAlign w:val="center"/>
          </w:tcPr>
          <w:p w14:paraId="23EBA97B">
            <w:pPr>
              <w:pStyle w:val="57"/>
              <w:bidi w:val="0"/>
              <w:rPr>
                <w:b w:val="0"/>
                <w:bCs/>
                <w:lang w:val="en-US"/>
              </w:rPr>
            </w:pPr>
            <w:r>
              <w:rPr>
                <w:rFonts w:hint="eastAsia"/>
                <w:b w:val="0"/>
                <w:bCs/>
                <w:lang w:val="en-US" w:eastAsia="zh-CN"/>
              </w:rPr>
              <w:t>/</w:t>
            </w:r>
          </w:p>
        </w:tc>
        <w:tc>
          <w:tcPr>
            <w:tcW w:w="1189" w:type="dxa"/>
            <w:shd w:val="clear" w:color="auto" w:fill="auto"/>
            <w:vAlign w:val="center"/>
          </w:tcPr>
          <w:p w14:paraId="22D1A6A2">
            <w:pPr>
              <w:pStyle w:val="57"/>
              <w:bidi w:val="0"/>
              <w:rPr>
                <w:b w:val="0"/>
                <w:bCs/>
                <w:lang w:val="en-US" w:eastAsia="zh-CN"/>
              </w:rPr>
            </w:pPr>
            <w:r>
              <w:rPr>
                <w:rFonts w:hint="eastAsia"/>
                <w:b w:val="0"/>
                <w:bCs/>
                <w:lang w:val="en-US" w:eastAsia="zh-CN"/>
              </w:rPr>
              <w:t>/</w:t>
            </w:r>
          </w:p>
        </w:tc>
      </w:tr>
      <w:tr w14:paraId="53ADAA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7FB0F223">
            <w:pPr>
              <w:pStyle w:val="57"/>
              <w:bidi w:val="0"/>
              <w:rPr>
                <w:b w:val="0"/>
                <w:bCs/>
              </w:rPr>
            </w:pPr>
          </w:p>
        </w:tc>
        <w:tc>
          <w:tcPr>
            <w:tcW w:w="2802" w:type="dxa"/>
            <w:shd w:val="clear" w:color="auto" w:fill="auto"/>
            <w:vAlign w:val="center"/>
          </w:tcPr>
          <w:p w14:paraId="081B5212">
            <w:pPr>
              <w:pStyle w:val="57"/>
              <w:bidi w:val="0"/>
              <w:rPr>
                <w:b w:val="0"/>
                <w:bCs/>
                <w:lang w:val="en-GB" w:eastAsia="zh-CN"/>
              </w:rPr>
            </w:pPr>
            <w:r>
              <w:rPr>
                <w:rFonts w:hint="eastAsia"/>
                <w:b w:val="0"/>
                <w:bCs/>
              </w:rPr>
              <w:t>废滤芯</w:t>
            </w:r>
          </w:p>
        </w:tc>
        <w:tc>
          <w:tcPr>
            <w:tcW w:w="1596" w:type="dxa"/>
            <w:shd w:val="clear" w:color="auto" w:fill="auto"/>
            <w:vAlign w:val="center"/>
          </w:tcPr>
          <w:p w14:paraId="50DBB419">
            <w:pPr>
              <w:pStyle w:val="57"/>
              <w:bidi w:val="0"/>
              <w:rPr>
                <w:rFonts w:hint="eastAsia"/>
                <w:b w:val="0"/>
                <w:bCs/>
                <w:lang w:val="en-US"/>
              </w:rPr>
            </w:pPr>
            <w:r>
              <w:rPr>
                <w:rFonts w:hint="eastAsia"/>
                <w:b w:val="0"/>
                <w:bCs/>
                <w:lang w:val="en-US" w:eastAsia="zh-CN"/>
              </w:rPr>
              <w:t>/</w:t>
            </w:r>
          </w:p>
        </w:tc>
        <w:tc>
          <w:tcPr>
            <w:tcW w:w="1118" w:type="dxa"/>
            <w:shd w:val="clear" w:color="auto" w:fill="auto"/>
            <w:vAlign w:val="center"/>
          </w:tcPr>
          <w:p w14:paraId="25B487C4">
            <w:pPr>
              <w:pStyle w:val="57"/>
              <w:bidi w:val="0"/>
              <w:rPr>
                <w:rFonts w:hint="eastAsia"/>
                <w:b w:val="0"/>
                <w:bCs/>
                <w:lang w:val="en-US"/>
              </w:rPr>
            </w:pPr>
            <w:r>
              <w:rPr>
                <w:rFonts w:hint="eastAsia"/>
                <w:b w:val="0"/>
                <w:bCs/>
                <w:lang w:val="en-US" w:eastAsia="zh-CN"/>
              </w:rPr>
              <w:t>/</w:t>
            </w:r>
          </w:p>
        </w:tc>
        <w:tc>
          <w:tcPr>
            <w:tcW w:w="1807" w:type="dxa"/>
            <w:shd w:val="clear" w:color="auto" w:fill="auto"/>
            <w:vAlign w:val="center"/>
          </w:tcPr>
          <w:p w14:paraId="254CE84B">
            <w:pPr>
              <w:pStyle w:val="57"/>
              <w:bidi w:val="0"/>
              <w:rPr>
                <w:rFonts w:hint="eastAsia"/>
                <w:b w:val="0"/>
                <w:bCs/>
                <w:lang w:val="en-US"/>
              </w:rPr>
            </w:pPr>
            <w:r>
              <w:rPr>
                <w:rFonts w:hint="eastAsia"/>
                <w:b w:val="0"/>
                <w:bCs/>
                <w:lang w:val="en-US" w:eastAsia="zh-CN"/>
              </w:rPr>
              <w:t>/</w:t>
            </w:r>
          </w:p>
        </w:tc>
        <w:tc>
          <w:tcPr>
            <w:tcW w:w="1656" w:type="dxa"/>
            <w:shd w:val="clear" w:color="auto" w:fill="auto"/>
            <w:vAlign w:val="center"/>
          </w:tcPr>
          <w:p w14:paraId="1ABB4904">
            <w:pPr>
              <w:pStyle w:val="57"/>
              <w:bidi w:val="0"/>
              <w:rPr>
                <w:b w:val="0"/>
                <w:bCs/>
                <w:lang w:val="en-US" w:eastAsia="zh-CN"/>
              </w:rPr>
            </w:pPr>
            <w:r>
              <w:rPr>
                <w:rFonts w:hint="eastAsia"/>
                <w:b w:val="0"/>
                <w:bCs/>
                <w:lang w:val="en-US"/>
              </w:rPr>
              <w:t>3</w:t>
            </w:r>
          </w:p>
        </w:tc>
        <w:tc>
          <w:tcPr>
            <w:tcW w:w="1871" w:type="dxa"/>
            <w:vAlign w:val="center"/>
          </w:tcPr>
          <w:p w14:paraId="329DE7EF">
            <w:pPr>
              <w:pStyle w:val="57"/>
              <w:bidi w:val="0"/>
              <w:rPr>
                <w:rFonts w:hint="eastAsia"/>
                <w:b w:val="0"/>
                <w:bCs/>
              </w:rPr>
            </w:pPr>
            <w:r>
              <w:rPr>
                <w:rFonts w:hint="eastAsia"/>
                <w:b w:val="0"/>
                <w:bCs/>
                <w:lang w:val="en-US" w:eastAsia="zh-CN"/>
              </w:rPr>
              <w:t>/</w:t>
            </w:r>
          </w:p>
        </w:tc>
        <w:tc>
          <w:tcPr>
            <w:tcW w:w="1769" w:type="dxa"/>
            <w:shd w:val="clear" w:color="auto" w:fill="auto"/>
            <w:vAlign w:val="center"/>
          </w:tcPr>
          <w:p w14:paraId="09881CB1">
            <w:pPr>
              <w:pStyle w:val="57"/>
              <w:bidi w:val="0"/>
              <w:rPr>
                <w:rFonts w:hint="eastAsia"/>
                <w:b w:val="0"/>
                <w:bCs/>
              </w:rPr>
            </w:pPr>
            <w:r>
              <w:rPr>
                <w:rFonts w:hint="default"/>
                <w:b w:val="0"/>
                <w:bCs/>
                <w:lang w:val="en-US" w:eastAsia="zh-CN"/>
              </w:rPr>
              <w:t>3</w:t>
            </w:r>
          </w:p>
        </w:tc>
        <w:tc>
          <w:tcPr>
            <w:tcW w:w="1189" w:type="dxa"/>
            <w:shd w:val="clear" w:color="auto" w:fill="auto"/>
            <w:vAlign w:val="center"/>
          </w:tcPr>
          <w:p w14:paraId="589C4748">
            <w:pPr>
              <w:pStyle w:val="57"/>
              <w:bidi w:val="0"/>
              <w:rPr>
                <w:rFonts w:hint="eastAsia"/>
                <w:b w:val="0"/>
                <w:bCs/>
                <w:lang w:val="en-US" w:eastAsia="zh-CN"/>
              </w:rPr>
            </w:pPr>
            <w:r>
              <w:rPr>
                <w:rFonts w:hint="eastAsia"/>
                <w:b w:val="0"/>
                <w:bCs/>
                <w:lang w:val="en-US" w:eastAsia="zh-CN"/>
              </w:rPr>
              <w:t>+</w:t>
            </w:r>
            <w:r>
              <w:rPr>
                <w:rFonts w:hint="eastAsia"/>
                <w:b w:val="0"/>
                <w:bCs/>
                <w:lang w:val="en-US"/>
              </w:rPr>
              <w:t>3</w:t>
            </w:r>
          </w:p>
        </w:tc>
      </w:tr>
      <w:tr w14:paraId="47F71B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4AF5C813">
            <w:pPr>
              <w:pStyle w:val="57"/>
              <w:bidi w:val="0"/>
              <w:rPr>
                <w:b w:val="0"/>
                <w:bCs/>
              </w:rPr>
            </w:pPr>
          </w:p>
        </w:tc>
        <w:tc>
          <w:tcPr>
            <w:tcW w:w="2802" w:type="dxa"/>
            <w:shd w:val="clear" w:color="auto" w:fill="auto"/>
            <w:vAlign w:val="center"/>
          </w:tcPr>
          <w:p w14:paraId="187BF149">
            <w:pPr>
              <w:pStyle w:val="57"/>
              <w:bidi w:val="0"/>
              <w:rPr>
                <w:b w:val="0"/>
                <w:bCs/>
                <w:lang w:val="en-GB" w:eastAsia="zh-CN"/>
              </w:rPr>
            </w:pPr>
            <w:r>
              <w:rPr>
                <w:rFonts w:hint="eastAsia"/>
                <w:b w:val="0"/>
                <w:bCs/>
              </w:rPr>
              <w:t>废海绵</w:t>
            </w:r>
          </w:p>
        </w:tc>
        <w:tc>
          <w:tcPr>
            <w:tcW w:w="1596" w:type="dxa"/>
            <w:shd w:val="clear" w:color="auto" w:fill="auto"/>
            <w:vAlign w:val="center"/>
          </w:tcPr>
          <w:p w14:paraId="5F6CF4F2">
            <w:pPr>
              <w:pStyle w:val="57"/>
              <w:bidi w:val="0"/>
              <w:rPr>
                <w:rFonts w:hint="eastAsia"/>
                <w:b w:val="0"/>
                <w:bCs/>
                <w:lang w:val="en-US"/>
              </w:rPr>
            </w:pPr>
            <w:r>
              <w:rPr>
                <w:rFonts w:hint="eastAsia"/>
                <w:b w:val="0"/>
                <w:bCs/>
                <w:lang w:val="en-US" w:eastAsia="zh-CN"/>
              </w:rPr>
              <w:t>/</w:t>
            </w:r>
          </w:p>
        </w:tc>
        <w:tc>
          <w:tcPr>
            <w:tcW w:w="1118" w:type="dxa"/>
            <w:shd w:val="clear" w:color="auto" w:fill="auto"/>
            <w:vAlign w:val="center"/>
          </w:tcPr>
          <w:p w14:paraId="1B820D2C">
            <w:pPr>
              <w:pStyle w:val="57"/>
              <w:bidi w:val="0"/>
              <w:rPr>
                <w:rFonts w:hint="eastAsia"/>
                <w:b w:val="0"/>
                <w:bCs/>
                <w:lang w:val="en-US"/>
              </w:rPr>
            </w:pPr>
            <w:r>
              <w:rPr>
                <w:rFonts w:hint="eastAsia"/>
                <w:b w:val="0"/>
                <w:bCs/>
                <w:lang w:val="en-US" w:eastAsia="zh-CN"/>
              </w:rPr>
              <w:t>/</w:t>
            </w:r>
          </w:p>
        </w:tc>
        <w:tc>
          <w:tcPr>
            <w:tcW w:w="1807" w:type="dxa"/>
            <w:shd w:val="clear" w:color="auto" w:fill="auto"/>
            <w:vAlign w:val="center"/>
          </w:tcPr>
          <w:p w14:paraId="0DC34E98">
            <w:pPr>
              <w:pStyle w:val="57"/>
              <w:bidi w:val="0"/>
              <w:rPr>
                <w:rFonts w:hint="eastAsia"/>
                <w:b w:val="0"/>
                <w:bCs/>
                <w:lang w:val="en-US"/>
              </w:rPr>
            </w:pPr>
            <w:r>
              <w:rPr>
                <w:rFonts w:hint="eastAsia"/>
                <w:b w:val="0"/>
                <w:bCs/>
                <w:lang w:val="en-US" w:eastAsia="zh-CN"/>
              </w:rPr>
              <w:t>/</w:t>
            </w:r>
          </w:p>
        </w:tc>
        <w:tc>
          <w:tcPr>
            <w:tcW w:w="1656" w:type="dxa"/>
            <w:shd w:val="clear" w:color="auto" w:fill="auto"/>
            <w:vAlign w:val="center"/>
          </w:tcPr>
          <w:p w14:paraId="4C4AA4CD">
            <w:pPr>
              <w:pStyle w:val="57"/>
              <w:bidi w:val="0"/>
              <w:rPr>
                <w:b w:val="0"/>
                <w:bCs/>
                <w:lang w:val="en-US" w:eastAsia="zh-CN"/>
              </w:rPr>
            </w:pPr>
            <w:r>
              <w:rPr>
                <w:rFonts w:hint="eastAsia"/>
                <w:b w:val="0"/>
                <w:bCs/>
                <w:lang w:val="en-US"/>
              </w:rPr>
              <w:t>3</w:t>
            </w:r>
          </w:p>
        </w:tc>
        <w:tc>
          <w:tcPr>
            <w:tcW w:w="1871" w:type="dxa"/>
            <w:vAlign w:val="center"/>
          </w:tcPr>
          <w:p w14:paraId="0D2CEA5C">
            <w:pPr>
              <w:pStyle w:val="57"/>
              <w:bidi w:val="0"/>
              <w:rPr>
                <w:rFonts w:hint="eastAsia"/>
                <w:b w:val="0"/>
                <w:bCs/>
              </w:rPr>
            </w:pPr>
            <w:r>
              <w:rPr>
                <w:rFonts w:hint="eastAsia"/>
                <w:b w:val="0"/>
                <w:bCs/>
                <w:lang w:val="en-US" w:eastAsia="zh-CN"/>
              </w:rPr>
              <w:t>/</w:t>
            </w:r>
          </w:p>
        </w:tc>
        <w:tc>
          <w:tcPr>
            <w:tcW w:w="1769" w:type="dxa"/>
            <w:shd w:val="clear" w:color="auto" w:fill="auto"/>
            <w:vAlign w:val="center"/>
          </w:tcPr>
          <w:p w14:paraId="0E4BF33E">
            <w:pPr>
              <w:pStyle w:val="57"/>
              <w:bidi w:val="0"/>
              <w:rPr>
                <w:rFonts w:hint="eastAsia"/>
                <w:b w:val="0"/>
                <w:bCs/>
              </w:rPr>
            </w:pPr>
            <w:r>
              <w:rPr>
                <w:rFonts w:hint="default"/>
                <w:b w:val="0"/>
                <w:bCs/>
                <w:lang w:val="en-US" w:eastAsia="zh-CN"/>
              </w:rPr>
              <w:t>3</w:t>
            </w:r>
          </w:p>
        </w:tc>
        <w:tc>
          <w:tcPr>
            <w:tcW w:w="1189" w:type="dxa"/>
            <w:shd w:val="clear" w:color="auto" w:fill="auto"/>
            <w:vAlign w:val="center"/>
          </w:tcPr>
          <w:p w14:paraId="5667A504">
            <w:pPr>
              <w:pStyle w:val="57"/>
              <w:bidi w:val="0"/>
              <w:rPr>
                <w:rFonts w:hint="eastAsia"/>
                <w:b w:val="0"/>
                <w:bCs/>
                <w:lang w:val="en-US" w:eastAsia="zh-CN"/>
              </w:rPr>
            </w:pPr>
            <w:r>
              <w:rPr>
                <w:rFonts w:hint="eastAsia"/>
                <w:b w:val="0"/>
                <w:bCs/>
                <w:lang w:val="en-US" w:eastAsia="zh-CN"/>
              </w:rPr>
              <w:t>+</w:t>
            </w:r>
            <w:r>
              <w:rPr>
                <w:rFonts w:hint="eastAsia"/>
                <w:b w:val="0"/>
                <w:bCs/>
                <w:lang w:val="en-US"/>
              </w:rPr>
              <w:t>3</w:t>
            </w:r>
          </w:p>
        </w:tc>
      </w:tr>
      <w:tr w14:paraId="498DF7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Merge w:val="continue"/>
            <w:vAlign w:val="center"/>
          </w:tcPr>
          <w:p w14:paraId="5EB6A0E4">
            <w:pPr>
              <w:pStyle w:val="57"/>
              <w:bidi w:val="0"/>
              <w:rPr>
                <w:b w:val="0"/>
                <w:bCs/>
              </w:rPr>
            </w:pPr>
          </w:p>
        </w:tc>
        <w:tc>
          <w:tcPr>
            <w:tcW w:w="2802" w:type="dxa"/>
            <w:shd w:val="clear" w:color="auto" w:fill="auto"/>
            <w:vAlign w:val="center"/>
          </w:tcPr>
          <w:p w14:paraId="478EE2AD">
            <w:pPr>
              <w:pStyle w:val="57"/>
              <w:bidi w:val="0"/>
              <w:rPr>
                <w:b w:val="0"/>
                <w:bCs/>
                <w:lang w:val="en-GB" w:eastAsia="zh-CN"/>
              </w:rPr>
            </w:pPr>
            <w:r>
              <w:rPr>
                <w:rFonts w:hint="eastAsia"/>
                <w:b w:val="0"/>
                <w:bCs/>
              </w:rPr>
              <w:t>喷淋塔废液</w:t>
            </w:r>
          </w:p>
        </w:tc>
        <w:tc>
          <w:tcPr>
            <w:tcW w:w="1596" w:type="dxa"/>
            <w:shd w:val="clear" w:color="auto" w:fill="auto"/>
            <w:vAlign w:val="center"/>
          </w:tcPr>
          <w:p w14:paraId="541C278F">
            <w:pPr>
              <w:pStyle w:val="57"/>
              <w:bidi w:val="0"/>
              <w:rPr>
                <w:rFonts w:hint="eastAsia"/>
                <w:b w:val="0"/>
                <w:bCs/>
                <w:lang w:val="en-US"/>
              </w:rPr>
            </w:pPr>
            <w:r>
              <w:rPr>
                <w:rFonts w:hint="eastAsia"/>
                <w:b w:val="0"/>
                <w:bCs/>
                <w:lang w:val="en-US" w:eastAsia="zh-CN"/>
              </w:rPr>
              <w:t>/</w:t>
            </w:r>
          </w:p>
        </w:tc>
        <w:tc>
          <w:tcPr>
            <w:tcW w:w="1118" w:type="dxa"/>
            <w:shd w:val="clear" w:color="auto" w:fill="auto"/>
            <w:vAlign w:val="center"/>
          </w:tcPr>
          <w:p w14:paraId="6515CAC1">
            <w:pPr>
              <w:pStyle w:val="57"/>
              <w:bidi w:val="0"/>
              <w:rPr>
                <w:rFonts w:hint="eastAsia"/>
                <w:b w:val="0"/>
                <w:bCs/>
                <w:lang w:val="en-US"/>
              </w:rPr>
            </w:pPr>
            <w:r>
              <w:rPr>
                <w:rFonts w:hint="eastAsia"/>
                <w:b w:val="0"/>
                <w:bCs/>
                <w:lang w:val="en-US" w:eastAsia="zh-CN"/>
              </w:rPr>
              <w:t>/</w:t>
            </w:r>
          </w:p>
        </w:tc>
        <w:tc>
          <w:tcPr>
            <w:tcW w:w="1807" w:type="dxa"/>
            <w:shd w:val="clear" w:color="auto" w:fill="auto"/>
            <w:vAlign w:val="center"/>
          </w:tcPr>
          <w:p w14:paraId="77CDB987">
            <w:pPr>
              <w:pStyle w:val="57"/>
              <w:bidi w:val="0"/>
              <w:rPr>
                <w:rFonts w:hint="eastAsia"/>
                <w:b w:val="0"/>
                <w:bCs/>
                <w:lang w:val="en-US"/>
              </w:rPr>
            </w:pPr>
            <w:r>
              <w:rPr>
                <w:rFonts w:hint="eastAsia"/>
                <w:b w:val="0"/>
                <w:bCs/>
                <w:lang w:val="en-US" w:eastAsia="zh-CN"/>
              </w:rPr>
              <w:t>/</w:t>
            </w:r>
          </w:p>
        </w:tc>
        <w:tc>
          <w:tcPr>
            <w:tcW w:w="1656" w:type="dxa"/>
            <w:shd w:val="clear" w:color="auto" w:fill="auto"/>
            <w:vAlign w:val="center"/>
          </w:tcPr>
          <w:p w14:paraId="44C7EFDB">
            <w:pPr>
              <w:pStyle w:val="57"/>
              <w:bidi w:val="0"/>
              <w:rPr>
                <w:b w:val="0"/>
                <w:bCs/>
                <w:lang w:val="en-US" w:eastAsia="zh-CN"/>
              </w:rPr>
            </w:pPr>
            <w:r>
              <w:rPr>
                <w:rFonts w:hint="eastAsia"/>
                <w:b w:val="0"/>
                <w:bCs/>
                <w:lang w:val="en-US"/>
              </w:rPr>
              <w:t>6</w:t>
            </w:r>
          </w:p>
        </w:tc>
        <w:tc>
          <w:tcPr>
            <w:tcW w:w="1871" w:type="dxa"/>
            <w:vAlign w:val="center"/>
          </w:tcPr>
          <w:p w14:paraId="59EDF3A5">
            <w:pPr>
              <w:pStyle w:val="57"/>
              <w:bidi w:val="0"/>
              <w:rPr>
                <w:rFonts w:hint="eastAsia"/>
                <w:b w:val="0"/>
                <w:bCs/>
              </w:rPr>
            </w:pPr>
            <w:r>
              <w:rPr>
                <w:rFonts w:hint="eastAsia"/>
                <w:b w:val="0"/>
                <w:bCs/>
                <w:lang w:val="en-US" w:eastAsia="zh-CN"/>
              </w:rPr>
              <w:t>/</w:t>
            </w:r>
          </w:p>
        </w:tc>
        <w:tc>
          <w:tcPr>
            <w:tcW w:w="1769" w:type="dxa"/>
            <w:shd w:val="clear" w:color="auto" w:fill="auto"/>
            <w:vAlign w:val="center"/>
          </w:tcPr>
          <w:p w14:paraId="07D969E5">
            <w:pPr>
              <w:pStyle w:val="57"/>
              <w:bidi w:val="0"/>
              <w:rPr>
                <w:rFonts w:hint="eastAsia"/>
                <w:b w:val="0"/>
                <w:bCs/>
              </w:rPr>
            </w:pPr>
            <w:r>
              <w:rPr>
                <w:rFonts w:hint="default"/>
                <w:b w:val="0"/>
                <w:bCs/>
                <w:lang w:val="en-US" w:eastAsia="zh-CN"/>
              </w:rPr>
              <w:t>6</w:t>
            </w:r>
          </w:p>
        </w:tc>
        <w:tc>
          <w:tcPr>
            <w:tcW w:w="1189" w:type="dxa"/>
            <w:shd w:val="clear" w:color="auto" w:fill="auto"/>
            <w:vAlign w:val="center"/>
          </w:tcPr>
          <w:p w14:paraId="350160C5">
            <w:pPr>
              <w:pStyle w:val="57"/>
              <w:bidi w:val="0"/>
              <w:rPr>
                <w:rFonts w:hint="eastAsia"/>
                <w:b w:val="0"/>
                <w:bCs/>
                <w:lang w:val="en-US" w:eastAsia="zh-CN"/>
              </w:rPr>
            </w:pPr>
            <w:r>
              <w:rPr>
                <w:rFonts w:hint="eastAsia"/>
                <w:b w:val="0"/>
                <w:bCs/>
                <w:lang w:val="en-US" w:eastAsia="zh-CN"/>
              </w:rPr>
              <w:t>+</w:t>
            </w:r>
            <w:r>
              <w:rPr>
                <w:rFonts w:hint="eastAsia"/>
                <w:b w:val="0"/>
                <w:bCs/>
                <w:lang w:val="en-US"/>
              </w:rPr>
              <w:t>6</w:t>
            </w:r>
          </w:p>
        </w:tc>
      </w:tr>
      <w:tr w14:paraId="237200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0" w:type="dxa"/>
            <w:vAlign w:val="center"/>
          </w:tcPr>
          <w:p w14:paraId="179C2CAE">
            <w:pPr>
              <w:pStyle w:val="57"/>
              <w:bidi w:val="0"/>
              <w:rPr>
                <w:rFonts w:hint="eastAsia"/>
                <w:b w:val="0"/>
                <w:bCs/>
                <w:lang w:val="en-US" w:eastAsia="zh-CN"/>
              </w:rPr>
            </w:pPr>
            <w:r>
              <w:rPr>
                <w:rFonts w:hint="eastAsia"/>
                <w:b w:val="0"/>
                <w:bCs/>
                <w:lang w:val="en-US" w:eastAsia="zh-CN"/>
              </w:rPr>
              <w:t>生活垃圾</w:t>
            </w:r>
          </w:p>
        </w:tc>
        <w:tc>
          <w:tcPr>
            <w:tcW w:w="2802" w:type="dxa"/>
            <w:shd w:val="clear" w:color="auto" w:fill="auto"/>
            <w:vAlign w:val="center"/>
          </w:tcPr>
          <w:p w14:paraId="71DB7C8F">
            <w:pPr>
              <w:pStyle w:val="57"/>
              <w:bidi w:val="0"/>
              <w:rPr>
                <w:b w:val="0"/>
                <w:bCs/>
                <w:lang w:val="en-US" w:eastAsia="zh-CN"/>
              </w:rPr>
            </w:pPr>
            <w:r>
              <w:rPr>
                <w:rFonts w:hint="eastAsia"/>
                <w:b w:val="0"/>
                <w:bCs/>
                <w:lang w:val="en-US"/>
              </w:rPr>
              <w:t>生活垃圾</w:t>
            </w:r>
          </w:p>
        </w:tc>
        <w:tc>
          <w:tcPr>
            <w:tcW w:w="1596" w:type="dxa"/>
            <w:shd w:val="clear" w:color="auto" w:fill="auto"/>
            <w:vAlign w:val="center"/>
          </w:tcPr>
          <w:p w14:paraId="0C467D27">
            <w:pPr>
              <w:pStyle w:val="57"/>
              <w:bidi w:val="0"/>
              <w:rPr>
                <w:b w:val="0"/>
                <w:bCs/>
                <w:lang w:val="en-US" w:eastAsia="zh-CN"/>
              </w:rPr>
            </w:pPr>
            <w:r>
              <w:rPr>
                <w:rFonts w:hint="eastAsia"/>
                <w:b w:val="0"/>
                <w:bCs/>
                <w:lang w:val="en-US"/>
              </w:rPr>
              <w:t>15</w:t>
            </w:r>
          </w:p>
        </w:tc>
        <w:tc>
          <w:tcPr>
            <w:tcW w:w="1118" w:type="dxa"/>
            <w:shd w:val="clear" w:color="auto" w:fill="auto"/>
            <w:vAlign w:val="center"/>
          </w:tcPr>
          <w:p w14:paraId="073BF6BF">
            <w:pPr>
              <w:pStyle w:val="57"/>
              <w:bidi w:val="0"/>
              <w:rPr>
                <w:b w:val="0"/>
                <w:bCs/>
                <w:lang w:val="en-US" w:eastAsia="zh-CN"/>
              </w:rPr>
            </w:pPr>
            <w:r>
              <w:rPr>
                <w:rFonts w:hint="eastAsia"/>
                <w:b w:val="0"/>
                <w:bCs/>
                <w:lang w:val="en-US" w:eastAsia="zh-CN"/>
              </w:rPr>
              <w:t>/</w:t>
            </w:r>
          </w:p>
        </w:tc>
        <w:tc>
          <w:tcPr>
            <w:tcW w:w="1807" w:type="dxa"/>
            <w:shd w:val="clear" w:color="auto" w:fill="auto"/>
            <w:vAlign w:val="center"/>
          </w:tcPr>
          <w:p w14:paraId="2275ABFF">
            <w:pPr>
              <w:pStyle w:val="57"/>
              <w:bidi w:val="0"/>
              <w:rPr>
                <w:b w:val="0"/>
                <w:bCs/>
                <w:lang w:val="en-US" w:eastAsia="zh-CN"/>
              </w:rPr>
            </w:pPr>
            <w:r>
              <w:rPr>
                <w:rFonts w:hint="eastAsia"/>
                <w:b w:val="0"/>
                <w:bCs/>
                <w:lang w:val="en-US"/>
              </w:rPr>
              <w:t>15</w:t>
            </w:r>
          </w:p>
        </w:tc>
        <w:tc>
          <w:tcPr>
            <w:tcW w:w="1656" w:type="dxa"/>
            <w:shd w:val="clear" w:color="auto" w:fill="auto"/>
            <w:vAlign w:val="center"/>
          </w:tcPr>
          <w:p w14:paraId="1754085E">
            <w:pPr>
              <w:pStyle w:val="57"/>
              <w:bidi w:val="0"/>
              <w:rPr>
                <w:rFonts w:hint="default"/>
                <w:b w:val="0"/>
                <w:bCs/>
                <w:lang w:val="en-US" w:eastAsia="zh-CN"/>
              </w:rPr>
            </w:pPr>
            <w:r>
              <w:rPr>
                <w:rFonts w:hint="eastAsia"/>
                <w:b w:val="0"/>
                <w:bCs/>
                <w:lang w:val="en-US" w:eastAsia="zh-CN"/>
              </w:rPr>
              <w:t>/</w:t>
            </w:r>
          </w:p>
        </w:tc>
        <w:tc>
          <w:tcPr>
            <w:tcW w:w="1871" w:type="dxa"/>
            <w:vAlign w:val="center"/>
          </w:tcPr>
          <w:p w14:paraId="0DD1B081">
            <w:pPr>
              <w:pStyle w:val="57"/>
              <w:bidi w:val="0"/>
              <w:rPr>
                <w:b w:val="0"/>
                <w:bCs/>
              </w:rPr>
            </w:pPr>
            <w:r>
              <w:rPr>
                <w:rFonts w:hint="eastAsia"/>
                <w:b w:val="0"/>
                <w:bCs/>
              </w:rPr>
              <w:t>/</w:t>
            </w:r>
          </w:p>
        </w:tc>
        <w:tc>
          <w:tcPr>
            <w:tcW w:w="1769" w:type="dxa"/>
            <w:shd w:val="clear" w:color="auto" w:fill="auto"/>
            <w:vAlign w:val="center"/>
          </w:tcPr>
          <w:p w14:paraId="406CFABD">
            <w:pPr>
              <w:pStyle w:val="57"/>
              <w:bidi w:val="0"/>
              <w:rPr>
                <w:b w:val="0"/>
                <w:bCs/>
                <w:lang w:val="en-US"/>
              </w:rPr>
            </w:pPr>
            <w:r>
              <w:rPr>
                <w:rFonts w:hint="eastAsia"/>
                <w:b w:val="0"/>
                <w:bCs/>
                <w:lang w:val="en-US" w:eastAsia="zh-CN"/>
              </w:rPr>
              <w:t>/</w:t>
            </w:r>
          </w:p>
        </w:tc>
        <w:tc>
          <w:tcPr>
            <w:tcW w:w="1189" w:type="dxa"/>
            <w:shd w:val="clear" w:color="auto" w:fill="auto"/>
            <w:vAlign w:val="center"/>
          </w:tcPr>
          <w:p w14:paraId="2FDBEF24">
            <w:pPr>
              <w:pStyle w:val="57"/>
              <w:bidi w:val="0"/>
              <w:rPr>
                <w:rFonts w:hint="default"/>
                <w:b w:val="0"/>
                <w:bCs/>
                <w:lang w:val="en-US" w:eastAsia="zh-CN"/>
              </w:rPr>
            </w:pPr>
            <w:r>
              <w:rPr>
                <w:rFonts w:hint="eastAsia"/>
                <w:b w:val="0"/>
                <w:bCs/>
                <w:lang w:val="en-US" w:eastAsia="zh-CN"/>
              </w:rPr>
              <w:t>/</w:t>
            </w:r>
          </w:p>
        </w:tc>
      </w:tr>
    </w:tbl>
    <w:p w14:paraId="0F6A5A68">
      <w:pPr>
        <w:pStyle w:val="43"/>
        <w:wordWrap w:val="0"/>
        <w:spacing w:before="192" w:beforeLines="80" w:after="24" w:line="240" w:lineRule="auto"/>
        <w:ind w:left="396" w:hanging="396"/>
        <w:jc w:val="left"/>
        <w:rPr>
          <w:rFonts w:ascii="Times New Roman"/>
          <w:snapToGrid w:val="0"/>
          <w:spacing w:val="-6"/>
          <w:kern w:val="21"/>
          <w:szCs w:val="21"/>
        </w:rPr>
        <w:sectPr>
          <w:footerReference r:id="rId8" w:type="default"/>
          <w:pgSz w:w="16838" w:h="11906" w:orient="landscape"/>
          <w:pgMar w:top="1440" w:right="1080" w:bottom="1440" w:left="1080" w:header="851" w:footer="851" w:gutter="0"/>
          <w:cols w:space="720" w:num="1"/>
          <w:docGrid w:linePitch="312" w:charSpace="0"/>
        </w:sectPr>
      </w:pPr>
    </w:p>
    <w:p w14:paraId="20462490">
      <w:pPr>
        <w:pStyle w:val="4"/>
        <w:wordWrap w:val="0"/>
        <w:rPr>
          <w:rFonts w:ascii="Times New Roman" w:hAnsi="Times New Roman"/>
        </w:rPr>
      </w:pPr>
      <w:bookmarkStart w:id="37" w:name="_Toc30729"/>
      <w:bookmarkStart w:id="38" w:name="_Toc28141"/>
      <w:bookmarkStart w:id="39" w:name="_Toc30599"/>
      <w:r>
        <w:rPr>
          <w:rFonts w:hint="eastAsia" w:ascii="Times New Roman" w:hAnsi="Times New Roman"/>
        </w:rPr>
        <w:t>附件一：委托书</w:t>
      </w:r>
      <w:bookmarkEnd w:id="37"/>
      <w:bookmarkEnd w:id="38"/>
      <w:bookmarkEnd w:id="39"/>
    </w:p>
    <w:p w14:paraId="3DF55F4F">
      <w:pPr>
        <w:pStyle w:val="57"/>
        <w:rPr>
          <w:rFonts w:hint="eastAsia" w:eastAsia="宋体"/>
          <w:lang w:eastAsia="zh-CN"/>
        </w:rPr>
      </w:pPr>
      <w:r>
        <w:rPr>
          <w:rFonts w:hint="eastAsia" w:eastAsia="宋体"/>
          <w:lang w:eastAsia="zh-CN"/>
        </w:rPr>
        <w:drawing>
          <wp:inline distT="0" distB="0" distL="114300" distR="114300">
            <wp:extent cx="5632450" cy="7713345"/>
            <wp:effectExtent l="0" t="0" r="0" b="0"/>
            <wp:docPr id="4" name="图片 4" descr="f6e80193889478bd4805aaebc01bb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6e80193889478bd4805aaebc01bb314"/>
                    <pic:cNvPicPr>
                      <a:picLocks noChangeAspect="1"/>
                    </pic:cNvPicPr>
                  </pic:nvPicPr>
                  <pic:blipFill>
                    <a:blip r:embed="rId115"/>
                    <a:srcRect t="1877" r="3879" b="3121"/>
                    <a:stretch>
                      <a:fillRect/>
                    </a:stretch>
                  </pic:blipFill>
                  <pic:spPr>
                    <a:xfrm>
                      <a:off x="0" y="0"/>
                      <a:ext cx="5632450" cy="7713345"/>
                    </a:xfrm>
                    <a:prstGeom prst="rect">
                      <a:avLst/>
                    </a:prstGeom>
                  </pic:spPr>
                </pic:pic>
              </a:graphicData>
            </a:graphic>
          </wp:inline>
        </w:drawing>
      </w:r>
    </w:p>
    <w:p w14:paraId="37F32942">
      <w:pPr>
        <w:pStyle w:val="4"/>
        <w:rPr>
          <w:rFonts w:ascii="Times New Roman" w:hAnsi="Times New Roman"/>
        </w:rPr>
      </w:pPr>
      <w:bookmarkStart w:id="40" w:name="_Toc9018"/>
      <w:r>
        <w:rPr>
          <w:rFonts w:hint="eastAsia" w:ascii="Times New Roman" w:hAnsi="Times New Roman"/>
        </w:rPr>
        <w:t>附件</w:t>
      </w:r>
      <w:r>
        <w:rPr>
          <w:rFonts w:hint="eastAsia" w:ascii="Times New Roman" w:hAnsi="Times New Roman"/>
          <w:lang w:val="en-US" w:eastAsia="zh-CN"/>
        </w:rPr>
        <w:t>二</w:t>
      </w:r>
      <w:r>
        <w:rPr>
          <w:rFonts w:hint="eastAsia" w:ascii="Times New Roman" w:hAnsi="Times New Roman"/>
        </w:rPr>
        <w:t>：现有工程环评批复</w:t>
      </w:r>
      <w:bookmarkEnd w:id="40"/>
    </w:p>
    <w:p w14:paraId="06829F99">
      <w:r>
        <w:drawing>
          <wp:inline distT="0" distB="0" distL="114300" distR="114300">
            <wp:extent cx="6015990" cy="8493760"/>
            <wp:effectExtent l="0" t="0" r="3810" b="2540"/>
            <wp:docPr id="2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1"/>
                    <pic:cNvPicPr>
                      <a:picLocks noChangeAspect="1"/>
                    </pic:cNvPicPr>
                  </pic:nvPicPr>
                  <pic:blipFill>
                    <a:blip r:embed="rId116"/>
                    <a:stretch>
                      <a:fillRect/>
                    </a:stretch>
                  </pic:blipFill>
                  <pic:spPr>
                    <a:xfrm>
                      <a:off x="0" y="0"/>
                      <a:ext cx="6015990" cy="8493760"/>
                    </a:xfrm>
                    <a:prstGeom prst="rect">
                      <a:avLst/>
                    </a:prstGeom>
                    <a:noFill/>
                    <a:ln>
                      <a:noFill/>
                    </a:ln>
                  </pic:spPr>
                </pic:pic>
              </a:graphicData>
            </a:graphic>
          </wp:inline>
        </w:drawing>
      </w:r>
    </w:p>
    <w:p w14:paraId="5C316328">
      <w:pPr>
        <w:pStyle w:val="57"/>
        <w:rPr>
          <w:rFonts w:hint="eastAsia" w:eastAsia="宋体"/>
          <w:lang w:eastAsia="zh-CN"/>
        </w:rPr>
      </w:pPr>
      <w:r>
        <w:drawing>
          <wp:inline distT="0" distB="0" distL="114300" distR="114300">
            <wp:extent cx="6049010" cy="8540115"/>
            <wp:effectExtent l="0" t="0" r="8890" b="13335"/>
            <wp:docPr id="2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2"/>
                    <pic:cNvPicPr>
                      <a:picLocks noChangeAspect="1"/>
                    </pic:cNvPicPr>
                  </pic:nvPicPr>
                  <pic:blipFill>
                    <a:blip r:embed="rId117"/>
                    <a:stretch>
                      <a:fillRect/>
                    </a:stretch>
                  </pic:blipFill>
                  <pic:spPr>
                    <a:xfrm>
                      <a:off x="0" y="0"/>
                      <a:ext cx="6049010" cy="8540115"/>
                    </a:xfrm>
                    <a:prstGeom prst="rect">
                      <a:avLst/>
                    </a:prstGeom>
                    <a:noFill/>
                    <a:ln>
                      <a:noFill/>
                    </a:ln>
                  </pic:spPr>
                </pic:pic>
              </a:graphicData>
            </a:graphic>
          </wp:inline>
        </w:drawing>
      </w:r>
      <w:r>
        <w:drawing>
          <wp:inline distT="0" distB="0" distL="114300" distR="114300">
            <wp:extent cx="6087745" cy="8595360"/>
            <wp:effectExtent l="0" t="0" r="8255" b="15240"/>
            <wp:docPr id="2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3"/>
                    <pic:cNvPicPr>
                      <a:picLocks noChangeAspect="1"/>
                    </pic:cNvPicPr>
                  </pic:nvPicPr>
                  <pic:blipFill>
                    <a:blip r:embed="rId118"/>
                    <a:stretch>
                      <a:fillRect/>
                    </a:stretch>
                  </pic:blipFill>
                  <pic:spPr>
                    <a:xfrm>
                      <a:off x="0" y="0"/>
                      <a:ext cx="6087745" cy="8595360"/>
                    </a:xfrm>
                    <a:prstGeom prst="rect">
                      <a:avLst/>
                    </a:prstGeom>
                    <a:noFill/>
                    <a:ln>
                      <a:noFill/>
                    </a:ln>
                  </pic:spPr>
                </pic:pic>
              </a:graphicData>
            </a:graphic>
          </wp:inline>
        </w:drawing>
      </w:r>
      <w:r>
        <w:drawing>
          <wp:inline distT="0" distB="0" distL="114300" distR="114300">
            <wp:extent cx="6087745" cy="8595360"/>
            <wp:effectExtent l="0" t="0" r="8255" b="15240"/>
            <wp:docPr id="2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4"/>
                    <pic:cNvPicPr>
                      <a:picLocks noChangeAspect="1"/>
                    </pic:cNvPicPr>
                  </pic:nvPicPr>
                  <pic:blipFill>
                    <a:blip r:embed="rId119"/>
                    <a:stretch>
                      <a:fillRect/>
                    </a:stretch>
                  </pic:blipFill>
                  <pic:spPr>
                    <a:xfrm>
                      <a:off x="0" y="0"/>
                      <a:ext cx="6087745" cy="8595360"/>
                    </a:xfrm>
                    <a:prstGeom prst="rect">
                      <a:avLst/>
                    </a:prstGeom>
                    <a:noFill/>
                    <a:ln>
                      <a:noFill/>
                    </a:ln>
                  </pic:spPr>
                </pic:pic>
              </a:graphicData>
            </a:graphic>
          </wp:inline>
        </w:drawing>
      </w:r>
      <w:r>
        <w:rPr>
          <w:rFonts w:hint="eastAsia"/>
        </w:rPr>
        <w:drawing>
          <wp:inline distT="0" distB="0" distL="114300" distR="114300">
            <wp:extent cx="6311265" cy="8957310"/>
            <wp:effectExtent l="0" t="0" r="13335" b="15240"/>
            <wp:docPr id="28" name="图片 28" descr="2-8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8环评批复_00"/>
                    <pic:cNvPicPr>
                      <a:picLocks noChangeAspect="1"/>
                    </pic:cNvPicPr>
                  </pic:nvPicPr>
                  <pic:blipFill>
                    <a:blip r:embed="rId120"/>
                    <a:stretch>
                      <a:fillRect/>
                    </a:stretch>
                  </pic:blipFill>
                  <pic:spPr>
                    <a:xfrm>
                      <a:off x="0" y="0"/>
                      <a:ext cx="6311265" cy="8957310"/>
                    </a:xfrm>
                    <a:prstGeom prst="rect">
                      <a:avLst/>
                    </a:prstGeom>
                  </pic:spPr>
                </pic:pic>
              </a:graphicData>
            </a:graphic>
          </wp:inline>
        </w:drawing>
      </w:r>
      <w:r>
        <w:rPr>
          <w:rFonts w:hint="eastAsia"/>
        </w:rPr>
        <w:drawing>
          <wp:inline distT="0" distB="0" distL="114300" distR="114300">
            <wp:extent cx="6504305" cy="9206230"/>
            <wp:effectExtent l="0" t="0" r="10795" b="13970"/>
            <wp:docPr id="38" name="图片 38" descr="2-8环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8环评批复_01"/>
                    <pic:cNvPicPr>
                      <a:picLocks noChangeAspect="1"/>
                    </pic:cNvPicPr>
                  </pic:nvPicPr>
                  <pic:blipFill>
                    <a:blip r:embed="rId121"/>
                    <a:stretch>
                      <a:fillRect/>
                    </a:stretch>
                  </pic:blipFill>
                  <pic:spPr>
                    <a:xfrm>
                      <a:off x="0" y="0"/>
                      <a:ext cx="6504305" cy="9206230"/>
                    </a:xfrm>
                    <a:prstGeom prst="rect">
                      <a:avLst/>
                    </a:prstGeom>
                  </pic:spPr>
                </pic:pic>
              </a:graphicData>
            </a:graphic>
          </wp:inline>
        </w:drawing>
      </w:r>
      <w:r>
        <w:rPr>
          <w:rFonts w:hint="eastAsia"/>
        </w:rPr>
        <w:drawing>
          <wp:inline distT="0" distB="0" distL="114300" distR="114300">
            <wp:extent cx="6290310" cy="8951595"/>
            <wp:effectExtent l="0" t="0" r="15240" b="1905"/>
            <wp:docPr id="32" name="图片 32" descr="2-8环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8环评批复_02"/>
                    <pic:cNvPicPr>
                      <a:picLocks noChangeAspect="1"/>
                    </pic:cNvPicPr>
                  </pic:nvPicPr>
                  <pic:blipFill>
                    <a:blip r:embed="rId122"/>
                    <a:stretch>
                      <a:fillRect/>
                    </a:stretch>
                  </pic:blipFill>
                  <pic:spPr>
                    <a:xfrm>
                      <a:off x="0" y="0"/>
                      <a:ext cx="6290310" cy="8951595"/>
                    </a:xfrm>
                    <a:prstGeom prst="rect">
                      <a:avLst/>
                    </a:prstGeom>
                  </pic:spPr>
                </pic:pic>
              </a:graphicData>
            </a:graphic>
          </wp:inline>
        </w:drawing>
      </w:r>
      <w:r>
        <w:rPr>
          <w:rFonts w:hint="eastAsia"/>
        </w:rPr>
        <w:drawing>
          <wp:inline distT="0" distB="0" distL="114300" distR="114300">
            <wp:extent cx="6437630" cy="9106535"/>
            <wp:effectExtent l="0" t="0" r="1270" b="18415"/>
            <wp:docPr id="35" name="图片 35" descr="2-8环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8环评批复_03"/>
                    <pic:cNvPicPr>
                      <a:picLocks noChangeAspect="1"/>
                    </pic:cNvPicPr>
                  </pic:nvPicPr>
                  <pic:blipFill>
                    <a:blip r:embed="rId123"/>
                    <a:stretch>
                      <a:fillRect/>
                    </a:stretch>
                  </pic:blipFill>
                  <pic:spPr>
                    <a:xfrm>
                      <a:off x="0" y="0"/>
                      <a:ext cx="6437630" cy="9106535"/>
                    </a:xfrm>
                    <a:prstGeom prst="rect">
                      <a:avLst/>
                    </a:prstGeom>
                  </pic:spPr>
                </pic:pic>
              </a:graphicData>
            </a:graphic>
          </wp:inline>
        </w:drawing>
      </w:r>
      <w:r>
        <w:rPr>
          <w:rFonts w:hint="eastAsia" w:eastAsia="宋体"/>
          <w:lang w:eastAsia="zh-CN"/>
        </w:rPr>
        <w:drawing>
          <wp:inline distT="0" distB="0" distL="114300" distR="114300">
            <wp:extent cx="6536055" cy="9237980"/>
            <wp:effectExtent l="0" t="0" r="17145" b="1270"/>
            <wp:docPr id="62" name="图片 62" descr="重大变动批复(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重大变动批复(1)_01"/>
                    <pic:cNvPicPr>
                      <a:picLocks noChangeAspect="1"/>
                    </pic:cNvPicPr>
                  </pic:nvPicPr>
                  <pic:blipFill>
                    <a:blip r:embed="rId124"/>
                    <a:stretch>
                      <a:fillRect/>
                    </a:stretch>
                  </pic:blipFill>
                  <pic:spPr>
                    <a:xfrm>
                      <a:off x="0" y="0"/>
                      <a:ext cx="6536055" cy="9237980"/>
                    </a:xfrm>
                    <a:prstGeom prst="rect">
                      <a:avLst/>
                    </a:prstGeom>
                  </pic:spPr>
                </pic:pic>
              </a:graphicData>
            </a:graphic>
          </wp:inline>
        </w:drawing>
      </w:r>
      <w:r>
        <w:rPr>
          <w:rFonts w:hint="eastAsia" w:eastAsia="宋体"/>
          <w:lang w:eastAsia="zh-CN"/>
        </w:rPr>
        <w:drawing>
          <wp:inline distT="0" distB="0" distL="114300" distR="114300">
            <wp:extent cx="6536055" cy="9237980"/>
            <wp:effectExtent l="0" t="0" r="17145" b="1270"/>
            <wp:docPr id="60" name="图片 60" descr="重大变动批复(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重大变动批复(1)_02"/>
                    <pic:cNvPicPr>
                      <a:picLocks noChangeAspect="1"/>
                    </pic:cNvPicPr>
                  </pic:nvPicPr>
                  <pic:blipFill>
                    <a:blip r:embed="rId125"/>
                    <a:stretch>
                      <a:fillRect/>
                    </a:stretch>
                  </pic:blipFill>
                  <pic:spPr>
                    <a:xfrm>
                      <a:off x="0" y="0"/>
                      <a:ext cx="6536055" cy="9237980"/>
                    </a:xfrm>
                    <a:prstGeom prst="rect">
                      <a:avLst/>
                    </a:prstGeom>
                  </pic:spPr>
                </pic:pic>
              </a:graphicData>
            </a:graphic>
          </wp:inline>
        </w:drawing>
      </w:r>
      <w:r>
        <w:rPr>
          <w:rFonts w:hint="eastAsia" w:eastAsia="宋体"/>
          <w:lang w:eastAsia="zh-CN"/>
        </w:rPr>
        <w:drawing>
          <wp:inline distT="0" distB="0" distL="114300" distR="114300">
            <wp:extent cx="6536055" cy="9237980"/>
            <wp:effectExtent l="0" t="0" r="17145" b="1270"/>
            <wp:docPr id="59" name="图片 59" descr="重大变动批复(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重大变动批复(1)_03"/>
                    <pic:cNvPicPr>
                      <a:picLocks noChangeAspect="1"/>
                    </pic:cNvPicPr>
                  </pic:nvPicPr>
                  <pic:blipFill>
                    <a:blip r:embed="rId126"/>
                    <a:stretch>
                      <a:fillRect/>
                    </a:stretch>
                  </pic:blipFill>
                  <pic:spPr>
                    <a:xfrm>
                      <a:off x="0" y="0"/>
                      <a:ext cx="6536055" cy="9237980"/>
                    </a:xfrm>
                    <a:prstGeom prst="rect">
                      <a:avLst/>
                    </a:prstGeom>
                  </pic:spPr>
                </pic:pic>
              </a:graphicData>
            </a:graphic>
          </wp:inline>
        </w:drawing>
      </w:r>
      <w:r>
        <w:rPr>
          <w:rFonts w:hint="eastAsia" w:eastAsia="宋体"/>
          <w:lang w:eastAsia="zh-CN"/>
        </w:rPr>
        <w:drawing>
          <wp:inline distT="0" distB="0" distL="114300" distR="114300">
            <wp:extent cx="6536055" cy="9237980"/>
            <wp:effectExtent l="0" t="0" r="17145" b="1270"/>
            <wp:docPr id="46" name="图片 46" descr="重大变动批复(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重大变动批复(1)_04"/>
                    <pic:cNvPicPr>
                      <a:picLocks noChangeAspect="1"/>
                    </pic:cNvPicPr>
                  </pic:nvPicPr>
                  <pic:blipFill>
                    <a:blip r:embed="rId127"/>
                    <a:stretch>
                      <a:fillRect/>
                    </a:stretch>
                  </pic:blipFill>
                  <pic:spPr>
                    <a:xfrm>
                      <a:off x="0" y="0"/>
                      <a:ext cx="6536055" cy="9237980"/>
                    </a:xfrm>
                    <a:prstGeom prst="rect">
                      <a:avLst/>
                    </a:prstGeom>
                  </pic:spPr>
                </pic:pic>
              </a:graphicData>
            </a:graphic>
          </wp:inline>
        </w:drawing>
      </w:r>
      <w:r>
        <w:rPr>
          <w:rFonts w:hint="eastAsia" w:eastAsia="宋体"/>
          <w:lang w:eastAsia="zh-CN"/>
        </w:rPr>
        <w:drawing>
          <wp:inline distT="0" distB="0" distL="114300" distR="114300">
            <wp:extent cx="6536055" cy="9237980"/>
            <wp:effectExtent l="0" t="0" r="17145" b="1270"/>
            <wp:docPr id="24" name="图片 24" descr="重大变动批复(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重大变动批复(1)_05"/>
                    <pic:cNvPicPr>
                      <a:picLocks noChangeAspect="1"/>
                    </pic:cNvPicPr>
                  </pic:nvPicPr>
                  <pic:blipFill>
                    <a:blip r:embed="rId128"/>
                    <a:stretch>
                      <a:fillRect/>
                    </a:stretch>
                  </pic:blipFill>
                  <pic:spPr>
                    <a:xfrm>
                      <a:off x="0" y="0"/>
                      <a:ext cx="6536055" cy="9237980"/>
                    </a:xfrm>
                    <a:prstGeom prst="rect">
                      <a:avLst/>
                    </a:prstGeom>
                  </pic:spPr>
                </pic:pic>
              </a:graphicData>
            </a:graphic>
          </wp:inline>
        </w:drawing>
      </w:r>
      <w:r>
        <w:rPr>
          <w:rFonts w:hint="eastAsia" w:eastAsia="宋体"/>
          <w:lang w:eastAsia="zh-CN"/>
        </w:rPr>
        <w:drawing>
          <wp:inline distT="0" distB="0" distL="114300" distR="114300">
            <wp:extent cx="6536055" cy="9237980"/>
            <wp:effectExtent l="0" t="0" r="17145" b="1270"/>
            <wp:docPr id="5" name="图片 5" descr="重大变动批复(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重大变动批复(1)_06"/>
                    <pic:cNvPicPr>
                      <a:picLocks noChangeAspect="1"/>
                    </pic:cNvPicPr>
                  </pic:nvPicPr>
                  <pic:blipFill>
                    <a:blip r:embed="rId129"/>
                    <a:stretch>
                      <a:fillRect/>
                    </a:stretch>
                  </pic:blipFill>
                  <pic:spPr>
                    <a:xfrm>
                      <a:off x="0" y="0"/>
                      <a:ext cx="6536055" cy="9237980"/>
                    </a:xfrm>
                    <a:prstGeom prst="rect">
                      <a:avLst/>
                    </a:prstGeom>
                  </pic:spPr>
                </pic:pic>
              </a:graphicData>
            </a:graphic>
          </wp:inline>
        </w:drawing>
      </w:r>
    </w:p>
    <w:p w14:paraId="6DB5E6AC">
      <w:pPr>
        <w:pStyle w:val="4"/>
        <w:rPr>
          <w:rFonts w:ascii="Times New Roman" w:hAnsi="Times New Roman"/>
        </w:rPr>
      </w:pPr>
      <w:bookmarkStart w:id="41" w:name="_Toc21440"/>
      <w:r>
        <w:rPr>
          <w:rFonts w:hint="eastAsia" w:ascii="Times New Roman" w:hAnsi="Times New Roman"/>
        </w:rPr>
        <w:t>附件</w:t>
      </w:r>
      <w:r>
        <w:rPr>
          <w:rFonts w:hint="eastAsia" w:ascii="Times New Roman" w:hAnsi="Times New Roman"/>
          <w:lang w:val="en-US" w:eastAsia="zh-CN"/>
        </w:rPr>
        <w:t>三</w:t>
      </w:r>
      <w:r>
        <w:rPr>
          <w:rFonts w:hint="eastAsia" w:ascii="Times New Roman" w:hAnsi="Times New Roman"/>
        </w:rPr>
        <w:t>：排污许可证</w:t>
      </w:r>
      <w:bookmarkEnd w:id="41"/>
    </w:p>
    <w:p w14:paraId="765F38F6">
      <w:pPr>
        <w:pStyle w:val="57"/>
      </w:pPr>
      <w:r>
        <w:drawing>
          <wp:inline distT="0" distB="0" distL="114300" distR="114300">
            <wp:extent cx="8386445" cy="5883910"/>
            <wp:effectExtent l="0" t="0" r="2540" b="14605"/>
            <wp:docPr id="8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1"/>
                    <pic:cNvPicPr>
                      <a:picLocks noChangeAspect="1"/>
                    </pic:cNvPicPr>
                  </pic:nvPicPr>
                  <pic:blipFill>
                    <a:blip r:embed="rId130"/>
                    <a:stretch>
                      <a:fillRect/>
                    </a:stretch>
                  </pic:blipFill>
                  <pic:spPr>
                    <a:xfrm rot="16200000">
                      <a:off x="0" y="0"/>
                      <a:ext cx="8386445" cy="5883910"/>
                    </a:xfrm>
                    <a:prstGeom prst="rect">
                      <a:avLst/>
                    </a:prstGeom>
                    <a:noFill/>
                    <a:ln>
                      <a:noFill/>
                    </a:ln>
                  </pic:spPr>
                </pic:pic>
              </a:graphicData>
            </a:graphic>
          </wp:inline>
        </w:drawing>
      </w:r>
    </w:p>
    <w:p w14:paraId="3E192589"/>
    <w:p w14:paraId="5740C1C6">
      <w:pPr>
        <w:pStyle w:val="4"/>
        <w:rPr>
          <w:rFonts w:ascii="Times New Roman" w:hAnsi="Times New Roman"/>
        </w:rPr>
      </w:pPr>
      <w:bookmarkStart w:id="42" w:name="_Toc16361"/>
      <w:r>
        <w:rPr>
          <w:rFonts w:hint="eastAsia" w:ascii="Times New Roman" w:hAnsi="Times New Roman"/>
        </w:rPr>
        <w:t>附件</w:t>
      </w:r>
      <w:r>
        <w:rPr>
          <w:rFonts w:hint="eastAsia" w:ascii="Times New Roman" w:hAnsi="Times New Roman"/>
          <w:lang w:val="en-US" w:eastAsia="zh-CN"/>
        </w:rPr>
        <w:t>四</w:t>
      </w:r>
      <w:r>
        <w:rPr>
          <w:rFonts w:hint="eastAsia" w:ascii="Times New Roman" w:hAnsi="Times New Roman"/>
        </w:rPr>
        <w:t>：现有工程监测报告</w:t>
      </w:r>
      <w:bookmarkEnd w:id="42"/>
    </w:p>
    <w:p w14:paraId="6A56B5F3">
      <w:pPr>
        <w:pStyle w:val="57"/>
        <w:rPr>
          <w:lang w:val="en-US"/>
        </w:rPr>
      </w:pPr>
      <w:r>
        <w:rPr>
          <w:lang w:val="en-US"/>
        </w:rPr>
        <w:drawing>
          <wp:inline distT="0" distB="0" distL="114300" distR="114300">
            <wp:extent cx="6027420" cy="8602980"/>
            <wp:effectExtent l="0" t="0" r="11430" b="7620"/>
            <wp:docPr id="50" name="图片 50" descr="HYJCS自行监测[2024]0460（G） 陕西美畅钨材料科技有限公司2024年环境监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HYJCS自行监测[2024]0460（G） 陕西美畅钨材料科技有限公司2024年环境监测_00"/>
                    <pic:cNvPicPr>
                      <a:picLocks noChangeAspect="1"/>
                    </pic:cNvPicPr>
                  </pic:nvPicPr>
                  <pic:blipFill>
                    <a:blip r:embed="rId131"/>
                    <a:stretch>
                      <a:fillRect/>
                    </a:stretch>
                  </pic:blipFill>
                  <pic:spPr>
                    <a:xfrm>
                      <a:off x="0" y="0"/>
                      <a:ext cx="6027420" cy="8602980"/>
                    </a:xfrm>
                    <a:prstGeom prst="rect">
                      <a:avLst/>
                    </a:prstGeom>
                  </pic:spPr>
                </pic:pic>
              </a:graphicData>
            </a:graphic>
          </wp:inline>
        </w:drawing>
      </w:r>
    </w:p>
    <w:p w14:paraId="1B8F1022">
      <w:pPr>
        <w:pStyle w:val="57"/>
        <w:rPr>
          <w:lang w:val="en-US"/>
        </w:rPr>
      </w:pPr>
      <w:r>
        <w:rPr>
          <w:lang w:val="en-US"/>
        </w:rPr>
        <w:drawing>
          <wp:inline distT="0" distB="0" distL="114300" distR="114300">
            <wp:extent cx="6311900" cy="9008110"/>
            <wp:effectExtent l="0" t="0" r="12700" b="2540"/>
            <wp:docPr id="49" name="图片 49" descr="HYJCS自行监测[2024]0460（G） 陕西美畅钨材料科技有限公司2024年环境监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HYJCS自行监测[2024]0460（G） 陕西美畅钨材料科技有限公司2024年环境监测_01"/>
                    <pic:cNvPicPr>
                      <a:picLocks noChangeAspect="1"/>
                    </pic:cNvPicPr>
                  </pic:nvPicPr>
                  <pic:blipFill>
                    <a:blip r:embed="rId132"/>
                    <a:stretch>
                      <a:fillRect/>
                    </a:stretch>
                  </pic:blipFill>
                  <pic:spPr>
                    <a:xfrm>
                      <a:off x="0" y="0"/>
                      <a:ext cx="6311900" cy="9008110"/>
                    </a:xfrm>
                    <a:prstGeom prst="rect">
                      <a:avLst/>
                    </a:prstGeom>
                  </pic:spPr>
                </pic:pic>
              </a:graphicData>
            </a:graphic>
          </wp:inline>
        </w:drawing>
      </w:r>
      <w:r>
        <w:rPr>
          <w:lang w:val="en-US"/>
        </w:rPr>
        <w:drawing>
          <wp:inline distT="0" distB="0" distL="114300" distR="114300">
            <wp:extent cx="6377305" cy="9100820"/>
            <wp:effectExtent l="0" t="0" r="4445" b="5080"/>
            <wp:docPr id="48" name="图片 48" descr="HYJCS自行监测[2024]0460（G） 陕西美畅钨材料科技有限公司2024年环境监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HYJCS自行监测[2024]0460（G） 陕西美畅钨材料科技有限公司2024年环境监测_02"/>
                    <pic:cNvPicPr>
                      <a:picLocks noChangeAspect="1"/>
                    </pic:cNvPicPr>
                  </pic:nvPicPr>
                  <pic:blipFill>
                    <a:blip r:embed="rId133"/>
                    <a:stretch>
                      <a:fillRect/>
                    </a:stretch>
                  </pic:blipFill>
                  <pic:spPr>
                    <a:xfrm>
                      <a:off x="0" y="0"/>
                      <a:ext cx="6377305" cy="9100820"/>
                    </a:xfrm>
                    <a:prstGeom prst="rect">
                      <a:avLst/>
                    </a:prstGeom>
                  </pic:spPr>
                </pic:pic>
              </a:graphicData>
            </a:graphic>
          </wp:inline>
        </w:drawing>
      </w:r>
      <w:r>
        <w:rPr>
          <w:lang w:val="en-US"/>
        </w:rPr>
        <w:drawing>
          <wp:inline distT="0" distB="0" distL="114300" distR="114300">
            <wp:extent cx="6358255" cy="9073515"/>
            <wp:effectExtent l="0" t="0" r="4445" b="13335"/>
            <wp:docPr id="47" name="图片 47" descr="HYJCS自行监测[2024]0460（G） 陕西美畅钨材料科技有限公司2024年环境监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HYJCS自行监测[2024]0460（G） 陕西美畅钨材料科技有限公司2024年环境监测_03"/>
                    <pic:cNvPicPr>
                      <a:picLocks noChangeAspect="1"/>
                    </pic:cNvPicPr>
                  </pic:nvPicPr>
                  <pic:blipFill>
                    <a:blip r:embed="rId134"/>
                    <a:stretch>
                      <a:fillRect/>
                    </a:stretch>
                  </pic:blipFill>
                  <pic:spPr>
                    <a:xfrm>
                      <a:off x="0" y="0"/>
                      <a:ext cx="6358255" cy="9073515"/>
                    </a:xfrm>
                    <a:prstGeom prst="rect">
                      <a:avLst/>
                    </a:prstGeom>
                  </pic:spPr>
                </pic:pic>
              </a:graphicData>
            </a:graphic>
          </wp:inline>
        </w:drawing>
      </w:r>
      <w:r>
        <w:rPr>
          <w:lang w:val="en-US"/>
        </w:rPr>
        <w:drawing>
          <wp:inline distT="0" distB="0" distL="114300" distR="114300">
            <wp:extent cx="6377305" cy="9100820"/>
            <wp:effectExtent l="0" t="0" r="4445" b="5080"/>
            <wp:docPr id="45" name="图片 45" descr="HYJCS自行监测[2024]0460（G） 陕西美畅钨材料科技有限公司2024年环境监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HYJCS自行监测[2024]0460（G） 陕西美畅钨材料科技有限公司2024年环境监测_04"/>
                    <pic:cNvPicPr>
                      <a:picLocks noChangeAspect="1"/>
                    </pic:cNvPicPr>
                  </pic:nvPicPr>
                  <pic:blipFill>
                    <a:blip r:embed="rId135"/>
                    <a:stretch>
                      <a:fillRect/>
                    </a:stretch>
                  </pic:blipFill>
                  <pic:spPr>
                    <a:xfrm>
                      <a:off x="0" y="0"/>
                      <a:ext cx="6377305" cy="9100820"/>
                    </a:xfrm>
                    <a:prstGeom prst="rect">
                      <a:avLst/>
                    </a:prstGeom>
                  </pic:spPr>
                </pic:pic>
              </a:graphicData>
            </a:graphic>
          </wp:inline>
        </w:drawing>
      </w:r>
      <w:r>
        <w:rPr>
          <w:lang w:val="en-US"/>
        </w:rPr>
        <w:drawing>
          <wp:inline distT="0" distB="0" distL="114300" distR="114300">
            <wp:extent cx="6377305" cy="9100820"/>
            <wp:effectExtent l="0" t="0" r="4445" b="5080"/>
            <wp:docPr id="44" name="图片 44" descr="HYJCS自行监测[2024]0460（G） 陕西美畅钨材料科技有限公司2024年环境监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HYJCS自行监测[2024]0460（G） 陕西美畅钨材料科技有限公司2024年环境监测_05"/>
                    <pic:cNvPicPr>
                      <a:picLocks noChangeAspect="1"/>
                    </pic:cNvPicPr>
                  </pic:nvPicPr>
                  <pic:blipFill>
                    <a:blip r:embed="rId136"/>
                    <a:stretch>
                      <a:fillRect/>
                    </a:stretch>
                  </pic:blipFill>
                  <pic:spPr>
                    <a:xfrm>
                      <a:off x="0" y="0"/>
                      <a:ext cx="6377305" cy="9100820"/>
                    </a:xfrm>
                    <a:prstGeom prst="rect">
                      <a:avLst/>
                    </a:prstGeom>
                  </pic:spPr>
                </pic:pic>
              </a:graphicData>
            </a:graphic>
          </wp:inline>
        </w:drawing>
      </w:r>
      <w:r>
        <w:rPr>
          <w:lang w:val="en-US"/>
        </w:rPr>
        <w:drawing>
          <wp:inline distT="0" distB="0" distL="114300" distR="114300">
            <wp:extent cx="6472555" cy="9236710"/>
            <wp:effectExtent l="0" t="0" r="4445" b="2540"/>
            <wp:docPr id="42" name="图片 42" descr="HYJCS自行监测[2024]0460（G） 陕西美畅钨材料科技有限公司2024年环境监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HYJCS自行监测[2024]0460（G） 陕西美畅钨材料科技有限公司2024年环境监测_06"/>
                    <pic:cNvPicPr>
                      <a:picLocks noChangeAspect="1"/>
                    </pic:cNvPicPr>
                  </pic:nvPicPr>
                  <pic:blipFill>
                    <a:blip r:embed="rId137"/>
                    <a:stretch>
                      <a:fillRect/>
                    </a:stretch>
                  </pic:blipFill>
                  <pic:spPr>
                    <a:xfrm>
                      <a:off x="0" y="0"/>
                      <a:ext cx="6472555" cy="9236710"/>
                    </a:xfrm>
                    <a:prstGeom prst="rect">
                      <a:avLst/>
                    </a:prstGeom>
                  </pic:spPr>
                </pic:pic>
              </a:graphicData>
            </a:graphic>
          </wp:inline>
        </w:drawing>
      </w:r>
      <w:r>
        <w:rPr>
          <w:lang w:val="en-US"/>
        </w:rPr>
        <w:drawing>
          <wp:inline distT="0" distB="0" distL="114300" distR="114300">
            <wp:extent cx="6472555" cy="9236710"/>
            <wp:effectExtent l="0" t="0" r="4445" b="2540"/>
            <wp:docPr id="41" name="图片 41" descr="HYJCS自行监测[2024]0460（G） 陕西美畅钨材料科技有限公司2024年环境监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HYJCS自行监测[2024]0460（G） 陕西美畅钨材料科技有限公司2024年环境监测_07"/>
                    <pic:cNvPicPr>
                      <a:picLocks noChangeAspect="1"/>
                    </pic:cNvPicPr>
                  </pic:nvPicPr>
                  <pic:blipFill>
                    <a:blip r:embed="rId138"/>
                    <a:stretch>
                      <a:fillRect/>
                    </a:stretch>
                  </pic:blipFill>
                  <pic:spPr>
                    <a:xfrm>
                      <a:off x="0" y="0"/>
                      <a:ext cx="6472555" cy="9236710"/>
                    </a:xfrm>
                    <a:prstGeom prst="rect">
                      <a:avLst/>
                    </a:prstGeom>
                  </pic:spPr>
                </pic:pic>
              </a:graphicData>
            </a:graphic>
          </wp:inline>
        </w:drawing>
      </w:r>
      <w:r>
        <w:rPr>
          <w:lang w:val="en-US"/>
        </w:rPr>
        <w:drawing>
          <wp:inline distT="0" distB="0" distL="114300" distR="114300">
            <wp:extent cx="9027160" cy="6382385"/>
            <wp:effectExtent l="0" t="0" r="18415" b="2540"/>
            <wp:docPr id="29" name="图片 29" descr="ab204e0eab3462cdb5abe64e0c1a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ab204e0eab3462cdb5abe64e0c1a575"/>
                    <pic:cNvPicPr>
                      <a:picLocks noChangeAspect="1"/>
                    </pic:cNvPicPr>
                  </pic:nvPicPr>
                  <pic:blipFill>
                    <a:blip r:embed="rId139"/>
                    <a:stretch>
                      <a:fillRect/>
                    </a:stretch>
                  </pic:blipFill>
                  <pic:spPr>
                    <a:xfrm rot="16200000">
                      <a:off x="0" y="0"/>
                      <a:ext cx="9027160" cy="6382385"/>
                    </a:xfrm>
                    <a:prstGeom prst="rect">
                      <a:avLst/>
                    </a:prstGeom>
                  </pic:spPr>
                </pic:pic>
              </a:graphicData>
            </a:graphic>
          </wp:inline>
        </w:drawing>
      </w:r>
      <w:r>
        <w:rPr>
          <w:lang w:val="en-US"/>
        </w:rPr>
        <w:drawing>
          <wp:inline distT="0" distB="0" distL="114300" distR="114300">
            <wp:extent cx="8467090" cy="5986145"/>
            <wp:effectExtent l="0" t="0" r="14605" b="10160"/>
            <wp:docPr id="31" name="图片 31" descr="bd230908c3daff872d65cc9698e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bd230908c3daff872d65cc9698e4099"/>
                    <pic:cNvPicPr>
                      <a:picLocks noChangeAspect="1"/>
                    </pic:cNvPicPr>
                  </pic:nvPicPr>
                  <pic:blipFill>
                    <a:blip r:embed="rId140"/>
                    <a:stretch>
                      <a:fillRect/>
                    </a:stretch>
                  </pic:blipFill>
                  <pic:spPr>
                    <a:xfrm rot="16200000">
                      <a:off x="0" y="0"/>
                      <a:ext cx="8467090" cy="5986145"/>
                    </a:xfrm>
                    <a:prstGeom prst="rect">
                      <a:avLst/>
                    </a:prstGeom>
                  </pic:spPr>
                </pic:pic>
              </a:graphicData>
            </a:graphic>
          </wp:inline>
        </w:drawing>
      </w:r>
      <w:r>
        <w:rPr>
          <w:lang w:val="en-US"/>
        </w:rPr>
        <w:drawing>
          <wp:inline distT="0" distB="0" distL="114300" distR="114300">
            <wp:extent cx="6395720" cy="9242425"/>
            <wp:effectExtent l="0" t="0" r="5080" b="15875"/>
            <wp:docPr id="36" name="图片 36" descr="ac61673bffa3b3d3063aaaf5d832d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ac61673bffa3b3d3063aaaf5d832d7e"/>
                    <pic:cNvPicPr>
                      <a:picLocks noChangeAspect="1"/>
                    </pic:cNvPicPr>
                  </pic:nvPicPr>
                  <pic:blipFill>
                    <a:blip r:embed="rId141"/>
                    <a:stretch>
                      <a:fillRect/>
                    </a:stretch>
                  </pic:blipFill>
                  <pic:spPr>
                    <a:xfrm>
                      <a:off x="0" y="0"/>
                      <a:ext cx="6395720" cy="9242425"/>
                    </a:xfrm>
                    <a:prstGeom prst="rect">
                      <a:avLst/>
                    </a:prstGeom>
                  </pic:spPr>
                </pic:pic>
              </a:graphicData>
            </a:graphic>
          </wp:inline>
        </w:drawing>
      </w:r>
      <w:r>
        <w:rPr>
          <w:lang w:val="en-US"/>
        </w:rPr>
        <w:drawing>
          <wp:inline distT="0" distB="0" distL="114300" distR="114300">
            <wp:extent cx="6368415" cy="9236710"/>
            <wp:effectExtent l="0" t="0" r="13335" b="2540"/>
            <wp:docPr id="39" name="图片 39" descr="4f0146a33db85623862e07da7ab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4f0146a33db85623862e07da7ab2154"/>
                    <pic:cNvPicPr>
                      <a:picLocks noChangeAspect="1"/>
                    </pic:cNvPicPr>
                  </pic:nvPicPr>
                  <pic:blipFill>
                    <a:blip r:embed="rId142"/>
                    <a:stretch>
                      <a:fillRect/>
                    </a:stretch>
                  </pic:blipFill>
                  <pic:spPr>
                    <a:xfrm>
                      <a:off x="0" y="0"/>
                      <a:ext cx="6368415" cy="9236710"/>
                    </a:xfrm>
                    <a:prstGeom prst="rect">
                      <a:avLst/>
                    </a:prstGeom>
                  </pic:spPr>
                </pic:pic>
              </a:graphicData>
            </a:graphic>
          </wp:inline>
        </w:drawing>
      </w:r>
      <w:r>
        <w:rPr>
          <w:lang w:val="en-US"/>
        </w:rPr>
        <w:drawing>
          <wp:inline distT="0" distB="0" distL="114300" distR="114300">
            <wp:extent cx="8756650" cy="6191250"/>
            <wp:effectExtent l="0" t="0" r="0" b="6350"/>
            <wp:docPr id="33" name="图片 33" descr="184df48e4ecdbc05dfd352dd518eb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84df48e4ecdbc05dfd352dd518ebf6"/>
                    <pic:cNvPicPr>
                      <a:picLocks noChangeAspect="1"/>
                    </pic:cNvPicPr>
                  </pic:nvPicPr>
                  <pic:blipFill>
                    <a:blip r:embed="rId143"/>
                    <a:stretch>
                      <a:fillRect/>
                    </a:stretch>
                  </pic:blipFill>
                  <pic:spPr>
                    <a:xfrm rot="16200000">
                      <a:off x="0" y="0"/>
                      <a:ext cx="8756650" cy="6191250"/>
                    </a:xfrm>
                    <a:prstGeom prst="rect">
                      <a:avLst/>
                    </a:prstGeom>
                  </pic:spPr>
                </pic:pic>
              </a:graphicData>
            </a:graphic>
          </wp:inline>
        </w:drawing>
      </w:r>
      <w:r>
        <w:rPr>
          <w:lang w:val="en-US"/>
        </w:rPr>
        <w:drawing>
          <wp:inline distT="0" distB="0" distL="114300" distR="114300">
            <wp:extent cx="6330315" cy="9226550"/>
            <wp:effectExtent l="0" t="0" r="13335" b="12700"/>
            <wp:docPr id="34" name="图片 34" descr="b55d37ae3ca845aad62bd5f6620b9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b55d37ae3ca845aad62bd5f6620b92a"/>
                    <pic:cNvPicPr>
                      <a:picLocks noChangeAspect="1"/>
                    </pic:cNvPicPr>
                  </pic:nvPicPr>
                  <pic:blipFill>
                    <a:blip r:embed="rId144"/>
                    <a:stretch>
                      <a:fillRect/>
                    </a:stretch>
                  </pic:blipFill>
                  <pic:spPr>
                    <a:xfrm>
                      <a:off x="0" y="0"/>
                      <a:ext cx="6330315" cy="9226550"/>
                    </a:xfrm>
                    <a:prstGeom prst="rect">
                      <a:avLst/>
                    </a:prstGeom>
                  </pic:spPr>
                </pic:pic>
              </a:graphicData>
            </a:graphic>
          </wp:inline>
        </w:drawing>
      </w:r>
      <w:r>
        <w:rPr>
          <w:lang w:val="en-US"/>
        </w:rPr>
        <w:drawing>
          <wp:inline distT="0" distB="0" distL="114300" distR="114300">
            <wp:extent cx="6529705" cy="9239885"/>
            <wp:effectExtent l="0" t="0" r="4445" b="18415"/>
            <wp:docPr id="53" name="图片 53" descr="监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监测报告_00"/>
                    <pic:cNvPicPr>
                      <a:picLocks noChangeAspect="1"/>
                    </pic:cNvPicPr>
                  </pic:nvPicPr>
                  <pic:blipFill>
                    <a:blip r:embed="rId145"/>
                    <a:stretch>
                      <a:fillRect/>
                    </a:stretch>
                  </pic:blipFill>
                  <pic:spPr>
                    <a:xfrm>
                      <a:off x="0" y="0"/>
                      <a:ext cx="6529705" cy="9239885"/>
                    </a:xfrm>
                    <a:prstGeom prst="rect">
                      <a:avLst/>
                    </a:prstGeom>
                  </pic:spPr>
                </pic:pic>
              </a:graphicData>
            </a:graphic>
          </wp:inline>
        </w:drawing>
      </w:r>
      <w:r>
        <w:rPr>
          <w:lang w:val="en-US"/>
        </w:rPr>
        <w:drawing>
          <wp:inline distT="0" distB="0" distL="114300" distR="114300">
            <wp:extent cx="6529705" cy="9239885"/>
            <wp:effectExtent l="0" t="0" r="4445" b="18415"/>
            <wp:docPr id="52" name="图片 52" descr="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监测报告_01"/>
                    <pic:cNvPicPr>
                      <a:picLocks noChangeAspect="1"/>
                    </pic:cNvPicPr>
                  </pic:nvPicPr>
                  <pic:blipFill>
                    <a:blip r:embed="rId146"/>
                    <a:stretch>
                      <a:fillRect/>
                    </a:stretch>
                  </pic:blipFill>
                  <pic:spPr>
                    <a:xfrm>
                      <a:off x="0" y="0"/>
                      <a:ext cx="6529705" cy="9239885"/>
                    </a:xfrm>
                    <a:prstGeom prst="rect">
                      <a:avLst/>
                    </a:prstGeom>
                  </pic:spPr>
                </pic:pic>
              </a:graphicData>
            </a:graphic>
          </wp:inline>
        </w:drawing>
      </w:r>
      <w:r>
        <w:rPr>
          <w:lang w:val="en-US"/>
        </w:rPr>
        <w:drawing>
          <wp:inline distT="0" distB="0" distL="114300" distR="114300">
            <wp:extent cx="6529705" cy="9239885"/>
            <wp:effectExtent l="0" t="0" r="4445" b="18415"/>
            <wp:docPr id="51" name="图片 51" descr="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监测报告_02"/>
                    <pic:cNvPicPr>
                      <a:picLocks noChangeAspect="1"/>
                    </pic:cNvPicPr>
                  </pic:nvPicPr>
                  <pic:blipFill>
                    <a:blip r:embed="rId147"/>
                    <a:stretch>
                      <a:fillRect/>
                    </a:stretch>
                  </pic:blipFill>
                  <pic:spPr>
                    <a:xfrm>
                      <a:off x="0" y="0"/>
                      <a:ext cx="6529705" cy="9239885"/>
                    </a:xfrm>
                    <a:prstGeom prst="rect">
                      <a:avLst/>
                    </a:prstGeom>
                  </pic:spPr>
                </pic:pic>
              </a:graphicData>
            </a:graphic>
          </wp:inline>
        </w:drawing>
      </w:r>
      <w:r>
        <w:rPr>
          <w:lang w:val="en-US"/>
        </w:rPr>
        <w:drawing>
          <wp:inline distT="0" distB="0" distL="114300" distR="114300">
            <wp:extent cx="6529705" cy="9239885"/>
            <wp:effectExtent l="0" t="0" r="4445" b="18415"/>
            <wp:docPr id="40" name="图片 40" descr="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监测报告_03"/>
                    <pic:cNvPicPr>
                      <a:picLocks noChangeAspect="1"/>
                    </pic:cNvPicPr>
                  </pic:nvPicPr>
                  <pic:blipFill>
                    <a:blip r:embed="rId148"/>
                    <a:stretch>
                      <a:fillRect/>
                    </a:stretch>
                  </pic:blipFill>
                  <pic:spPr>
                    <a:xfrm>
                      <a:off x="0" y="0"/>
                      <a:ext cx="6529705" cy="9239885"/>
                    </a:xfrm>
                    <a:prstGeom prst="rect">
                      <a:avLst/>
                    </a:prstGeom>
                  </pic:spPr>
                </pic:pic>
              </a:graphicData>
            </a:graphic>
          </wp:inline>
        </w:drawing>
      </w:r>
    </w:p>
    <w:p w14:paraId="5A6AAE8F">
      <w:pPr>
        <w:pStyle w:val="4"/>
        <w:wordWrap w:val="0"/>
        <w:rPr>
          <w:rFonts w:ascii="Times New Roman" w:hAnsi="Times New Roman"/>
        </w:rPr>
      </w:pPr>
      <w:bookmarkStart w:id="43" w:name="_Toc23212"/>
      <w:bookmarkStart w:id="44" w:name="_Toc14234"/>
      <w:bookmarkStart w:id="45" w:name="_Toc22242"/>
      <w:r>
        <w:rPr>
          <w:rFonts w:hint="eastAsia" w:ascii="Times New Roman" w:hAnsi="Times New Roman"/>
        </w:rPr>
        <w:t>附件</w:t>
      </w:r>
      <w:r>
        <w:rPr>
          <w:rFonts w:hint="eastAsia" w:ascii="Times New Roman" w:hAnsi="Times New Roman"/>
          <w:lang w:val="en-US" w:eastAsia="zh-CN"/>
        </w:rPr>
        <w:t>五</w:t>
      </w:r>
      <w:r>
        <w:rPr>
          <w:rFonts w:hint="eastAsia" w:ascii="Times New Roman" w:hAnsi="Times New Roman"/>
        </w:rPr>
        <w:t>：陕西省“三线一单”生态环境管控单元对照分析报告</w:t>
      </w:r>
      <w:bookmarkEnd w:id="43"/>
      <w:bookmarkEnd w:id="44"/>
      <w:bookmarkEnd w:id="45"/>
    </w:p>
    <w:p w14:paraId="49B7855B">
      <w:pPr>
        <w:jc w:val="center"/>
      </w:pPr>
      <w:r>
        <w:rPr>
          <w:rFonts w:hint="eastAsia" w:eastAsia="宋体"/>
          <w:lang w:eastAsia="zh-CN"/>
        </w:rPr>
        <w:drawing>
          <wp:inline distT="0" distB="0" distL="114300" distR="114300">
            <wp:extent cx="5898515" cy="8341995"/>
            <wp:effectExtent l="0" t="0" r="6985" b="1905"/>
            <wp:docPr id="74" name="图片 74" descr="陕西省“三线一单”生态环境管控单元对照分析报告-超强超细钨丝新材料产品延伸加工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陕西省“三线一单”生态环境管控单元对照分析报告-超强超细钨丝新材料产品延伸加工项目_01"/>
                    <pic:cNvPicPr>
                      <a:picLocks noChangeAspect="1"/>
                    </pic:cNvPicPr>
                  </pic:nvPicPr>
                  <pic:blipFill>
                    <a:blip r:embed="rId149"/>
                    <a:stretch>
                      <a:fillRect/>
                    </a:stretch>
                  </pic:blipFill>
                  <pic:spPr>
                    <a:xfrm>
                      <a:off x="0" y="0"/>
                      <a:ext cx="5898515" cy="8341995"/>
                    </a:xfrm>
                    <a:prstGeom prst="rect">
                      <a:avLst/>
                    </a:prstGeom>
                  </pic:spPr>
                </pic:pic>
              </a:graphicData>
            </a:graphic>
          </wp:inline>
        </w:drawing>
      </w:r>
    </w:p>
    <w:p w14:paraId="2083D2FF">
      <w:pPr>
        <w:pStyle w:val="57"/>
        <w:rPr>
          <w:rFonts w:hint="eastAsia" w:eastAsia="宋体"/>
          <w:lang w:eastAsia="zh-CN"/>
        </w:rPr>
      </w:pPr>
      <w:r>
        <w:rPr>
          <w:rFonts w:hint="eastAsia" w:eastAsia="宋体"/>
          <w:lang w:eastAsia="zh-CN"/>
        </w:rPr>
        <w:drawing>
          <wp:inline distT="0" distB="0" distL="114300" distR="114300">
            <wp:extent cx="6532245" cy="9237980"/>
            <wp:effectExtent l="0" t="0" r="1905" b="1270"/>
            <wp:docPr id="73" name="图片 73" descr="陕西省“三线一单”生态环境管控单元对照分析报告-超强超细钨丝新材料产品延伸加工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陕西省“三线一单”生态环境管控单元对照分析报告-超强超细钨丝新材料产品延伸加工项目_02"/>
                    <pic:cNvPicPr>
                      <a:picLocks noChangeAspect="1"/>
                    </pic:cNvPicPr>
                  </pic:nvPicPr>
                  <pic:blipFill>
                    <a:blip r:embed="rId150"/>
                    <a:stretch>
                      <a:fillRect/>
                    </a:stretch>
                  </pic:blipFill>
                  <pic:spPr>
                    <a:xfrm>
                      <a:off x="0" y="0"/>
                      <a:ext cx="6532245" cy="9237980"/>
                    </a:xfrm>
                    <a:prstGeom prst="rect">
                      <a:avLst/>
                    </a:prstGeom>
                  </pic:spPr>
                </pic:pic>
              </a:graphicData>
            </a:graphic>
          </wp:inline>
        </w:drawing>
      </w:r>
      <w:r>
        <w:rPr>
          <w:rFonts w:hint="eastAsia" w:eastAsia="宋体"/>
          <w:lang w:eastAsia="zh-CN"/>
        </w:rPr>
        <w:drawing>
          <wp:inline distT="0" distB="0" distL="114300" distR="114300">
            <wp:extent cx="6532245" cy="9237980"/>
            <wp:effectExtent l="0" t="0" r="1905" b="1270"/>
            <wp:docPr id="72" name="图片 72" descr="陕西省“三线一单”生态环境管控单元对照分析报告-超强超细钨丝新材料产品延伸加工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陕西省“三线一单”生态环境管控单元对照分析报告-超强超细钨丝新材料产品延伸加工项目_03"/>
                    <pic:cNvPicPr>
                      <a:picLocks noChangeAspect="1"/>
                    </pic:cNvPicPr>
                  </pic:nvPicPr>
                  <pic:blipFill>
                    <a:blip r:embed="rId151"/>
                    <a:stretch>
                      <a:fillRect/>
                    </a:stretch>
                  </pic:blipFill>
                  <pic:spPr>
                    <a:xfrm>
                      <a:off x="0" y="0"/>
                      <a:ext cx="6532245" cy="9237980"/>
                    </a:xfrm>
                    <a:prstGeom prst="rect">
                      <a:avLst/>
                    </a:prstGeom>
                  </pic:spPr>
                </pic:pic>
              </a:graphicData>
            </a:graphic>
          </wp:inline>
        </w:drawing>
      </w:r>
      <w:r>
        <w:rPr>
          <w:rFonts w:hint="eastAsia" w:eastAsia="宋体"/>
          <w:lang w:eastAsia="zh-CN"/>
        </w:rPr>
        <w:drawing>
          <wp:inline distT="0" distB="0" distL="114300" distR="114300">
            <wp:extent cx="6532245" cy="9237980"/>
            <wp:effectExtent l="0" t="0" r="1905" b="1270"/>
            <wp:docPr id="71" name="图片 71" descr="陕西省“三线一单”生态环境管控单元对照分析报告-超强超细钨丝新材料产品延伸加工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陕西省“三线一单”生态环境管控单元对照分析报告-超强超细钨丝新材料产品延伸加工项目_04"/>
                    <pic:cNvPicPr>
                      <a:picLocks noChangeAspect="1"/>
                    </pic:cNvPicPr>
                  </pic:nvPicPr>
                  <pic:blipFill>
                    <a:blip r:embed="rId152"/>
                    <a:stretch>
                      <a:fillRect/>
                    </a:stretch>
                  </pic:blipFill>
                  <pic:spPr>
                    <a:xfrm>
                      <a:off x="0" y="0"/>
                      <a:ext cx="6532245" cy="9237980"/>
                    </a:xfrm>
                    <a:prstGeom prst="rect">
                      <a:avLst/>
                    </a:prstGeom>
                  </pic:spPr>
                </pic:pic>
              </a:graphicData>
            </a:graphic>
          </wp:inline>
        </w:drawing>
      </w:r>
      <w:r>
        <w:rPr>
          <w:rFonts w:hint="eastAsia" w:eastAsia="宋体"/>
          <w:lang w:eastAsia="zh-CN"/>
        </w:rPr>
        <w:drawing>
          <wp:inline distT="0" distB="0" distL="114300" distR="114300">
            <wp:extent cx="6532245" cy="9237980"/>
            <wp:effectExtent l="0" t="0" r="1905" b="1270"/>
            <wp:docPr id="70" name="图片 70" descr="陕西省“三线一单”生态环境管控单元对照分析报告-超强超细钨丝新材料产品延伸加工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陕西省“三线一单”生态环境管控单元对照分析报告-超强超细钨丝新材料产品延伸加工项目_05"/>
                    <pic:cNvPicPr>
                      <a:picLocks noChangeAspect="1"/>
                    </pic:cNvPicPr>
                  </pic:nvPicPr>
                  <pic:blipFill>
                    <a:blip r:embed="rId153"/>
                    <a:stretch>
                      <a:fillRect/>
                    </a:stretch>
                  </pic:blipFill>
                  <pic:spPr>
                    <a:xfrm>
                      <a:off x="0" y="0"/>
                      <a:ext cx="6532245" cy="9237980"/>
                    </a:xfrm>
                    <a:prstGeom prst="rect">
                      <a:avLst/>
                    </a:prstGeom>
                  </pic:spPr>
                </pic:pic>
              </a:graphicData>
            </a:graphic>
          </wp:inline>
        </w:drawing>
      </w:r>
      <w:r>
        <w:rPr>
          <w:rFonts w:hint="eastAsia" w:eastAsia="宋体"/>
          <w:lang w:eastAsia="zh-CN"/>
        </w:rPr>
        <w:drawing>
          <wp:inline distT="0" distB="0" distL="114300" distR="114300">
            <wp:extent cx="6532245" cy="9237980"/>
            <wp:effectExtent l="0" t="0" r="1905" b="1270"/>
            <wp:docPr id="69" name="图片 69" descr="陕西省“三线一单”生态环境管控单元对照分析报告-超强超细钨丝新材料产品延伸加工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陕西省“三线一单”生态环境管控单元对照分析报告-超强超细钨丝新材料产品延伸加工项目_06"/>
                    <pic:cNvPicPr>
                      <a:picLocks noChangeAspect="1"/>
                    </pic:cNvPicPr>
                  </pic:nvPicPr>
                  <pic:blipFill>
                    <a:blip r:embed="rId154"/>
                    <a:stretch>
                      <a:fillRect/>
                    </a:stretch>
                  </pic:blipFill>
                  <pic:spPr>
                    <a:xfrm>
                      <a:off x="0" y="0"/>
                      <a:ext cx="6532245" cy="9237980"/>
                    </a:xfrm>
                    <a:prstGeom prst="rect">
                      <a:avLst/>
                    </a:prstGeom>
                  </pic:spPr>
                </pic:pic>
              </a:graphicData>
            </a:graphic>
          </wp:inline>
        </w:drawing>
      </w:r>
      <w:r>
        <w:rPr>
          <w:rFonts w:hint="eastAsia" w:eastAsia="宋体"/>
          <w:lang w:eastAsia="zh-CN"/>
        </w:rPr>
        <w:drawing>
          <wp:inline distT="0" distB="0" distL="114300" distR="114300">
            <wp:extent cx="6532245" cy="9237980"/>
            <wp:effectExtent l="0" t="0" r="1905" b="1270"/>
            <wp:docPr id="68" name="图片 68" descr="陕西省“三线一单”生态环境管控单元对照分析报告-超强超细钨丝新材料产品延伸加工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陕西省“三线一单”生态环境管控单元对照分析报告-超强超细钨丝新材料产品延伸加工项目_07"/>
                    <pic:cNvPicPr>
                      <a:picLocks noChangeAspect="1"/>
                    </pic:cNvPicPr>
                  </pic:nvPicPr>
                  <pic:blipFill>
                    <a:blip r:embed="rId155"/>
                    <a:stretch>
                      <a:fillRect/>
                    </a:stretch>
                  </pic:blipFill>
                  <pic:spPr>
                    <a:xfrm>
                      <a:off x="0" y="0"/>
                      <a:ext cx="6532245" cy="9237980"/>
                    </a:xfrm>
                    <a:prstGeom prst="rect">
                      <a:avLst/>
                    </a:prstGeom>
                  </pic:spPr>
                </pic:pic>
              </a:graphicData>
            </a:graphic>
          </wp:inline>
        </w:drawing>
      </w:r>
      <w:r>
        <w:rPr>
          <w:rFonts w:hint="eastAsia" w:eastAsia="宋体"/>
          <w:lang w:eastAsia="zh-CN"/>
        </w:rPr>
        <w:drawing>
          <wp:inline distT="0" distB="0" distL="114300" distR="114300">
            <wp:extent cx="6532245" cy="9237980"/>
            <wp:effectExtent l="0" t="0" r="1905" b="1270"/>
            <wp:docPr id="66" name="图片 66" descr="陕西省“三线一单”生态环境管控单元对照分析报告-超强超细钨丝新材料产品延伸加工项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陕西省“三线一单”生态环境管控单元对照分析报告-超强超细钨丝新材料产品延伸加工项目_08"/>
                    <pic:cNvPicPr>
                      <a:picLocks noChangeAspect="1"/>
                    </pic:cNvPicPr>
                  </pic:nvPicPr>
                  <pic:blipFill>
                    <a:blip r:embed="rId156"/>
                    <a:stretch>
                      <a:fillRect/>
                    </a:stretch>
                  </pic:blipFill>
                  <pic:spPr>
                    <a:xfrm>
                      <a:off x="0" y="0"/>
                      <a:ext cx="6532245" cy="9237980"/>
                    </a:xfrm>
                    <a:prstGeom prst="rect">
                      <a:avLst/>
                    </a:prstGeom>
                  </pic:spPr>
                </pic:pic>
              </a:graphicData>
            </a:graphic>
          </wp:inline>
        </w:drawing>
      </w:r>
      <w:r>
        <w:rPr>
          <w:rFonts w:hint="eastAsia" w:eastAsia="宋体"/>
          <w:lang w:eastAsia="zh-CN"/>
        </w:rPr>
        <w:drawing>
          <wp:inline distT="0" distB="0" distL="114300" distR="114300">
            <wp:extent cx="6532245" cy="9237980"/>
            <wp:effectExtent l="0" t="0" r="1905" b="1270"/>
            <wp:docPr id="63" name="图片 63" descr="陕西省“三线一单”生态环境管控单元对照分析报告-超强超细钨丝新材料产品延伸加工项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陕西省“三线一单”生态环境管控单元对照分析报告-超强超细钨丝新材料产品延伸加工项目_09"/>
                    <pic:cNvPicPr>
                      <a:picLocks noChangeAspect="1"/>
                    </pic:cNvPicPr>
                  </pic:nvPicPr>
                  <pic:blipFill>
                    <a:blip r:embed="rId157"/>
                    <a:stretch>
                      <a:fillRect/>
                    </a:stretch>
                  </pic:blipFill>
                  <pic:spPr>
                    <a:xfrm>
                      <a:off x="0" y="0"/>
                      <a:ext cx="6532245" cy="9237980"/>
                    </a:xfrm>
                    <a:prstGeom prst="rect">
                      <a:avLst/>
                    </a:prstGeom>
                  </pic:spPr>
                </pic:pic>
              </a:graphicData>
            </a:graphic>
          </wp:inline>
        </w:drawing>
      </w:r>
    </w:p>
    <w:p w14:paraId="7C42396E">
      <w:pPr>
        <w:pStyle w:val="4"/>
        <w:bidi w:val="0"/>
      </w:pPr>
      <w:r>
        <w:rPr>
          <w:rFonts w:hint="eastAsia"/>
        </w:rPr>
        <w:t>附件</w:t>
      </w:r>
      <w:r>
        <w:rPr>
          <w:rFonts w:hint="eastAsia"/>
          <w:lang w:val="en-US" w:eastAsia="zh-CN"/>
        </w:rPr>
        <w:t>六</w:t>
      </w:r>
      <w:r>
        <w:rPr>
          <w:rFonts w:hint="eastAsia"/>
        </w:rPr>
        <w:t>：蒸发干化混合物回收协议</w:t>
      </w:r>
    </w:p>
    <w:p w14:paraId="13A22507">
      <w:pPr>
        <w:pStyle w:val="57"/>
        <w:rPr>
          <w:lang w:val="en-US"/>
        </w:rPr>
      </w:pPr>
      <w:r>
        <w:drawing>
          <wp:inline distT="0" distB="0" distL="114300" distR="114300">
            <wp:extent cx="6105525" cy="8635365"/>
            <wp:effectExtent l="0" t="0" r="9525" b="13335"/>
            <wp:docPr id="1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0"/>
                    <pic:cNvPicPr>
                      <a:picLocks noChangeAspect="1"/>
                    </pic:cNvPicPr>
                  </pic:nvPicPr>
                  <pic:blipFill>
                    <a:blip r:embed="rId158"/>
                    <a:stretch>
                      <a:fillRect/>
                    </a:stretch>
                  </pic:blipFill>
                  <pic:spPr>
                    <a:xfrm>
                      <a:off x="0" y="0"/>
                      <a:ext cx="6105525" cy="8635365"/>
                    </a:xfrm>
                    <a:prstGeom prst="rect">
                      <a:avLst/>
                    </a:prstGeom>
                    <a:noFill/>
                    <a:ln>
                      <a:noFill/>
                    </a:ln>
                  </pic:spPr>
                </pic:pic>
              </a:graphicData>
            </a:graphic>
          </wp:inline>
        </w:drawing>
      </w:r>
    </w:p>
    <w:p w14:paraId="4E733EF4">
      <w:pPr>
        <w:pStyle w:val="57"/>
        <w:rPr>
          <w:lang w:val="en-US"/>
        </w:rPr>
        <w:sectPr>
          <w:footerReference r:id="rId9" w:type="default"/>
          <w:pgSz w:w="11906" w:h="16838"/>
          <w:pgMar w:top="720" w:right="720" w:bottom="720" w:left="720" w:header="851" w:footer="992" w:gutter="0"/>
          <w:cols w:space="425" w:num="1"/>
          <w:docGrid w:type="lines" w:linePitch="312" w:charSpace="0"/>
        </w:sectPr>
      </w:pPr>
      <w:r>
        <w:drawing>
          <wp:inline distT="0" distB="0" distL="114300" distR="114300">
            <wp:extent cx="6294755" cy="8903335"/>
            <wp:effectExtent l="0" t="0" r="10795" b="12065"/>
            <wp:docPr id="2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1"/>
                    <pic:cNvPicPr>
                      <a:picLocks noChangeAspect="1"/>
                    </pic:cNvPicPr>
                  </pic:nvPicPr>
                  <pic:blipFill>
                    <a:blip r:embed="rId159"/>
                    <a:stretch>
                      <a:fillRect/>
                    </a:stretch>
                  </pic:blipFill>
                  <pic:spPr>
                    <a:xfrm>
                      <a:off x="0" y="0"/>
                      <a:ext cx="6294755" cy="8903335"/>
                    </a:xfrm>
                    <a:prstGeom prst="rect">
                      <a:avLst/>
                    </a:prstGeom>
                    <a:noFill/>
                    <a:ln>
                      <a:noFill/>
                    </a:ln>
                  </pic:spPr>
                </pic:pic>
              </a:graphicData>
            </a:graphic>
          </wp:inline>
        </w:drawing>
      </w:r>
      <w:r>
        <w:drawing>
          <wp:inline distT="0" distB="0" distL="114300" distR="114300">
            <wp:extent cx="6637655" cy="9386570"/>
            <wp:effectExtent l="0" t="0" r="10795" b="5080"/>
            <wp:docPr id="2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2"/>
                    <pic:cNvPicPr>
                      <a:picLocks noChangeAspect="1"/>
                    </pic:cNvPicPr>
                  </pic:nvPicPr>
                  <pic:blipFill>
                    <a:blip r:embed="rId160"/>
                    <a:stretch>
                      <a:fillRect/>
                    </a:stretch>
                  </pic:blipFill>
                  <pic:spPr>
                    <a:xfrm>
                      <a:off x="0" y="0"/>
                      <a:ext cx="6637655" cy="9386570"/>
                    </a:xfrm>
                    <a:prstGeom prst="rect">
                      <a:avLst/>
                    </a:prstGeom>
                    <a:noFill/>
                    <a:ln>
                      <a:noFill/>
                    </a:ln>
                  </pic:spPr>
                </pic:pic>
              </a:graphicData>
            </a:graphic>
          </wp:inline>
        </w:drawing>
      </w:r>
      <w:r>
        <w:drawing>
          <wp:inline distT="0" distB="0" distL="114300" distR="114300">
            <wp:extent cx="6299200" cy="9019540"/>
            <wp:effectExtent l="0" t="0" r="6350" b="10160"/>
            <wp:docPr id="2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3"/>
                    <pic:cNvPicPr>
                      <a:picLocks noChangeAspect="1"/>
                    </pic:cNvPicPr>
                  </pic:nvPicPr>
                  <pic:blipFill>
                    <a:blip r:embed="rId161"/>
                    <a:stretch>
                      <a:fillRect/>
                    </a:stretch>
                  </pic:blipFill>
                  <pic:spPr>
                    <a:xfrm>
                      <a:off x="0" y="0"/>
                      <a:ext cx="6299200" cy="9019540"/>
                    </a:xfrm>
                    <a:prstGeom prst="rect">
                      <a:avLst/>
                    </a:prstGeom>
                    <a:noFill/>
                    <a:ln>
                      <a:noFill/>
                    </a:ln>
                  </pic:spPr>
                </pic:pic>
              </a:graphicData>
            </a:graphic>
          </wp:inline>
        </w:drawing>
      </w:r>
    </w:p>
    <w:p w14:paraId="3643066F">
      <w:pPr>
        <w:pStyle w:val="57"/>
      </w:pPr>
      <w:r>
        <w:rPr>
          <w:szCs w:val="24"/>
        </w:rPr>
        <w:drawing>
          <wp:anchor distT="0" distB="0" distL="114300" distR="114300" simplePos="0" relativeHeight="251660288" behindDoc="0" locked="0" layoutInCell="1" allowOverlap="1">
            <wp:simplePos x="0" y="0"/>
            <wp:positionH relativeFrom="column">
              <wp:posOffset>5607685</wp:posOffset>
            </wp:positionH>
            <wp:positionV relativeFrom="paragraph">
              <wp:posOffset>94615</wp:posOffset>
            </wp:positionV>
            <wp:extent cx="929005" cy="929005"/>
            <wp:effectExtent l="0" t="0" r="4445" b="4445"/>
            <wp:wrapNone/>
            <wp:docPr id="37" name="图片 42" descr="蟠龙镇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2" descr="蟠龙镇风玫瑰"/>
                    <pic:cNvPicPr>
                      <a:picLocks noChangeAspect="1"/>
                    </pic:cNvPicPr>
                  </pic:nvPicPr>
                  <pic:blipFill>
                    <a:blip r:embed="rId162"/>
                    <a:stretch>
                      <a:fillRect/>
                    </a:stretch>
                  </pic:blipFill>
                  <pic:spPr>
                    <a:xfrm>
                      <a:off x="0" y="0"/>
                      <a:ext cx="929005" cy="929005"/>
                    </a:xfrm>
                    <a:prstGeom prst="rect">
                      <a:avLst/>
                    </a:prstGeom>
                    <a:noFill/>
                    <a:ln>
                      <a:noFill/>
                    </a:ln>
                  </pic:spPr>
                </pic:pic>
              </a:graphicData>
            </a:graphic>
          </wp:anchor>
        </w:drawing>
      </w:r>
      <w:r>
        <w:rPr>
          <w:sz w:val="24"/>
        </w:rPr>
        <mc:AlternateContent>
          <mc:Choice Requires="wps">
            <w:drawing>
              <wp:anchor distT="0" distB="0" distL="114300" distR="114300" simplePos="0" relativeHeight="251664384" behindDoc="0" locked="0" layoutInCell="1" allowOverlap="1">
                <wp:simplePos x="0" y="0"/>
                <wp:positionH relativeFrom="column">
                  <wp:posOffset>2434590</wp:posOffset>
                </wp:positionH>
                <wp:positionV relativeFrom="paragraph">
                  <wp:posOffset>5467985</wp:posOffset>
                </wp:positionV>
                <wp:extent cx="892810" cy="345440"/>
                <wp:effectExtent l="111760" t="4445" r="5080" b="488315"/>
                <wp:wrapNone/>
                <wp:docPr id="65" name="矩形标注 65"/>
                <wp:cNvGraphicFramePr/>
                <a:graphic xmlns:a="http://schemas.openxmlformats.org/drawingml/2006/main">
                  <a:graphicData uri="http://schemas.microsoft.com/office/word/2010/wordprocessingShape">
                    <wps:wsp>
                      <wps:cNvSpPr/>
                      <wps:spPr>
                        <a:xfrm>
                          <a:off x="0" y="0"/>
                          <a:ext cx="892810" cy="345440"/>
                        </a:xfrm>
                        <a:prstGeom prst="wedgeRectCallout">
                          <a:avLst>
                            <a:gd name="adj1" fmla="val -60449"/>
                            <a:gd name="adj2" fmla="val 181986"/>
                          </a:avLst>
                        </a:prstGeom>
                        <a:solidFill>
                          <a:srgbClr val="FFFFFF"/>
                        </a:solidFill>
                        <a:ln w="9525" cap="flat" cmpd="sng">
                          <a:solidFill>
                            <a:srgbClr val="000000"/>
                          </a:solidFill>
                          <a:prstDash val="solid"/>
                          <a:miter/>
                          <a:headEnd type="none" w="med" len="med"/>
                          <a:tailEnd type="none" w="med" len="med"/>
                        </a:ln>
                      </wps:spPr>
                      <wps:txbx>
                        <w:txbxContent>
                          <w:p w14:paraId="189E2DA4">
                            <w:pPr>
                              <w:pStyle w:val="113"/>
                              <w:rPr>
                                <w:rFonts w:hint="default"/>
                                <w:b/>
                                <w:bCs/>
                              </w:rPr>
                            </w:pPr>
                            <w:r>
                              <w:rPr>
                                <w:b/>
                                <w:bCs/>
                              </w:rPr>
                              <w:t>项目所在地</w:t>
                            </w:r>
                          </w:p>
                        </w:txbxContent>
                      </wps:txbx>
                      <wps:bodyPr upright="1"/>
                    </wps:wsp>
                  </a:graphicData>
                </a:graphic>
              </wp:anchor>
            </w:drawing>
          </mc:Choice>
          <mc:Fallback>
            <w:pict>
              <v:shape id="_x0000_s1026" o:spid="_x0000_s1026" o:spt="61" type="#_x0000_t61" style="position:absolute;left:0pt;margin-left:191.7pt;margin-top:430.55pt;height:27.2pt;width:70.3pt;z-index:251664384;mso-width-relative:page;mso-height-relative:page;" fillcolor="#FFFFFF" filled="t" stroked="t" coordsize="21600,21600" o:gfxdata="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C3nDh2gAAAAsBAAAPAAAAAAAAAAEAIAAAACIAAABkcnMv&#10;ZG93bnJldi54bWxQSwECFAAUAAAACACHTuJAUPWmFjoCAACPBAAADgAAAAAAAAABACAAAAApAQAA&#10;ZHJzL2Uyb0RvYy54bWxQSwUGAAAAAAYABgBZAQAA1QUAAAAA&#10;" adj="-2257,50109">
                <v:fill on="t" focussize="0,0"/>
                <v:stroke color="#000000" joinstyle="miter"/>
                <v:imagedata o:title=""/>
                <o:lock v:ext="edit" aspectratio="f"/>
                <v:textbox>
                  <w:txbxContent>
                    <w:p w14:paraId="189E2DA4">
                      <w:pPr>
                        <w:pStyle w:val="113"/>
                        <w:rPr>
                          <w:rFonts w:hint="default"/>
                          <w:b/>
                          <w:bCs/>
                        </w:rPr>
                      </w:pPr>
                      <w:r>
                        <w:rPr>
                          <w:b/>
                          <w:bCs/>
                        </w:rPr>
                        <w:t>项目所在地</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2242820</wp:posOffset>
                </wp:positionH>
                <wp:positionV relativeFrom="paragraph">
                  <wp:posOffset>6300470</wp:posOffset>
                </wp:positionV>
                <wp:extent cx="77470" cy="75565"/>
                <wp:effectExtent l="14605" t="15875" r="22225" b="22860"/>
                <wp:wrapNone/>
                <wp:docPr id="64" name="五角星 64"/>
                <wp:cNvGraphicFramePr/>
                <a:graphic xmlns:a="http://schemas.openxmlformats.org/drawingml/2006/main">
                  <a:graphicData uri="http://schemas.microsoft.com/office/word/2010/wordprocessingShape">
                    <wps:wsp>
                      <wps:cNvSpPr/>
                      <wps:spPr>
                        <a:xfrm>
                          <a:off x="0" y="0"/>
                          <a:ext cx="77470" cy="7556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76.6pt;margin-top:496.1pt;height:5.95pt;width:6.1pt;z-index:251663360;mso-width-relative:page;mso-height-relative:page;" fillcolor="#FF0000" filled="t" stroked="t" coordsize="77470,75565" o:gfxdata="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knJJ13AAAAAwBAAAPAAAAAAAAAAEAIAAAACIAAABkcnMv&#10;ZG93bnJldi54bWxQSwECFAAUAAAACACHTuJAl8EH6/8BAAAhBAAADgAAAAAAAAABACAAAAArAQAA&#10;ZHJzL2Uyb0RvYy54bWxQSwUGAAAAAAYABgBZAQAAnAUAAAAA&#10;" path="m0,28863l29591,28863,38735,0,47878,28863,77469,28863,53530,46701,62674,75564,38735,57726,14795,75564,23939,46701xe">
                <v:path o:connectlocs="38735,0;0,28863;14795,75564;62674,75564;77469,28863" o:connectangles="247,164,82,82,0"/>
                <v:fill on="t" focussize="0,0"/>
                <v:stroke color="#FF0000" joinstyle="miter"/>
                <v:imagedata o:title=""/>
                <o:lock v:ext="edit" aspectratio="f"/>
              </v:shape>
            </w:pict>
          </mc:Fallback>
        </mc:AlternateContent>
      </w:r>
      <w:r>
        <w:drawing>
          <wp:inline distT="0" distB="0" distL="114300" distR="114300">
            <wp:extent cx="6513830" cy="8585200"/>
            <wp:effectExtent l="0" t="0" r="1270" b="6350"/>
            <wp:docPr id="7" name="图片 52" descr="岐山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2" descr="岐山县"/>
                    <pic:cNvPicPr>
                      <a:picLocks noChangeAspect="1"/>
                    </pic:cNvPicPr>
                  </pic:nvPicPr>
                  <pic:blipFill>
                    <a:blip r:embed="rId163"/>
                    <a:stretch>
                      <a:fillRect/>
                    </a:stretch>
                  </pic:blipFill>
                  <pic:spPr>
                    <a:xfrm>
                      <a:off x="0" y="0"/>
                      <a:ext cx="6513830" cy="8585200"/>
                    </a:xfrm>
                    <a:prstGeom prst="rect">
                      <a:avLst/>
                    </a:prstGeom>
                    <a:noFill/>
                    <a:ln>
                      <a:noFill/>
                    </a:ln>
                  </pic:spPr>
                </pic:pic>
              </a:graphicData>
            </a:graphic>
          </wp:inline>
        </w:drawing>
      </w:r>
    </w:p>
    <w:p w14:paraId="445AAA77">
      <w:pPr>
        <w:pStyle w:val="4"/>
        <w:pageBreakBefore w:val="0"/>
        <w:wordWrap w:val="0"/>
        <w:jc w:val="center"/>
        <w:rPr>
          <w:rFonts w:ascii="Times New Roman" w:hAnsi="Times New Roman"/>
        </w:rPr>
      </w:pPr>
      <w:bookmarkStart w:id="46" w:name="_Toc9050"/>
      <w:r>
        <w:rPr>
          <w:rFonts w:hint="eastAsia" w:ascii="Times New Roman" w:hAnsi="Times New Roman"/>
        </w:rPr>
        <w:t>附图一：项目地理位置图</w:t>
      </w:r>
      <w:bookmarkEnd w:id="46"/>
    </w:p>
    <w:p w14:paraId="654A5E69">
      <w:pPr>
        <w:pStyle w:val="57"/>
        <w:rPr>
          <w:lang w:val="en-US"/>
        </w:rPr>
        <w:sectPr>
          <w:footerReference r:id="rId10" w:type="default"/>
          <w:pgSz w:w="11906" w:h="16838"/>
          <w:pgMar w:top="720" w:right="720" w:bottom="720" w:left="720" w:header="851" w:footer="992" w:gutter="0"/>
          <w:cols w:space="425" w:num="1"/>
          <w:docGrid w:type="lines" w:linePitch="312" w:charSpace="0"/>
        </w:sectPr>
      </w:pPr>
    </w:p>
    <w:p w14:paraId="7114D169">
      <w:pPr>
        <w:pStyle w:val="57"/>
      </w:pPr>
      <w:r>
        <mc:AlternateContent>
          <mc:Choice Requires="wps">
            <w:drawing>
              <wp:anchor distT="0" distB="0" distL="114300" distR="114300" simplePos="0" relativeHeight="251665408" behindDoc="0" locked="0" layoutInCell="1" allowOverlap="1">
                <wp:simplePos x="0" y="0"/>
                <wp:positionH relativeFrom="column">
                  <wp:posOffset>36195</wp:posOffset>
                </wp:positionH>
                <wp:positionV relativeFrom="paragraph">
                  <wp:posOffset>2752725</wp:posOffset>
                </wp:positionV>
                <wp:extent cx="3856990" cy="2592070"/>
                <wp:effectExtent l="12700" t="918845" r="16510" b="13335"/>
                <wp:wrapNone/>
                <wp:docPr id="101" name="线形标注 1 101"/>
                <wp:cNvGraphicFramePr/>
                <a:graphic xmlns:a="http://schemas.openxmlformats.org/drawingml/2006/main">
                  <a:graphicData uri="http://schemas.microsoft.com/office/word/2010/wordprocessingShape">
                    <wps:wsp>
                      <wps:cNvSpPr/>
                      <wps:spPr>
                        <a:xfrm>
                          <a:off x="4970145" y="2084070"/>
                          <a:ext cx="3856990" cy="2592070"/>
                        </a:xfrm>
                        <a:prstGeom prst="borderCallout1">
                          <a:avLst>
                            <a:gd name="adj1" fmla="val -734"/>
                            <a:gd name="adj2" fmla="val 49455"/>
                            <a:gd name="adj3" fmla="val -35276"/>
                            <a:gd name="adj4" fmla="val 57639"/>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ECA680B">
                            <w:pPr>
                              <w:jc w:val="center"/>
                            </w:pPr>
                            <w:r>
                              <w:drawing>
                                <wp:inline distT="0" distB="0" distL="114300" distR="114300">
                                  <wp:extent cx="3545840" cy="2522220"/>
                                  <wp:effectExtent l="0" t="0" r="16510" b="11430"/>
                                  <wp:docPr id="1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8"/>
                                          <pic:cNvPicPr>
                                            <a:picLocks noChangeAspect="1"/>
                                          </pic:cNvPicPr>
                                        </pic:nvPicPr>
                                        <pic:blipFill>
                                          <a:blip r:embed="rId164"/>
                                          <a:stretch>
                                            <a:fillRect/>
                                          </a:stretch>
                                        </pic:blipFill>
                                        <pic:spPr>
                                          <a:xfrm>
                                            <a:off x="0" y="0"/>
                                            <a:ext cx="3545840" cy="25222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2.85pt;margin-top:216.75pt;height:204.1pt;width:303.7pt;z-index:251665408;v-text-anchor:middle;mso-width-relative:page;mso-height-relative:page;" fillcolor="#FFFFFF [3212]" filled="t" stroked="t" coordsize="21600,21600" o:gfxdata="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WgF6aNUAAAAJAQAADwAAAAAA&#10;AAABACAAAAAiAAAAZHJzL2Rvd25yZXYueG1sUEsBAhQAFAAAAAgAh07iQDHb0VfBAgAApAUAAA4A&#10;AAAAAAAAAQAgAAAAJAEAAGRycy9lMm9Eb2MueG1sUEsFBgAAAAAGAAYAWQEAAFcGAAAAAA==&#10;" adj="12450,-7620,10682,-159">
                <v:fill on="t" focussize="0,0"/>
                <v:stroke weight="2pt" color="#FF0000 [2404]" joinstyle="round"/>
                <v:imagedata o:title=""/>
                <o:lock v:ext="edit" aspectratio="f"/>
                <v:textbox>
                  <w:txbxContent>
                    <w:p w14:paraId="2ECA680B">
                      <w:pPr>
                        <w:jc w:val="center"/>
                      </w:pPr>
                      <w:r>
                        <w:drawing>
                          <wp:inline distT="0" distB="0" distL="114300" distR="114300">
                            <wp:extent cx="3545840" cy="2522220"/>
                            <wp:effectExtent l="0" t="0" r="16510" b="11430"/>
                            <wp:docPr id="1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8"/>
                                    <pic:cNvPicPr>
                                      <a:picLocks noChangeAspect="1"/>
                                    </pic:cNvPicPr>
                                  </pic:nvPicPr>
                                  <pic:blipFill>
                                    <a:blip r:embed="rId164"/>
                                    <a:stretch>
                                      <a:fillRect/>
                                    </a:stretch>
                                  </pic:blipFill>
                                  <pic:spPr>
                                    <a:xfrm>
                                      <a:off x="0" y="0"/>
                                      <a:ext cx="3545840" cy="2522220"/>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7698740</wp:posOffset>
                </wp:positionH>
                <wp:positionV relativeFrom="paragraph">
                  <wp:posOffset>2774950</wp:posOffset>
                </wp:positionV>
                <wp:extent cx="161925" cy="1123950"/>
                <wp:effectExtent l="12700" t="1905" r="15875" b="17145"/>
                <wp:wrapNone/>
                <wp:docPr id="106" name="直接连接符 106"/>
                <wp:cNvGraphicFramePr/>
                <a:graphic xmlns:a="http://schemas.openxmlformats.org/drawingml/2006/main">
                  <a:graphicData uri="http://schemas.microsoft.com/office/word/2010/wordprocessingShape">
                    <wps:wsp>
                      <wps:cNvCnPr/>
                      <wps:spPr>
                        <a:xfrm>
                          <a:off x="8155940" y="3459480"/>
                          <a:ext cx="161925" cy="112395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06.2pt;margin-top:218.5pt;height:88.5pt;width:12.75pt;z-index:251667456;mso-width-relative:page;mso-height-relative:page;" filled="f" stroked="t" coordsize="21600,21600" o:gfxdata="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ORxtevaAAAADQEAAA8AAAAAAAAAAQAgAAAAIgAAAGRycy9kb3ducmV2LnhtbFBLAQIUABQA&#10;AAAIAIdO4kCDBsAG7gEAALADAAAOAAAAAAAAAAEAIAAAACkBAABkcnMvZTJvRG9jLnhtbFBLBQYA&#10;AAAABgAGAFkBAACJBQAAAAA=&#10;">
                <v:fill on="f" focussize="0,0"/>
                <v:stroke weight="2pt" color="#FF0000 [3204]" joinstyle="round"/>
                <v:imagedata o:title=""/>
                <o:lock v:ext="edit" aspectratio="f"/>
              </v:line>
            </w:pict>
          </mc:Fallback>
        </mc:AlternateContent>
      </w:r>
      <w:r>
        <w:rPr>
          <w:szCs w:val="24"/>
        </w:rPr>
        <w:drawing>
          <wp:anchor distT="0" distB="0" distL="114300" distR="114300" simplePos="0" relativeHeight="251662336" behindDoc="0" locked="0" layoutInCell="1" allowOverlap="1">
            <wp:simplePos x="0" y="0"/>
            <wp:positionH relativeFrom="column">
              <wp:posOffset>9245600</wp:posOffset>
            </wp:positionH>
            <wp:positionV relativeFrom="paragraph">
              <wp:posOffset>109220</wp:posOffset>
            </wp:positionV>
            <wp:extent cx="709930" cy="709930"/>
            <wp:effectExtent l="0" t="0" r="13970" b="13970"/>
            <wp:wrapNone/>
            <wp:docPr id="128" name="图片 42" descr="蟠龙镇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2" descr="蟠龙镇风玫瑰"/>
                    <pic:cNvPicPr>
                      <a:picLocks noChangeAspect="1"/>
                    </pic:cNvPicPr>
                  </pic:nvPicPr>
                  <pic:blipFill>
                    <a:blip r:embed="rId165"/>
                    <a:stretch>
                      <a:fillRect/>
                    </a:stretch>
                  </pic:blipFill>
                  <pic:spPr>
                    <a:xfrm>
                      <a:off x="0" y="0"/>
                      <a:ext cx="709930" cy="709930"/>
                    </a:xfrm>
                    <a:prstGeom prst="rect">
                      <a:avLst/>
                    </a:prstGeom>
                    <a:noFill/>
                    <a:ln>
                      <a:noFill/>
                    </a:ln>
                  </pic:spPr>
                </pic:pic>
              </a:graphicData>
            </a:graphic>
          </wp:anchor>
        </w:drawing>
      </w:r>
      <w:r>
        <mc:AlternateContent>
          <mc:Choice Requires="wps">
            <w:drawing>
              <wp:anchor distT="0" distB="0" distL="114300" distR="114300" simplePos="0" relativeHeight="251666432" behindDoc="0" locked="0" layoutInCell="1" allowOverlap="1">
                <wp:simplePos x="0" y="0"/>
                <wp:positionH relativeFrom="column">
                  <wp:posOffset>4170045</wp:posOffset>
                </wp:positionH>
                <wp:positionV relativeFrom="paragraph">
                  <wp:posOffset>114300</wp:posOffset>
                </wp:positionV>
                <wp:extent cx="4447540" cy="2592070"/>
                <wp:effectExtent l="12700" t="12700" r="16510" b="443230"/>
                <wp:wrapNone/>
                <wp:docPr id="104" name="线形标注 1 104"/>
                <wp:cNvGraphicFramePr/>
                <a:graphic xmlns:a="http://schemas.openxmlformats.org/drawingml/2006/main">
                  <a:graphicData uri="http://schemas.microsoft.com/office/word/2010/wordprocessingShape">
                    <wps:wsp>
                      <wps:cNvSpPr/>
                      <wps:spPr>
                        <a:xfrm>
                          <a:off x="0" y="0"/>
                          <a:ext cx="4447540" cy="2592070"/>
                        </a:xfrm>
                        <a:prstGeom prst="borderCallout1">
                          <a:avLst>
                            <a:gd name="adj1" fmla="val 101420"/>
                            <a:gd name="adj2" fmla="val 79511"/>
                            <a:gd name="adj3" fmla="val 116119"/>
                            <a:gd name="adj4" fmla="val 87164"/>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874E021">
                            <w:pPr>
                              <w:jc w:val="center"/>
                            </w:pPr>
                            <w:r>
                              <w:drawing>
                                <wp:inline distT="0" distB="0" distL="114300" distR="114300">
                                  <wp:extent cx="4253230" cy="2331085"/>
                                  <wp:effectExtent l="0" t="0" r="13970" b="12065"/>
                                  <wp:docPr id="10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9"/>
                                          <pic:cNvPicPr>
                                            <a:picLocks noChangeAspect="1"/>
                                          </pic:cNvPicPr>
                                        </pic:nvPicPr>
                                        <pic:blipFill>
                                          <a:blip r:embed="rId166"/>
                                          <a:stretch>
                                            <a:fillRect/>
                                          </a:stretch>
                                        </pic:blipFill>
                                        <pic:spPr>
                                          <a:xfrm>
                                            <a:off x="0" y="0"/>
                                            <a:ext cx="4253230" cy="23310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28.35pt;margin-top:9pt;height:204.1pt;width:350.2pt;z-index:251666432;v-text-anchor:middle;mso-width-relative:page;mso-height-relative:page;" fillcolor="#FFFFFF [3212]" filled="t" stroked="t" coordsize="21600,21600" o:gfxdata="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Fivj3jZAAAACwEAAA8AAAAAAAAA&#10;AQAgAAAAIgAAAGRycy9kb3ducmV2LnhtbFBLAQIUABQAAAAIAIdO4kBsKBAEuwIAAJoFAAAOAAAA&#10;AAAAAAEAIAAAACgBAABkcnMvZTJvRG9jLnhtbFBLBQYAAAAABgAGAFkBAABVBgAAAAA=&#10;" adj="18827,25082,17174,21907">
                <v:fill on="t" focussize="0,0"/>
                <v:stroke weight="2pt" color="#FF0000 [2404]" joinstyle="round"/>
                <v:imagedata o:title=""/>
                <o:lock v:ext="edit" aspectratio="f"/>
                <v:textbox>
                  <w:txbxContent>
                    <w:p w14:paraId="5874E021">
                      <w:pPr>
                        <w:jc w:val="center"/>
                      </w:pPr>
                      <w:r>
                        <w:drawing>
                          <wp:inline distT="0" distB="0" distL="114300" distR="114300">
                            <wp:extent cx="4253230" cy="2331085"/>
                            <wp:effectExtent l="0" t="0" r="13970" b="12065"/>
                            <wp:docPr id="10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9"/>
                                    <pic:cNvPicPr>
                                      <a:picLocks noChangeAspect="1"/>
                                    </pic:cNvPicPr>
                                  </pic:nvPicPr>
                                  <pic:blipFill>
                                    <a:blip r:embed="rId166"/>
                                    <a:stretch>
                                      <a:fillRect/>
                                    </a:stretch>
                                  </pic:blipFill>
                                  <pic:spPr>
                                    <a:xfrm>
                                      <a:off x="0" y="0"/>
                                      <a:ext cx="4253230" cy="2331085"/>
                                    </a:xfrm>
                                    <a:prstGeom prst="rect">
                                      <a:avLst/>
                                    </a:prstGeom>
                                    <a:noFill/>
                                    <a:ln>
                                      <a:noFill/>
                                    </a:ln>
                                  </pic:spPr>
                                </pic:pic>
                              </a:graphicData>
                            </a:graphic>
                          </wp:inline>
                        </w:drawing>
                      </w:r>
                    </w:p>
                  </w:txbxContent>
                </v:textbox>
              </v:shape>
            </w:pict>
          </mc:Fallback>
        </mc:AlternateContent>
      </w:r>
      <w:r>
        <w:drawing>
          <wp:inline distT="0" distB="0" distL="114300" distR="114300">
            <wp:extent cx="9966325" cy="5596890"/>
            <wp:effectExtent l="25400" t="25400" r="28575" b="35560"/>
            <wp:docPr id="9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5"/>
                    <pic:cNvPicPr>
                      <a:picLocks noChangeAspect="1"/>
                    </pic:cNvPicPr>
                  </pic:nvPicPr>
                  <pic:blipFill>
                    <a:blip r:embed="rId167"/>
                    <a:stretch>
                      <a:fillRect/>
                    </a:stretch>
                  </pic:blipFill>
                  <pic:spPr>
                    <a:xfrm>
                      <a:off x="0" y="0"/>
                      <a:ext cx="9966325" cy="5596890"/>
                    </a:xfrm>
                    <a:prstGeom prst="rect">
                      <a:avLst/>
                    </a:prstGeom>
                    <a:noFill/>
                    <a:ln w="25400" cmpd="sng">
                      <a:solidFill>
                        <a:schemeClr val="tx1"/>
                      </a:solidFill>
                      <a:prstDash val="solid"/>
                    </a:ln>
                  </pic:spPr>
                </pic:pic>
              </a:graphicData>
            </a:graphic>
          </wp:inline>
        </w:drawing>
      </w:r>
    </w:p>
    <w:p w14:paraId="46B29F3B">
      <w:pPr>
        <w:pStyle w:val="4"/>
        <w:pageBreakBefore w:val="0"/>
        <w:jc w:val="center"/>
        <w:outlineLvl w:val="1"/>
        <w:rPr>
          <w:rFonts w:ascii="Times New Roman" w:hAnsi="Times New Roman"/>
        </w:rPr>
        <w:sectPr>
          <w:pgSz w:w="16838" w:h="11906" w:orient="landscape"/>
          <w:pgMar w:top="720" w:right="720" w:bottom="720" w:left="720" w:header="851" w:footer="992" w:gutter="0"/>
          <w:cols w:space="425" w:num="1"/>
          <w:docGrid w:type="lines" w:linePitch="312" w:charSpace="0"/>
        </w:sectPr>
      </w:pPr>
      <w:bookmarkStart w:id="47" w:name="_Toc6751"/>
      <w:bookmarkStart w:id="48" w:name="_Toc9398"/>
      <w:r>
        <w:rPr>
          <w:rFonts w:ascii="Times New Roman" w:hAnsi="Times New Roman"/>
        </w:rPr>
        <w:t>附图</w:t>
      </w:r>
      <w:r>
        <w:rPr>
          <w:rFonts w:hint="eastAsia" w:ascii="Times New Roman" w:hAnsi="Times New Roman"/>
        </w:rPr>
        <w:t>二</w:t>
      </w:r>
      <w:r>
        <w:rPr>
          <w:rFonts w:ascii="Times New Roman" w:hAnsi="Times New Roman"/>
        </w:rPr>
        <w:t>：项目</w:t>
      </w:r>
      <w:r>
        <w:rPr>
          <w:rFonts w:hint="eastAsia" w:ascii="Times New Roman" w:hAnsi="Times New Roman"/>
        </w:rPr>
        <w:t>四邻关系</w:t>
      </w:r>
      <w:r>
        <w:rPr>
          <w:rFonts w:ascii="Times New Roman" w:hAnsi="Times New Roman"/>
        </w:rPr>
        <w:t>图</w:t>
      </w:r>
      <w:bookmarkEnd w:id="47"/>
      <w:bookmarkEnd w:id="48"/>
    </w:p>
    <w:p w14:paraId="4D937E76">
      <w:pPr>
        <w:pStyle w:val="57"/>
        <w:wordWrap w:val="0"/>
      </w:pPr>
      <w:r>
        <w:drawing>
          <wp:inline distT="0" distB="0" distL="114300" distR="114300">
            <wp:extent cx="9768840" cy="5619115"/>
            <wp:effectExtent l="0" t="0" r="3810" b="635"/>
            <wp:docPr id="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0"/>
                    <pic:cNvPicPr>
                      <a:picLocks noChangeAspect="1"/>
                    </pic:cNvPicPr>
                  </pic:nvPicPr>
                  <pic:blipFill>
                    <a:blip r:embed="rId168"/>
                    <a:stretch>
                      <a:fillRect/>
                    </a:stretch>
                  </pic:blipFill>
                  <pic:spPr>
                    <a:xfrm>
                      <a:off x="0" y="0"/>
                      <a:ext cx="9768840" cy="5619115"/>
                    </a:xfrm>
                    <a:prstGeom prst="rect">
                      <a:avLst/>
                    </a:prstGeom>
                    <a:noFill/>
                    <a:ln>
                      <a:noFill/>
                    </a:ln>
                  </pic:spPr>
                </pic:pic>
              </a:graphicData>
            </a:graphic>
          </wp:inline>
        </w:drawing>
      </w:r>
    </w:p>
    <w:p w14:paraId="2E676184">
      <w:pPr>
        <w:pStyle w:val="57"/>
        <w:wordWrap w:val="0"/>
        <w:outlineLvl w:val="1"/>
        <w:rPr>
          <w:rFonts w:eastAsia="黑体"/>
          <w:bCs/>
          <w:kern w:val="2"/>
          <w:sz w:val="32"/>
          <w:szCs w:val="32"/>
          <w:lang w:val="en-US"/>
        </w:rPr>
      </w:pPr>
      <w:bookmarkStart w:id="49" w:name="_Toc7057"/>
      <w:bookmarkStart w:id="50" w:name="_Toc15414"/>
      <w:bookmarkStart w:id="51" w:name="_Toc11864"/>
      <w:r>
        <w:rPr>
          <w:rFonts w:hint="eastAsia" w:eastAsia="黑体"/>
          <w:bCs/>
          <w:kern w:val="2"/>
          <w:sz w:val="32"/>
          <w:szCs w:val="32"/>
          <w:lang w:val="en-US"/>
        </w:rPr>
        <w:t>附图三：</w:t>
      </w:r>
      <w:bookmarkEnd w:id="49"/>
      <w:bookmarkEnd w:id="50"/>
      <w:r>
        <w:rPr>
          <w:rFonts w:hint="eastAsia" w:eastAsia="黑体"/>
          <w:bCs/>
          <w:kern w:val="2"/>
          <w:sz w:val="32"/>
          <w:szCs w:val="32"/>
          <w:lang w:val="en-US"/>
        </w:rPr>
        <w:t>项目周边大气敏感点分布图</w:t>
      </w:r>
      <w:bookmarkEnd w:id="51"/>
    </w:p>
    <w:p w14:paraId="4F14C6F7">
      <w:pPr>
        <w:pStyle w:val="4"/>
        <w:outlineLvl w:val="1"/>
        <w:rPr>
          <w:color w:val="auto"/>
        </w:rPr>
      </w:pPr>
      <w:bookmarkStart w:id="52" w:name="_Toc708"/>
      <w:r>
        <w:rPr>
          <w:color w:val="auto"/>
        </w:rPr>
        <w:drawing>
          <wp:anchor distT="0" distB="0" distL="114300" distR="114300" simplePos="0" relativeHeight="251661312" behindDoc="0" locked="0" layoutInCell="1" allowOverlap="1">
            <wp:simplePos x="0" y="0"/>
            <wp:positionH relativeFrom="column">
              <wp:posOffset>8898890</wp:posOffset>
            </wp:positionH>
            <wp:positionV relativeFrom="paragraph">
              <wp:posOffset>156210</wp:posOffset>
            </wp:positionV>
            <wp:extent cx="709930" cy="709930"/>
            <wp:effectExtent l="0" t="0" r="13970" b="13970"/>
            <wp:wrapNone/>
            <wp:docPr id="67" name="图片 42" descr="蟠龙镇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2" descr="蟠龙镇风玫瑰"/>
                    <pic:cNvPicPr>
                      <a:picLocks noChangeAspect="1"/>
                    </pic:cNvPicPr>
                  </pic:nvPicPr>
                  <pic:blipFill>
                    <a:blip r:embed="rId165"/>
                    <a:stretch>
                      <a:fillRect/>
                    </a:stretch>
                  </pic:blipFill>
                  <pic:spPr>
                    <a:xfrm>
                      <a:off x="0" y="0"/>
                      <a:ext cx="709930" cy="709930"/>
                    </a:xfrm>
                    <a:prstGeom prst="rect">
                      <a:avLst/>
                    </a:prstGeom>
                    <a:noFill/>
                    <a:ln>
                      <a:noFill/>
                    </a:ln>
                  </pic:spPr>
                </pic:pic>
              </a:graphicData>
            </a:graphic>
          </wp:anchor>
        </w:drawing>
      </w:r>
      <w:r>
        <w:rPr>
          <w:rFonts w:hint="eastAsia"/>
          <w:color w:val="auto"/>
        </w:rPr>
        <w:t>附图四：项目平面布置图</w:t>
      </w:r>
      <w:bookmarkEnd w:id="52"/>
    </w:p>
    <w:p w14:paraId="6B21CC8B">
      <w:pPr>
        <w:pStyle w:val="57"/>
      </w:pPr>
      <w:r>
        <w:drawing>
          <wp:inline distT="0" distB="0" distL="114300" distR="114300">
            <wp:extent cx="9773285" cy="4346575"/>
            <wp:effectExtent l="0" t="0" r="0" b="0"/>
            <wp:docPr id="3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9"/>
                    <pic:cNvPicPr>
                      <a:picLocks noChangeAspect="1"/>
                    </pic:cNvPicPr>
                  </pic:nvPicPr>
                  <pic:blipFill>
                    <a:blip r:embed="rId169"/>
                    <a:srcRect b="6271"/>
                    <a:stretch>
                      <a:fillRect/>
                    </a:stretch>
                  </pic:blipFill>
                  <pic:spPr>
                    <a:xfrm>
                      <a:off x="0" y="0"/>
                      <a:ext cx="9773285" cy="4346575"/>
                    </a:xfrm>
                    <a:prstGeom prst="rect">
                      <a:avLst/>
                    </a:prstGeom>
                    <a:noFill/>
                    <a:ln>
                      <a:noFill/>
                    </a:ln>
                  </pic:spPr>
                </pic:pic>
              </a:graphicData>
            </a:graphic>
          </wp:inline>
        </w:drawing>
      </w:r>
    </w:p>
    <w:p w14:paraId="0AB0D009">
      <w:pPr>
        <w:pStyle w:val="57"/>
        <w:rPr>
          <w:lang w:val="en-US"/>
        </w:rPr>
      </w:pPr>
      <w:r>
        <w:rPr>
          <w:rFonts w:hint="eastAsia"/>
          <w:lang w:val="en-US"/>
        </w:rPr>
        <w:t>2-8车间3层平面布置图</w:t>
      </w:r>
    </w:p>
    <w:p w14:paraId="3C298D29">
      <w:pPr>
        <w:pStyle w:val="57"/>
        <w:rPr>
          <w:lang w:val="en-US"/>
        </w:rPr>
      </w:pPr>
      <w:r>
        <w:drawing>
          <wp:anchor distT="0" distB="0" distL="114300" distR="114300" simplePos="0" relativeHeight="251670528" behindDoc="0" locked="0" layoutInCell="1" allowOverlap="1">
            <wp:simplePos x="0" y="0"/>
            <wp:positionH relativeFrom="column">
              <wp:posOffset>8597265</wp:posOffset>
            </wp:positionH>
            <wp:positionV relativeFrom="paragraph">
              <wp:posOffset>-121920</wp:posOffset>
            </wp:positionV>
            <wp:extent cx="709930" cy="709930"/>
            <wp:effectExtent l="0" t="0" r="13970" b="13970"/>
            <wp:wrapNone/>
            <wp:docPr id="55" name="图片 42" descr="蟠龙镇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2" descr="蟠龙镇风玫瑰"/>
                    <pic:cNvPicPr>
                      <a:picLocks noChangeAspect="1"/>
                    </pic:cNvPicPr>
                  </pic:nvPicPr>
                  <pic:blipFill>
                    <a:blip r:embed="rId165"/>
                    <a:stretch>
                      <a:fillRect/>
                    </a:stretch>
                  </pic:blipFill>
                  <pic:spPr>
                    <a:xfrm>
                      <a:off x="0" y="0"/>
                      <a:ext cx="709930" cy="709930"/>
                    </a:xfrm>
                    <a:prstGeom prst="rect">
                      <a:avLst/>
                    </a:prstGeom>
                    <a:noFill/>
                    <a:ln>
                      <a:noFill/>
                    </a:ln>
                  </pic:spPr>
                </pic:pic>
              </a:graphicData>
            </a:graphic>
          </wp:anchor>
        </w:drawing>
      </w:r>
      <w:r>
        <w:drawing>
          <wp:inline distT="0" distB="0" distL="114300" distR="114300">
            <wp:extent cx="9773920" cy="4197985"/>
            <wp:effectExtent l="0" t="0" r="0" b="0"/>
            <wp:docPr id="5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0"/>
                    <pic:cNvPicPr>
                      <a:picLocks noChangeAspect="1"/>
                    </pic:cNvPicPr>
                  </pic:nvPicPr>
                  <pic:blipFill>
                    <a:blip r:embed="rId170"/>
                    <a:srcRect b="8536"/>
                    <a:stretch>
                      <a:fillRect/>
                    </a:stretch>
                  </pic:blipFill>
                  <pic:spPr>
                    <a:xfrm>
                      <a:off x="0" y="0"/>
                      <a:ext cx="9773920" cy="4197985"/>
                    </a:xfrm>
                    <a:prstGeom prst="rect">
                      <a:avLst/>
                    </a:prstGeom>
                    <a:noFill/>
                    <a:ln>
                      <a:noFill/>
                    </a:ln>
                  </pic:spPr>
                </pic:pic>
              </a:graphicData>
            </a:graphic>
          </wp:inline>
        </w:drawing>
      </w:r>
    </w:p>
    <w:p w14:paraId="211937F6">
      <w:pPr>
        <w:pStyle w:val="57"/>
        <w:wordWrap w:val="0"/>
        <w:rPr>
          <w:lang w:val="en-US"/>
        </w:rPr>
      </w:pPr>
      <w:r>
        <w:rPr>
          <w:rFonts w:hint="eastAsia"/>
          <w:lang w:val="en-US"/>
        </w:rPr>
        <w:t>2-8车间5层平面布置图</w:t>
      </w:r>
    </w:p>
    <w:p w14:paraId="5F849894">
      <w:pPr>
        <w:pStyle w:val="57"/>
        <w:wordWrap w:val="0"/>
      </w:pPr>
      <w:r>
        <w:drawing>
          <wp:anchor distT="0" distB="0" distL="114300" distR="114300" simplePos="0" relativeHeight="251671552" behindDoc="0" locked="0" layoutInCell="1" allowOverlap="1">
            <wp:simplePos x="0" y="0"/>
            <wp:positionH relativeFrom="column">
              <wp:posOffset>8399145</wp:posOffset>
            </wp:positionH>
            <wp:positionV relativeFrom="paragraph">
              <wp:posOffset>-42545</wp:posOffset>
            </wp:positionV>
            <wp:extent cx="709930" cy="709930"/>
            <wp:effectExtent l="0" t="0" r="13970" b="13970"/>
            <wp:wrapNone/>
            <wp:docPr id="57" name="图片 42" descr="蟠龙镇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2" descr="蟠龙镇风玫瑰"/>
                    <pic:cNvPicPr>
                      <a:picLocks noChangeAspect="1"/>
                    </pic:cNvPicPr>
                  </pic:nvPicPr>
                  <pic:blipFill>
                    <a:blip r:embed="rId165"/>
                    <a:stretch>
                      <a:fillRect/>
                    </a:stretch>
                  </pic:blipFill>
                  <pic:spPr>
                    <a:xfrm>
                      <a:off x="0" y="0"/>
                      <a:ext cx="709930" cy="709930"/>
                    </a:xfrm>
                    <a:prstGeom prst="rect">
                      <a:avLst/>
                    </a:prstGeom>
                    <a:noFill/>
                    <a:ln>
                      <a:noFill/>
                    </a:ln>
                  </pic:spPr>
                </pic:pic>
              </a:graphicData>
            </a:graphic>
          </wp:anchor>
        </w:drawing>
      </w:r>
      <w:r>
        <w:drawing>
          <wp:inline distT="0" distB="0" distL="114300" distR="114300">
            <wp:extent cx="9775190" cy="4141470"/>
            <wp:effectExtent l="0" t="0" r="0" b="0"/>
            <wp:docPr id="5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1"/>
                    <pic:cNvPicPr>
                      <a:picLocks noChangeAspect="1"/>
                    </pic:cNvPicPr>
                  </pic:nvPicPr>
                  <pic:blipFill>
                    <a:blip r:embed="rId171"/>
                    <a:srcRect b="10252"/>
                    <a:stretch>
                      <a:fillRect/>
                    </a:stretch>
                  </pic:blipFill>
                  <pic:spPr>
                    <a:xfrm>
                      <a:off x="0" y="0"/>
                      <a:ext cx="9775190" cy="4141470"/>
                    </a:xfrm>
                    <a:prstGeom prst="rect">
                      <a:avLst/>
                    </a:prstGeom>
                    <a:noFill/>
                    <a:ln>
                      <a:noFill/>
                    </a:ln>
                  </pic:spPr>
                </pic:pic>
              </a:graphicData>
            </a:graphic>
          </wp:inline>
        </w:drawing>
      </w:r>
    </w:p>
    <w:p w14:paraId="7CDE5927">
      <w:pPr>
        <w:pStyle w:val="57"/>
        <w:wordWrap w:val="0"/>
        <w:rPr>
          <w:lang w:val="en-US"/>
        </w:rPr>
      </w:pPr>
      <w:r>
        <w:rPr>
          <w:rFonts w:hint="eastAsia"/>
          <w:lang w:val="en-US"/>
        </w:rPr>
        <w:t>2-8车间屋顶平面布置图</w:t>
      </w:r>
    </w:p>
    <w:p w14:paraId="62458F4D">
      <w:pPr>
        <w:pStyle w:val="57"/>
        <w:wordWrap w:val="0"/>
        <w:rPr>
          <w:lang w:val="en-US"/>
        </w:rPr>
      </w:pPr>
    </w:p>
    <w:sectPr>
      <w:pgSz w:w="16838" w:h="11906" w:orient="landscape"/>
      <w:pgMar w:top="720" w:right="720" w:bottom="720" w:left="720" w:header="851" w:footer="992" w:gutter="0"/>
      <w:cols w:space="425"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331">
      <wne:acd wne:acdName="acd0"/>
    </wne:keymap>
    <wne:keymap wne:kcmPrimary="0332">
      <wne:acd wne:acdName="acd1"/>
    </wne:keymap>
  </wne:keymaps>
  <wne:acds>
    <wne:acd wne:argValue="AgAwADAAMAAwADAAMAA=" wne:acdName="acd0" wne:fciIndexBasedOn="0065"/>
    <wne:acd wne:argValue="AgA3aA9fNQA5AA==" wne:acdName="acd1"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1"/>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F707D48F-10A4-41C1-88B9-BDE8A0DA9331}"/>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87E1C32C-0693-4A83-8B82-79533EB350B4}"/>
  </w:font>
  <w:font w:name="仿宋">
    <w:panose1 w:val="02010609060101010101"/>
    <w:charset w:val="86"/>
    <w:family w:val="auto"/>
    <w:pitch w:val="default"/>
    <w:sig w:usb0="800002BF" w:usb1="38CF7CFA" w:usb2="00000016" w:usb3="00000000" w:csb0="00040001" w:csb1="00000000"/>
    <w:embedRegular r:id="rId3" w:fontKey="{D3A74F8F-8912-4D5E-AA4D-751ECB262142}"/>
  </w:font>
  <w:font w:name="华文行楷">
    <w:panose1 w:val="02010800040101010101"/>
    <w:charset w:val="86"/>
    <w:family w:val="auto"/>
    <w:pitch w:val="default"/>
    <w:sig w:usb0="00000001" w:usb1="080F0000" w:usb2="00000000" w:usb3="00000000" w:csb0="00040000" w:csb1="00000000"/>
  </w:font>
  <w:font w:name="Cambria">
    <w:panose1 w:val="02040503050406030204"/>
    <w:charset w:val="00"/>
    <w:family w:val="roman"/>
    <w:pitch w:val="default"/>
    <w:sig w:usb0="E00006FF" w:usb1="420024FF" w:usb2="02000000" w:usb3="00000000" w:csb0="2000019F" w:csb1="00000000"/>
  </w:font>
  <w:font w:name="MingLiU">
    <w:altName w:val="PMingLiU-ExtB"/>
    <w:panose1 w:val="02010609000101010101"/>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仿宋_GB2312">
    <w:panose1 w:val="02000000000000000000"/>
    <w:charset w:val="86"/>
    <w:family w:val="auto"/>
    <w:pitch w:val="default"/>
    <w:sig w:usb0="A00002BF" w:usb1="184F6CFA" w:usb2="00000012" w:usb3="00000000" w:csb0="00040001" w:csb1="00000000"/>
    <w:embedRegular r:id="rId4" w:fontKey="{207F7A4D-9772-435F-9229-CE7871523459}"/>
  </w:font>
  <w:font w:name="TimesNewRomanPSMT">
    <w:altName w:val="Times New Roman"/>
    <w:panose1 w:val="00000000000000000000"/>
    <w:charset w:val="00"/>
    <w:family w:val="roman"/>
    <w:pitch w:val="default"/>
    <w:sig w:usb0="00000000" w:usb1="00000000" w:usb2="00000000" w:usb3="00000000" w:csb0="00000000" w:csb1="00000000"/>
  </w:font>
  <w:font w:name="仿宋体">
    <w:altName w:val="仿宋"/>
    <w:panose1 w:val="00000000000000000000"/>
    <w:charset w:val="86"/>
    <w:family w:val="swiss"/>
    <w:pitch w:val="default"/>
    <w:sig w:usb0="00000000" w:usb1="00000000" w:usb2="00000010" w:usb3="00000000" w:csb0="00040000" w:csb1="00000000"/>
  </w:font>
  <w:font w:name="方正小标宋_GBK">
    <w:panose1 w:val="02000000000000000000"/>
    <w:charset w:val="86"/>
    <w:family w:val="script"/>
    <w:pitch w:val="default"/>
    <w:sig w:usb0="A00002BF" w:usb1="38CF7CFA" w:usb2="00082016" w:usb3="00000000" w:csb0="00040001" w:csb1="00000000"/>
    <w:embedRegular r:id="rId5" w:fontKey="{D7B970A8-BC26-458D-9255-E05EF16EB285}"/>
  </w:font>
  <w:font w:name="Segoe UI">
    <w:panose1 w:val="020B0502040204020203"/>
    <w:charset w:val="00"/>
    <w:family w:val="swiss"/>
    <w:pitch w:val="default"/>
    <w:sig w:usb0="E4002EFF" w:usb1="C000E47F" w:usb2="00000009" w:usb3="00000000" w:csb0="200001FF" w:csb1="00000000"/>
    <w:embedRegular r:id="rId6" w:fontKey="{92707535-3761-4E2D-BE07-045AE6293AD2}"/>
  </w:font>
  <w:font w:name="等线">
    <w:panose1 w:val="02010600030101010101"/>
    <w:charset w:val="86"/>
    <w:family w:val="auto"/>
    <w:pitch w:val="default"/>
    <w:sig w:usb0="A00002BF" w:usb1="38CF7CFA" w:usb2="00000016" w:usb3="00000000" w:csb0="0004000F" w:csb1="00000000"/>
    <w:embedRegular r:id="rId7" w:fontKey="{26E6AF99-91F5-411C-9008-C579660BBEEF}"/>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11F7A">
    <w:pPr>
      <w:pStyle w:val="2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0F96F0">
    <w:pPr>
      <w:pStyle w:val="25"/>
      <w:framePr w:wrap="around" w:vAnchor="text" w:hAnchor="margin" w:xAlign="center" w:y="1"/>
      <w:rPr>
        <w:rStyle w:val="38"/>
      </w:rPr>
    </w:pPr>
    <w:r>
      <w:fldChar w:fldCharType="begin"/>
    </w:r>
    <w:r>
      <w:rPr>
        <w:rStyle w:val="38"/>
      </w:rPr>
      <w:instrText xml:space="preserve">PAGE  </w:instrText>
    </w:r>
    <w:r>
      <w:fldChar w:fldCharType="end"/>
    </w:r>
  </w:p>
  <w:p w14:paraId="5A1E7071">
    <w:pPr>
      <w:pStyle w:val="2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2E77B9">
    <w:pPr>
      <w:pStyle w:val="25"/>
      <w:framePr w:wrap="around" w:vAnchor="text" w:hAnchor="margin" w:xAlign="outside" w:y="1"/>
      <w:rPr>
        <w:rStyle w:val="38"/>
        <w:rFonts w:ascii="宋体" w:hAnsi="宋体"/>
        <w:sz w:val="28"/>
        <w:szCs w:val="28"/>
      </w:rPr>
    </w:pPr>
    <w:r>
      <w:rPr>
        <w:rStyle w:val="38"/>
        <w:rFonts w:hint="eastAsia" w:ascii="宋体" w:hAnsi="宋体"/>
        <w:sz w:val="28"/>
        <w:szCs w:val="28"/>
      </w:rPr>
      <w:t>—</w:t>
    </w:r>
    <w:r>
      <w:rPr>
        <w:rStyle w:val="38"/>
        <w:rFonts w:hint="eastAsia" w:ascii="宋体" w:hAnsi="宋体"/>
        <w:sz w:val="20"/>
      </w:rPr>
      <w:t xml:space="preserve">  </w:t>
    </w:r>
    <w:r>
      <w:rPr>
        <w:rFonts w:ascii="宋体" w:hAnsi="宋体"/>
        <w:sz w:val="26"/>
        <w:szCs w:val="26"/>
      </w:rPr>
      <w:fldChar w:fldCharType="begin"/>
    </w:r>
    <w:r>
      <w:rPr>
        <w:rStyle w:val="38"/>
        <w:rFonts w:ascii="宋体" w:hAnsi="宋体"/>
        <w:sz w:val="26"/>
        <w:szCs w:val="26"/>
      </w:rPr>
      <w:instrText xml:space="preserve">PAGE  </w:instrText>
    </w:r>
    <w:r>
      <w:rPr>
        <w:rFonts w:ascii="宋体" w:hAnsi="宋体"/>
        <w:sz w:val="26"/>
        <w:szCs w:val="26"/>
      </w:rPr>
      <w:fldChar w:fldCharType="separate"/>
    </w:r>
    <w:r>
      <w:rPr>
        <w:rStyle w:val="38"/>
        <w:rFonts w:ascii="宋体" w:hAnsi="宋体"/>
        <w:sz w:val="26"/>
        <w:szCs w:val="26"/>
      </w:rPr>
      <w:t>9</w:t>
    </w:r>
    <w:r>
      <w:rPr>
        <w:rFonts w:ascii="宋体" w:hAnsi="宋体"/>
        <w:sz w:val="26"/>
        <w:szCs w:val="26"/>
      </w:rPr>
      <w:fldChar w:fldCharType="end"/>
    </w:r>
    <w:r>
      <w:rPr>
        <w:rStyle w:val="38"/>
        <w:rFonts w:hint="eastAsia" w:ascii="宋体" w:hAnsi="宋体"/>
        <w:sz w:val="20"/>
      </w:rPr>
      <w:t xml:space="preserve">  </w:t>
    </w:r>
    <w:r>
      <w:rPr>
        <w:rStyle w:val="38"/>
        <w:rFonts w:hint="eastAsia" w:ascii="宋体" w:hAnsi="宋体"/>
        <w:sz w:val="28"/>
        <w:szCs w:val="28"/>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8A2D8">
    <w:pPr>
      <w:pStyle w:val="25"/>
      <w:framePr w:wrap="around" w:vAnchor="text" w:hAnchor="margin" w:xAlign="center" w:y="1"/>
      <w:rPr>
        <w:rStyle w:val="38"/>
        <w:rFonts w:ascii="宋体" w:hAnsi="宋体"/>
        <w:sz w:val="28"/>
        <w:szCs w:val="28"/>
      </w:rPr>
    </w:pPr>
    <w:r>
      <w:rPr>
        <w:rStyle w:val="38"/>
        <w:rFonts w:hint="eastAsia" w:ascii="宋体" w:hAnsi="宋体"/>
        <w:sz w:val="28"/>
        <w:szCs w:val="28"/>
      </w:rPr>
      <w:t>—</w:t>
    </w:r>
    <w:r>
      <w:rPr>
        <w:rStyle w:val="38"/>
        <w:rFonts w:hint="eastAsia" w:ascii="宋体" w:hAnsi="宋体"/>
        <w:sz w:val="20"/>
      </w:rPr>
      <w:t xml:space="preserve">  </w:t>
    </w:r>
    <w:r>
      <w:rPr>
        <w:rFonts w:ascii="宋体" w:hAnsi="宋体"/>
        <w:sz w:val="26"/>
        <w:szCs w:val="26"/>
      </w:rPr>
      <w:fldChar w:fldCharType="begin"/>
    </w:r>
    <w:r>
      <w:rPr>
        <w:rStyle w:val="38"/>
        <w:rFonts w:ascii="宋体" w:hAnsi="宋体"/>
        <w:sz w:val="26"/>
        <w:szCs w:val="26"/>
      </w:rPr>
      <w:instrText xml:space="preserve">PAGE  </w:instrText>
    </w:r>
    <w:r>
      <w:rPr>
        <w:rFonts w:ascii="宋体" w:hAnsi="宋体"/>
        <w:sz w:val="26"/>
        <w:szCs w:val="26"/>
      </w:rPr>
      <w:fldChar w:fldCharType="separate"/>
    </w:r>
    <w:r>
      <w:rPr>
        <w:rStyle w:val="38"/>
        <w:rFonts w:ascii="宋体" w:hAnsi="宋体"/>
        <w:sz w:val="26"/>
        <w:szCs w:val="26"/>
      </w:rPr>
      <w:t>10</w:t>
    </w:r>
    <w:r>
      <w:rPr>
        <w:rFonts w:ascii="宋体" w:hAnsi="宋体"/>
        <w:sz w:val="26"/>
        <w:szCs w:val="26"/>
      </w:rPr>
      <w:fldChar w:fldCharType="end"/>
    </w:r>
    <w:r>
      <w:rPr>
        <w:rStyle w:val="38"/>
        <w:rFonts w:hint="eastAsia" w:ascii="宋体" w:hAnsi="宋体"/>
        <w:sz w:val="20"/>
      </w:rPr>
      <w:t xml:space="preserve">  </w:t>
    </w:r>
    <w:r>
      <w:rPr>
        <w:rStyle w:val="38"/>
        <w:rFonts w:hint="eastAsia" w:ascii="宋体" w:hAnsi="宋体"/>
        <w:sz w:val="28"/>
        <w:szCs w:val="28"/>
      </w:rPr>
      <w:t>—</w:t>
    </w:r>
  </w:p>
  <w:p w14:paraId="17EC0306">
    <w:pPr>
      <w:pStyle w:val="25"/>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87DE35">
    <w:pPr>
      <w:pStyle w:val="25"/>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16AEB">
    <w:pPr>
      <w:pStyle w:val="25"/>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859C24">
    <w:pPr>
      <w:pStyle w:val="14"/>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C22B31">
    <w:pPr>
      <w:pStyle w:val="14"/>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60241E"/>
    <w:multiLevelType w:val="singleLevel"/>
    <w:tmpl w:val="9260241E"/>
    <w:lvl w:ilvl="0" w:tentative="0">
      <w:start w:val="1"/>
      <w:numFmt w:val="decimal"/>
      <w:lvlText w:val="%1."/>
      <w:lvlJc w:val="left"/>
      <w:pPr>
        <w:tabs>
          <w:tab w:val="left" w:pos="312"/>
        </w:tabs>
      </w:pPr>
    </w:lvl>
  </w:abstractNum>
  <w:abstractNum w:abstractNumId="1">
    <w:nsid w:val="967B9C45"/>
    <w:multiLevelType w:val="singleLevel"/>
    <w:tmpl w:val="967B9C45"/>
    <w:lvl w:ilvl="0" w:tentative="0">
      <w:start w:val="1"/>
      <w:numFmt w:val="decimal"/>
      <w:lvlText w:val="%1."/>
      <w:lvlJc w:val="left"/>
      <w:pPr>
        <w:tabs>
          <w:tab w:val="left" w:pos="312"/>
        </w:tabs>
      </w:pPr>
    </w:lvl>
  </w:abstractNum>
  <w:abstractNum w:abstractNumId="2">
    <w:nsid w:val="9EE02F46"/>
    <w:multiLevelType w:val="singleLevel"/>
    <w:tmpl w:val="9EE02F46"/>
    <w:lvl w:ilvl="0" w:tentative="0">
      <w:start w:val="1"/>
      <w:numFmt w:val="decimal"/>
      <w:lvlText w:val="%1."/>
      <w:lvlJc w:val="left"/>
      <w:pPr>
        <w:tabs>
          <w:tab w:val="left" w:pos="312"/>
        </w:tabs>
      </w:pPr>
    </w:lvl>
  </w:abstractNum>
  <w:abstractNum w:abstractNumId="3">
    <w:nsid w:val="A0CC9234"/>
    <w:multiLevelType w:val="singleLevel"/>
    <w:tmpl w:val="A0CC9234"/>
    <w:lvl w:ilvl="0" w:tentative="0">
      <w:start w:val="1"/>
      <w:numFmt w:val="chineseCounting"/>
      <w:suff w:val="nothing"/>
      <w:lvlText w:val="%1、"/>
      <w:lvlJc w:val="left"/>
      <w:rPr>
        <w:rFonts w:hint="eastAsia"/>
      </w:rPr>
    </w:lvl>
  </w:abstractNum>
  <w:abstractNum w:abstractNumId="4">
    <w:nsid w:val="AB4B1B04"/>
    <w:multiLevelType w:val="singleLevel"/>
    <w:tmpl w:val="AB4B1B04"/>
    <w:lvl w:ilvl="0" w:tentative="0">
      <w:start w:val="1"/>
      <w:numFmt w:val="decimal"/>
      <w:suff w:val="nothing"/>
      <w:lvlText w:val="%1、"/>
      <w:lvlJc w:val="left"/>
    </w:lvl>
  </w:abstractNum>
  <w:abstractNum w:abstractNumId="5">
    <w:nsid w:val="AF290393"/>
    <w:multiLevelType w:val="singleLevel"/>
    <w:tmpl w:val="AF290393"/>
    <w:lvl w:ilvl="0" w:tentative="0">
      <w:start w:val="1"/>
      <w:numFmt w:val="decimal"/>
      <w:suff w:val="nothing"/>
      <w:lvlText w:val="%1、"/>
      <w:lvlJc w:val="left"/>
    </w:lvl>
  </w:abstractNum>
  <w:abstractNum w:abstractNumId="6">
    <w:nsid w:val="B43162A3"/>
    <w:multiLevelType w:val="singleLevel"/>
    <w:tmpl w:val="B43162A3"/>
    <w:lvl w:ilvl="0" w:tentative="0">
      <w:start w:val="2"/>
      <w:numFmt w:val="decimal"/>
      <w:suff w:val="nothing"/>
      <w:lvlText w:val="%1、"/>
      <w:lvlJc w:val="left"/>
    </w:lvl>
  </w:abstractNum>
  <w:abstractNum w:abstractNumId="7">
    <w:nsid w:val="B9EE85DF"/>
    <w:multiLevelType w:val="singleLevel"/>
    <w:tmpl w:val="B9EE85DF"/>
    <w:lvl w:ilvl="0" w:tentative="0">
      <w:start w:val="1"/>
      <w:numFmt w:val="decimal"/>
      <w:suff w:val="nothing"/>
      <w:lvlText w:val="（%1）"/>
      <w:lvlJc w:val="left"/>
    </w:lvl>
  </w:abstractNum>
  <w:abstractNum w:abstractNumId="8">
    <w:nsid w:val="C0816E61"/>
    <w:multiLevelType w:val="singleLevel"/>
    <w:tmpl w:val="C0816E61"/>
    <w:lvl w:ilvl="0" w:tentative="0">
      <w:start w:val="1"/>
      <w:numFmt w:val="decimal"/>
      <w:lvlText w:val="%1."/>
      <w:lvlJc w:val="left"/>
      <w:pPr>
        <w:tabs>
          <w:tab w:val="left" w:pos="312"/>
        </w:tabs>
      </w:pPr>
    </w:lvl>
  </w:abstractNum>
  <w:abstractNum w:abstractNumId="9">
    <w:nsid w:val="C36D19CC"/>
    <w:multiLevelType w:val="singleLevel"/>
    <w:tmpl w:val="C36D19CC"/>
    <w:lvl w:ilvl="0" w:tentative="0">
      <w:start w:val="2"/>
      <w:numFmt w:val="decimal"/>
      <w:suff w:val="nothing"/>
      <w:lvlText w:val="%1、"/>
      <w:lvlJc w:val="left"/>
    </w:lvl>
  </w:abstractNum>
  <w:abstractNum w:abstractNumId="10">
    <w:nsid w:val="D45D59B7"/>
    <w:multiLevelType w:val="singleLevel"/>
    <w:tmpl w:val="D45D59B7"/>
    <w:lvl w:ilvl="0" w:tentative="0">
      <w:start w:val="1"/>
      <w:numFmt w:val="decimal"/>
      <w:suff w:val="nothing"/>
      <w:lvlText w:val="%1、"/>
      <w:lvlJc w:val="left"/>
    </w:lvl>
  </w:abstractNum>
  <w:abstractNum w:abstractNumId="11">
    <w:nsid w:val="DBDF12B5"/>
    <w:multiLevelType w:val="singleLevel"/>
    <w:tmpl w:val="DBDF12B5"/>
    <w:lvl w:ilvl="0" w:tentative="0">
      <w:start w:val="1"/>
      <w:numFmt w:val="decimal"/>
      <w:lvlText w:val="%1."/>
      <w:lvlJc w:val="left"/>
      <w:pPr>
        <w:tabs>
          <w:tab w:val="left" w:pos="312"/>
        </w:tabs>
      </w:pPr>
    </w:lvl>
  </w:abstractNum>
  <w:abstractNum w:abstractNumId="12">
    <w:nsid w:val="DE2B80FF"/>
    <w:multiLevelType w:val="singleLevel"/>
    <w:tmpl w:val="DE2B80FF"/>
    <w:lvl w:ilvl="0" w:tentative="0">
      <w:start w:val="1"/>
      <w:numFmt w:val="decimal"/>
      <w:lvlText w:val="%1."/>
      <w:lvlJc w:val="left"/>
      <w:pPr>
        <w:tabs>
          <w:tab w:val="left" w:pos="312"/>
        </w:tabs>
      </w:pPr>
    </w:lvl>
  </w:abstractNum>
  <w:abstractNum w:abstractNumId="13">
    <w:nsid w:val="F409BFA5"/>
    <w:multiLevelType w:val="singleLevel"/>
    <w:tmpl w:val="F409BFA5"/>
    <w:lvl w:ilvl="0" w:tentative="0">
      <w:start w:val="1"/>
      <w:numFmt w:val="decimal"/>
      <w:lvlText w:val="%1."/>
      <w:lvlJc w:val="left"/>
      <w:pPr>
        <w:tabs>
          <w:tab w:val="left" w:pos="312"/>
        </w:tabs>
      </w:pPr>
    </w:lvl>
  </w:abstractNum>
  <w:abstractNum w:abstractNumId="14">
    <w:nsid w:val="00000003"/>
    <w:multiLevelType w:val="singleLevel"/>
    <w:tmpl w:val="00000003"/>
    <w:lvl w:ilvl="0" w:tentative="0">
      <w:start w:val="1"/>
      <w:numFmt w:val="decimal"/>
      <w:lvlText w:val="%1."/>
      <w:lvlJc w:val="left"/>
      <w:pPr>
        <w:tabs>
          <w:tab w:val="left" w:pos="312"/>
        </w:tabs>
      </w:pPr>
    </w:lvl>
  </w:abstractNum>
  <w:abstractNum w:abstractNumId="15">
    <w:nsid w:val="00000006"/>
    <w:multiLevelType w:val="singleLevel"/>
    <w:tmpl w:val="00000006"/>
    <w:lvl w:ilvl="0" w:tentative="0">
      <w:start w:val="1"/>
      <w:numFmt w:val="bullet"/>
      <w:pStyle w:val="21"/>
      <w:lvlText w:val=""/>
      <w:lvlJc w:val="left"/>
      <w:pPr>
        <w:tabs>
          <w:tab w:val="left" w:pos="2040"/>
        </w:tabs>
        <w:ind w:left="2040" w:hanging="360"/>
      </w:pPr>
      <w:rPr>
        <w:rFonts w:hint="default" w:ascii="Wingdings" w:hAnsi="Wingdings"/>
      </w:rPr>
    </w:lvl>
  </w:abstractNum>
  <w:abstractNum w:abstractNumId="16">
    <w:nsid w:val="00000007"/>
    <w:multiLevelType w:val="multilevel"/>
    <w:tmpl w:val="00000007"/>
    <w:lvl w:ilvl="0" w:tentative="0">
      <w:start w:val="1"/>
      <w:numFmt w:val="decimal"/>
      <w:pStyle w:val="76"/>
      <w:lvlText w:val="表%1"/>
      <w:lvlJc w:val="left"/>
      <w:pPr>
        <w:ind w:left="1260" w:hanging="420"/>
      </w:pPr>
      <w:rPr>
        <w:rFonts w:hint="default" w:ascii="Times New Roman" w:hAnsi="Times New Roman" w:eastAsia="宋体"/>
        <w:b/>
        <w:i w:val="0"/>
        <w:sz w:val="21"/>
        <w:lang w:val="en-US"/>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7">
    <w:nsid w:val="13635C56"/>
    <w:multiLevelType w:val="singleLevel"/>
    <w:tmpl w:val="13635C56"/>
    <w:lvl w:ilvl="0" w:tentative="0">
      <w:start w:val="1"/>
      <w:numFmt w:val="decimal"/>
      <w:lvlText w:val="%1."/>
      <w:lvlJc w:val="left"/>
      <w:pPr>
        <w:tabs>
          <w:tab w:val="left" w:pos="312"/>
        </w:tabs>
      </w:pPr>
    </w:lvl>
  </w:abstractNum>
  <w:abstractNum w:abstractNumId="18">
    <w:nsid w:val="331823C5"/>
    <w:multiLevelType w:val="singleLevel"/>
    <w:tmpl w:val="331823C5"/>
    <w:lvl w:ilvl="0" w:tentative="0">
      <w:start w:val="1"/>
      <w:numFmt w:val="decimal"/>
      <w:lvlText w:val="%1."/>
      <w:lvlJc w:val="left"/>
      <w:pPr>
        <w:tabs>
          <w:tab w:val="left" w:pos="312"/>
        </w:tabs>
      </w:pPr>
    </w:lvl>
  </w:abstractNum>
  <w:abstractNum w:abstractNumId="19">
    <w:nsid w:val="45771893"/>
    <w:multiLevelType w:val="multilevel"/>
    <w:tmpl w:val="45771893"/>
    <w:lvl w:ilvl="0" w:tentative="0">
      <w:start w:val="1"/>
      <w:numFmt w:val="decimal"/>
      <w:lvlText w:val="第%1章"/>
      <w:lvlJc w:val="left"/>
      <w:pPr>
        <w:ind w:left="432" w:hanging="432"/>
      </w:pPr>
      <w:rPr>
        <w:rFonts w:hint="default" w:ascii="宋体" w:hAnsi="宋体" w:eastAsia="黑体" w:cs="宋体"/>
      </w:rPr>
    </w:lvl>
    <w:lvl w:ilvl="1" w:tentative="0">
      <w:start w:val="1"/>
      <w:numFmt w:val="decimal"/>
      <w:lvlText w:val="%1.%2."/>
      <w:lvlJc w:val="left"/>
      <w:pPr>
        <w:ind w:left="575" w:hanging="575"/>
      </w:pPr>
      <w:rPr>
        <w:rFonts w:hint="default"/>
        <w:color w:val="auto"/>
      </w:rPr>
    </w:lvl>
    <w:lvl w:ilvl="2" w:tentative="0">
      <w:start w:val="1"/>
      <w:numFmt w:val="decimal"/>
      <w:lvlText w:val="%1.%2.%3."/>
      <w:lvlJc w:val="left"/>
      <w:pPr>
        <w:ind w:left="720" w:hanging="720"/>
      </w:pPr>
      <w:rPr>
        <w:rFonts w:hint="default"/>
      </w:rPr>
    </w:lvl>
    <w:lvl w:ilvl="3" w:tentative="0">
      <w:start w:val="1"/>
      <w:numFmt w:val="decimal"/>
      <w:pStyle w:val="6"/>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20">
    <w:nsid w:val="464EAA33"/>
    <w:multiLevelType w:val="singleLevel"/>
    <w:tmpl w:val="464EAA33"/>
    <w:lvl w:ilvl="0" w:tentative="0">
      <w:start w:val="1"/>
      <w:numFmt w:val="decimal"/>
      <w:suff w:val="nothing"/>
      <w:lvlText w:val="%1、"/>
      <w:lvlJc w:val="left"/>
    </w:lvl>
  </w:abstractNum>
  <w:abstractNum w:abstractNumId="21">
    <w:nsid w:val="4C111461"/>
    <w:multiLevelType w:val="singleLevel"/>
    <w:tmpl w:val="4C111461"/>
    <w:lvl w:ilvl="0" w:tentative="0">
      <w:start w:val="1"/>
      <w:numFmt w:val="decimal"/>
      <w:lvlText w:val="%1."/>
      <w:lvlJc w:val="left"/>
      <w:pPr>
        <w:tabs>
          <w:tab w:val="left" w:pos="312"/>
        </w:tabs>
      </w:pPr>
    </w:lvl>
  </w:abstractNum>
  <w:abstractNum w:abstractNumId="22">
    <w:nsid w:val="5D863E2C"/>
    <w:multiLevelType w:val="singleLevel"/>
    <w:tmpl w:val="5D863E2C"/>
    <w:lvl w:ilvl="0" w:tentative="0">
      <w:start w:val="1"/>
      <w:numFmt w:val="decimal"/>
      <w:lvlText w:val="%1."/>
      <w:lvlJc w:val="left"/>
      <w:pPr>
        <w:tabs>
          <w:tab w:val="left" w:pos="312"/>
        </w:tabs>
      </w:pPr>
    </w:lvl>
  </w:abstractNum>
  <w:abstractNum w:abstractNumId="23">
    <w:nsid w:val="6CEA2025"/>
    <w:multiLevelType w:val="multilevel"/>
    <w:tmpl w:val="6CEA2025"/>
    <w:lvl w:ilvl="0" w:tentative="0">
      <w:start w:val="1"/>
      <w:numFmt w:val="none"/>
      <w:pStyle w:val="119"/>
      <w:suff w:val="nothing"/>
      <w:lvlText w:val="%1"/>
      <w:lvlJc w:val="left"/>
      <w:rPr>
        <w:rFonts w:hint="default" w:ascii="Times New Roman" w:hAnsi="Times New Roman" w:cs="Times New Roman"/>
        <w:b/>
        <w:i w:val="0"/>
        <w:sz w:val="21"/>
      </w:rPr>
    </w:lvl>
    <w:lvl w:ilvl="1" w:tentative="0">
      <w:start w:val="1"/>
      <w:numFmt w:val="decimal"/>
      <w:suff w:val="nothing"/>
      <w:lvlText w:val="%1%2　"/>
      <w:lvlJc w:val="left"/>
      <w:pPr>
        <w:ind w:left="142"/>
      </w:pPr>
      <w:rPr>
        <w:rFonts w:hint="eastAsia" w:ascii="黑体" w:hAnsi="Times New Roman" w:eastAsia="黑体" w:cs="Times New Roman"/>
        <w:b w:val="0"/>
        <w:i w:val="0"/>
        <w:sz w:val="21"/>
      </w:rPr>
    </w:lvl>
    <w:lvl w:ilvl="2" w:tentative="0">
      <w:start w:val="1"/>
      <w:numFmt w:val="decimal"/>
      <w:suff w:val="nothing"/>
      <w:lvlText w:val="%1%2.%3　"/>
      <w:lvlJc w:val="left"/>
      <w:rPr>
        <w:rFonts w:hint="eastAsia" w:ascii="黑体" w:hAnsi="Times New Roman" w:eastAsia="黑体" w:cs="Times New Roman"/>
        <w:b w:val="0"/>
        <w:i w:val="0"/>
        <w:sz w:val="21"/>
      </w:rPr>
    </w:lvl>
    <w:lvl w:ilvl="3" w:tentative="0">
      <w:start w:val="1"/>
      <w:numFmt w:val="decimal"/>
      <w:suff w:val="nothing"/>
      <w:lvlText w:val="%1%2.%3.%4　"/>
      <w:lvlJc w:val="left"/>
      <w:rPr>
        <w:rFonts w:hint="eastAsia" w:ascii="黑体" w:hAnsi="Times New Roman" w:eastAsia="黑体" w:cs="Times New Roman"/>
        <w:b w:val="0"/>
        <w:i w:val="0"/>
        <w:sz w:val="21"/>
      </w:rPr>
    </w:lvl>
    <w:lvl w:ilvl="4" w:tentative="0">
      <w:start w:val="1"/>
      <w:numFmt w:val="decimal"/>
      <w:suff w:val="nothing"/>
      <w:lvlText w:val="%1%2.%3.%4.%5　"/>
      <w:lvlJc w:val="left"/>
      <w:pPr>
        <w:ind w:left="1260"/>
      </w:pPr>
      <w:rPr>
        <w:rFonts w:hint="eastAsia" w:ascii="黑体" w:hAnsi="Times New Roman" w:eastAsia="黑体" w:cs="Times New Roman"/>
        <w:b w:val="0"/>
        <w:i w:val="0"/>
        <w:sz w:val="21"/>
      </w:rPr>
    </w:lvl>
    <w:lvl w:ilvl="5" w:tentative="0">
      <w:start w:val="1"/>
      <w:numFmt w:val="decimal"/>
      <w:suff w:val="nothing"/>
      <w:lvlText w:val="%1%2.%3.%4.%5.%6　"/>
      <w:lvlJc w:val="left"/>
      <w:rPr>
        <w:rFonts w:hint="eastAsia" w:ascii="黑体" w:hAnsi="Times New Roman" w:eastAsia="黑体" w:cs="Times New Roman"/>
        <w:b w:val="0"/>
        <w:i w:val="0"/>
        <w:sz w:val="21"/>
      </w:rPr>
    </w:lvl>
    <w:lvl w:ilvl="6" w:tentative="0">
      <w:start w:val="1"/>
      <w:numFmt w:val="decimal"/>
      <w:suff w:val="nothing"/>
      <w:lvlText w:val="%1%2.%3.%4.%5.%6.%7　"/>
      <w:lvlJc w:val="left"/>
      <w:rPr>
        <w:rFonts w:hint="eastAsia" w:ascii="黑体" w:hAnsi="Times New Roman" w:eastAsia="黑体" w:cs="Times New Roman"/>
        <w:b w:val="0"/>
        <w:i w:val="0"/>
        <w:sz w:val="21"/>
      </w:rPr>
    </w:lvl>
    <w:lvl w:ilvl="7" w:tentative="0">
      <w:start w:val="1"/>
      <w:numFmt w:val="decimal"/>
      <w:lvlText w:val="%1.%2.%3.%4.%5.%6.%7.%8"/>
      <w:lvlJc w:val="left"/>
      <w:pPr>
        <w:tabs>
          <w:tab w:val="left" w:pos="4351"/>
        </w:tabs>
        <w:ind w:left="3969" w:hanging="1418"/>
      </w:pPr>
      <w:rPr>
        <w:rFonts w:hint="eastAsia" w:cs="Times New Roman"/>
      </w:rPr>
    </w:lvl>
    <w:lvl w:ilvl="8" w:tentative="0">
      <w:start w:val="1"/>
      <w:numFmt w:val="decimal"/>
      <w:lvlText w:val="%1.%2.%3.%4.%5.%6.%7.%8.%9"/>
      <w:lvlJc w:val="left"/>
      <w:pPr>
        <w:tabs>
          <w:tab w:val="left" w:pos="4777"/>
        </w:tabs>
        <w:ind w:left="4677" w:hanging="1700"/>
      </w:pPr>
      <w:rPr>
        <w:rFonts w:hint="eastAsia" w:cs="Times New Roman"/>
      </w:rPr>
    </w:lvl>
  </w:abstractNum>
  <w:abstractNum w:abstractNumId="24">
    <w:nsid w:val="7B5C4078"/>
    <w:multiLevelType w:val="singleLevel"/>
    <w:tmpl w:val="7B5C4078"/>
    <w:lvl w:ilvl="0" w:tentative="0">
      <w:start w:val="1"/>
      <w:numFmt w:val="decimal"/>
      <w:lvlText w:val="%1."/>
      <w:lvlJc w:val="left"/>
      <w:pPr>
        <w:tabs>
          <w:tab w:val="left" w:pos="312"/>
        </w:tabs>
      </w:pPr>
    </w:lvl>
  </w:abstractNum>
  <w:num w:numId="1">
    <w:abstractNumId w:val="19"/>
  </w:num>
  <w:num w:numId="2">
    <w:abstractNumId w:val="15"/>
  </w:num>
  <w:num w:numId="3">
    <w:abstractNumId w:val="16"/>
  </w:num>
  <w:num w:numId="4">
    <w:abstractNumId w:val="23"/>
  </w:num>
  <w:num w:numId="5">
    <w:abstractNumId w:val="5"/>
  </w:num>
  <w:num w:numId="6">
    <w:abstractNumId w:val="20"/>
  </w:num>
  <w:num w:numId="7">
    <w:abstractNumId w:val="17"/>
  </w:num>
  <w:num w:numId="8">
    <w:abstractNumId w:val="7"/>
  </w:num>
  <w:num w:numId="9">
    <w:abstractNumId w:val="18"/>
  </w:num>
  <w:num w:numId="10">
    <w:abstractNumId w:val="2"/>
  </w:num>
  <w:num w:numId="11">
    <w:abstractNumId w:val="12"/>
  </w:num>
  <w:num w:numId="12">
    <w:abstractNumId w:val="11"/>
  </w:num>
  <w:num w:numId="13">
    <w:abstractNumId w:val="13"/>
  </w:num>
  <w:num w:numId="14">
    <w:abstractNumId w:val="1"/>
  </w:num>
  <w:num w:numId="15">
    <w:abstractNumId w:val="21"/>
  </w:num>
  <w:num w:numId="16">
    <w:abstractNumId w:val="8"/>
  </w:num>
  <w:num w:numId="17">
    <w:abstractNumId w:val="22"/>
  </w:num>
  <w:num w:numId="18">
    <w:abstractNumId w:val="24"/>
  </w:num>
  <w:num w:numId="19">
    <w:abstractNumId w:val="0"/>
  </w:num>
  <w:num w:numId="20">
    <w:abstractNumId w:val="9"/>
  </w:num>
  <w:num w:numId="21">
    <w:abstractNumId w:val="6"/>
  </w:num>
  <w:num w:numId="22">
    <w:abstractNumId w:val="14"/>
  </w:num>
  <w:num w:numId="23">
    <w:abstractNumId w:val="3"/>
  </w:num>
  <w:num w:numId="24">
    <w:abstractNumId w:val="10"/>
  </w:num>
  <w:num w:numId="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Y0ZTdmOTU3NGE5MzQ4MzY5MWU2MWY0OTRhY2Q5MjcifQ=="/>
  </w:docVars>
  <w:rsids>
    <w:rsidRoot w:val="00CF15C3"/>
    <w:rsid w:val="000E165D"/>
    <w:rsid w:val="001032F4"/>
    <w:rsid w:val="001C09E1"/>
    <w:rsid w:val="001D66BE"/>
    <w:rsid w:val="002C7FF9"/>
    <w:rsid w:val="00335829"/>
    <w:rsid w:val="00375D0B"/>
    <w:rsid w:val="004478CC"/>
    <w:rsid w:val="00471FAE"/>
    <w:rsid w:val="004D7955"/>
    <w:rsid w:val="004E43BF"/>
    <w:rsid w:val="00525E86"/>
    <w:rsid w:val="009B4A71"/>
    <w:rsid w:val="009D6C36"/>
    <w:rsid w:val="00A23051"/>
    <w:rsid w:val="00A76622"/>
    <w:rsid w:val="00C51D39"/>
    <w:rsid w:val="00CF15C3"/>
    <w:rsid w:val="00E51341"/>
    <w:rsid w:val="00E92772"/>
    <w:rsid w:val="00F12F2C"/>
    <w:rsid w:val="013474ED"/>
    <w:rsid w:val="02180DA7"/>
    <w:rsid w:val="02B20C36"/>
    <w:rsid w:val="02DE7C7D"/>
    <w:rsid w:val="034A70C0"/>
    <w:rsid w:val="04BE2F9F"/>
    <w:rsid w:val="050C0A55"/>
    <w:rsid w:val="059341B1"/>
    <w:rsid w:val="05995525"/>
    <w:rsid w:val="05A338FA"/>
    <w:rsid w:val="05A91BD8"/>
    <w:rsid w:val="06065850"/>
    <w:rsid w:val="075E313A"/>
    <w:rsid w:val="07693286"/>
    <w:rsid w:val="07D43B6C"/>
    <w:rsid w:val="095F763D"/>
    <w:rsid w:val="09D05E45"/>
    <w:rsid w:val="09FC161F"/>
    <w:rsid w:val="0A0D52EB"/>
    <w:rsid w:val="0A8C4416"/>
    <w:rsid w:val="0BA61553"/>
    <w:rsid w:val="0C662505"/>
    <w:rsid w:val="0D873278"/>
    <w:rsid w:val="0DB066B9"/>
    <w:rsid w:val="0DF91E0E"/>
    <w:rsid w:val="0F251AE4"/>
    <w:rsid w:val="0F8611CB"/>
    <w:rsid w:val="0FE041EA"/>
    <w:rsid w:val="103D5EA4"/>
    <w:rsid w:val="10991559"/>
    <w:rsid w:val="114535BD"/>
    <w:rsid w:val="11A025A1"/>
    <w:rsid w:val="11C12C43"/>
    <w:rsid w:val="12814D69"/>
    <w:rsid w:val="12C26116"/>
    <w:rsid w:val="138D3FA2"/>
    <w:rsid w:val="13A04ADA"/>
    <w:rsid w:val="14861FBB"/>
    <w:rsid w:val="15393888"/>
    <w:rsid w:val="153A427E"/>
    <w:rsid w:val="160A4336"/>
    <w:rsid w:val="16C057DA"/>
    <w:rsid w:val="16DF3B6C"/>
    <w:rsid w:val="17253C74"/>
    <w:rsid w:val="18047D2E"/>
    <w:rsid w:val="185D11EC"/>
    <w:rsid w:val="18963315"/>
    <w:rsid w:val="18B22F8F"/>
    <w:rsid w:val="1957094D"/>
    <w:rsid w:val="1A620D3B"/>
    <w:rsid w:val="1A622AE9"/>
    <w:rsid w:val="1A622CDC"/>
    <w:rsid w:val="1A877F15"/>
    <w:rsid w:val="1AA255DC"/>
    <w:rsid w:val="1AAB6738"/>
    <w:rsid w:val="1ACF65D8"/>
    <w:rsid w:val="1B23740C"/>
    <w:rsid w:val="1B6B267C"/>
    <w:rsid w:val="1BBC054B"/>
    <w:rsid w:val="1BC752FA"/>
    <w:rsid w:val="1C1F3F30"/>
    <w:rsid w:val="1C3373DC"/>
    <w:rsid w:val="1C5A35A2"/>
    <w:rsid w:val="1CD04987"/>
    <w:rsid w:val="1CE974F2"/>
    <w:rsid w:val="1D0603B2"/>
    <w:rsid w:val="1E202692"/>
    <w:rsid w:val="1F3A2287"/>
    <w:rsid w:val="1F721E01"/>
    <w:rsid w:val="1F843502"/>
    <w:rsid w:val="20A774A8"/>
    <w:rsid w:val="20AA51EA"/>
    <w:rsid w:val="210B3144"/>
    <w:rsid w:val="22C44E66"/>
    <w:rsid w:val="22C97BAA"/>
    <w:rsid w:val="23515DF1"/>
    <w:rsid w:val="2392443F"/>
    <w:rsid w:val="24C50845"/>
    <w:rsid w:val="24D94D73"/>
    <w:rsid w:val="24E9651D"/>
    <w:rsid w:val="25C64874"/>
    <w:rsid w:val="25F32A9B"/>
    <w:rsid w:val="261F53A7"/>
    <w:rsid w:val="266D4CF0"/>
    <w:rsid w:val="267A28DC"/>
    <w:rsid w:val="269E2B7C"/>
    <w:rsid w:val="27031BE1"/>
    <w:rsid w:val="27CE5C62"/>
    <w:rsid w:val="28C606E7"/>
    <w:rsid w:val="2AD614B6"/>
    <w:rsid w:val="2B1157DF"/>
    <w:rsid w:val="2B623CB8"/>
    <w:rsid w:val="2D970E0F"/>
    <w:rsid w:val="2D9E1C33"/>
    <w:rsid w:val="2E6F2713"/>
    <w:rsid w:val="2ED479FC"/>
    <w:rsid w:val="302A3C52"/>
    <w:rsid w:val="30766E97"/>
    <w:rsid w:val="313528AE"/>
    <w:rsid w:val="328A7FD6"/>
    <w:rsid w:val="32DE1F01"/>
    <w:rsid w:val="33AF13A5"/>
    <w:rsid w:val="34F36D08"/>
    <w:rsid w:val="35AF1544"/>
    <w:rsid w:val="35CB1A33"/>
    <w:rsid w:val="365A34BC"/>
    <w:rsid w:val="37402144"/>
    <w:rsid w:val="3777626B"/>
    <w:rsid w:val="37D309FE"/>
    <w:rsid w:val="38683569"/>
    <w:rsid w:val="38BD1B07"/>
    <w:rsid w:val="38DB01DF"/>
    <w:rsid w:val="39047F4F"/>
    <w:rsid w:val="397A4A84"/>
    <w:rsid w:val="3C0D6901"/>
    <w:rsid w:val="3C143F1F"/>
    <w:rsid w:val="3C804634"/>
    <w:rsid w:val="3C845C7C"/>
    <w:rsid w:val="3D5524F5"/>
    <w:rsid w:val="3D803103"/>
    <w:rsid w:val="3DD0792B"/>
    <w:rsid w:val="3EC644D5"/>
    <w:rsid w:val="409A272E"/>
    <w:rsid w:val="40BC174C"/>
    <w:rsid w:val="41197DEF"/>
    <w:rsid w:val="413A0E55"/>
    <w:rsid w:val="422124B4"/>
    <w:rsid w:val="428E6874"/>
    <w:rsid w:val="42C306E6"/>
    <w:rsid w:val="43EC504E"/>
    <w:rsid w:val="45402057"/>
    <w:rsid w:val="456C61E7"/>
    <w:rsid w:val="46991E4C"/>
    <w:rsid w:val="46A0383F"/>
    <w:rsid w:val="46FA3F26"/>
    <w:rsid w:val="47285361"/>
    <w:rsid w:val="47F25917"/>
    <w:rsid w:val="48B31241"/>
    <w:rsid w:val="48E61843"/>
    <w:rsid w:val="49A60395"/>
    <w:rsid w:val="49B361E0"/>
    <w:rsid w:val="4A050C18"/>
    <w:rsid w:val="4A34774F"/>
    <w:rsid w:val="4A7A5C05"/>
    <w:rsid w:val="4A8204BA"/>
    <w:rsid w:val="4A9269F9"/>
    <w:rsid w:val="4B781142"/>
    <w:rsid w:val="4C6F05D8"/>
    <w:rsid w:val="4C9E50A8"/>
    <w:rsid w:val="4CF15F29"/>
    <w:rsid w:val="4D2A7BF6"/>
    <w:rsid w:val="4D8714D8"/>
    <w:rsid w:val="4DE733FA"/>
    <w:rsid w:val="4ECA0682"/>
    <w:rsid w:val="4FE3158E"/>
    <w:rsid w:val="51114346"/>
    <w:rsid w:val="521E31BF"/>
    <w:rsid w:val="524B7D2C"/>
    <w:rsid w:val="52A336C4"/>
    <w:rsid w:val="52ED1F86"/>
    <w:rsid w:val="52EE4A1B"/>
    <w:rsid w:val="531639E1"/>
    <w:rsid w:val="543705EC"/>
    <w:rsid w:val="54A6749B"/>
    <w:rsid w:val="55316739"/>
    <w:rsid w:val="561A5A4B"/>
    <w:rsid w:val="56643F3B"/>
    <w:rsid w:val="5685533D"/>
    <w:rsid w:val="57016089"/>
    <w:rsid w:val="57847FB7"/>
    <w:rsid w:val="57AA72A2"/>
    <w:rsid w:val="584F647D"/>
    <w:rsid w:val="58545F4B"/>
    <w:rsid w:val="58760BAB"/>
    <w:rsid w:val="58B55EFF"/>
    <w:rsid w:val="593A633C"/>
    <w:rsid w:val="598C4EB2"/>
    <w:rsid w:val="59DDBFA1"/>
    <w:rsid w:val="5A1E1E2A"/>
    <w:rsid w:val="5A43770C"/>
    <w:rsid w:val="5B607CF8"/>
    <w:rsid w:val="5DBA6D2B"/>
    <w:rsid w:val="5E3E6D6B"/>
    <w:rsid w:val="5FE7F925"/>
    <w:rsid w:val="5FEF2225"/>
    <w:rsid w:val="61450FCA"/>
    <w:rsid w:val="61595395"/>
    <w:rsid w:val="623739D2"/>
    <w:rsid w:val="629B5302"/>
    <w:rsid w:val="62B83B2F"/>
    <w:rsid w:val="62FD28AC"/>
    <w:rsid w:val="63A11206"/>
    <w:rsid w:val="63C4349A"/>
    <w:rsid w:val="64BE25DF"/>
    <w:rsid w:val="64E64F2D"/>
    <w:rsid w:val="65503EE6"/>
    <w:rsid w:val="6659436D"/>
    <w:rsid w:val="67486CA1"/>
    <w:rsid w:val="68B035D4"/>
    <w:rsid w:val="690B56C7"/>
    <w:rsid w:val="69264863"/>
    <w:rsid w:val="6A0B48AC"/>
    <w:rsid w:val="6A570BC4"/>
    <w:rsid w:val="6BB961CE"/>
    <w:rsid w:val="6C25217A"/>
    <w:rsid w:val="6D21195D"/>
    <w:rsid w:val="6D5D7889"/>
    <w:rsid w:val="6EFF4D00"/>
    <w:rsid w:val="6F18067A"/>
    <w:rsid w:val="6F682323"/>
    <w:rsid w:val="6F79782E"/>
    <w:rsid w:val="6F83781B"/>
    <w:rsid w:val="703D44F7"/>
    <w:rsid w:val="708D6636"/>
    <w:rsid w:val="714E44A4"/>
    <w:rsid w:val="73216213"/>
    <w:rsid w:val="73D61F49"/>
    <w:rsid w:val="74480F87"/>
    <w:rsid w:val="750D091A"/>
    <w:rsid w:val="75403305"/>
    <w:rsid w:val="7568454D"/>
    <w:rsid w:val="764F230E"/>
    <w:rsid w:val="76E23F0B"/>
    <w:rsid w:val="7774302C"/>
    <w:rsid w:val="778D5738"/>
    <w:rsid w:val="77CE3D0C"/>
    <w:rsid w:val="783A3050"/>
    <w:rsid w:val="798C1C9D"/>
    <w:rsid w:val="79EC2A16"/>
    <w:rsid w:val="7AB649C0"/>
    <w:rsid w:val="7CFD1A9F"/>
    <w:rsid w:val="7CFE05BA"/>
    <w:rsid w:val="7D761851"/>
    <w:rsid w:val="7DF86F1F"/>
    <w:rsid w:val="7E6478FC"/>
    <w:rsid w:val="D35EB4E7"/>
    <w:rsid w:val="DE77AF58"/>
    <w:rsid w:val="DF6F32BC"/>
    <w:rsid w:val="E7FB5135"/>
    <w:rsid w:val="F3AB8009"/>
    <w:rsid w:val="FB6E6CEE"/>
    <w:rsid w:val="FB9E15A7"/>
    <w:rsid w:val="FFFEE3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1" w:semiHidden="0" w:name="heading 3"/>
    <w:lsdException w:qFormat="1" w:uiPriority="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110"/>
    <w:autoRedefine/>
    <w:qFormat/>
    <w:uiPriority w:val="0"/>
    <w:pPr>
      <w:keepNext/>
      <w:keepLines/>
      <w:pageBreakBefore/>
      <w:outlineLvl w:val="1"/>
    </w:pPr>
    <w:rPr>
      <w:rFonts w:ascii="Arial" w:hAnsi="Arial" w:eastAsia="黑体"/>
      <w:b/>
      <w:bCs/>
      <w:sz w:val="32"/>
      <w:szCs w:val="32"/>
    </w:rPr>
  </w:style>
  <w:style w:type="paragraph" w:styleId="5">
    <w:name w:val="heading 3"/>
    <w:basedOn w:val="1"/>
    <w:next w:val="1"/>
    <w:autoRedefine/>
    <w:qFormat/>
    <w:uiPriority w:val="1"/>
    <w:pPr>
      <w:ind w:left="1079"/>
      <w:outlineLvl w:val="2"/>
    </w:pPr>
    <w:rPr>
      <w:rFonts w:ascii="宋体" w:hAnsi="宋体" w:cs="宋体"/>
      <w:b/>
      <w:bCs/>
      <w:sz w:val="24"/>
      <w:lang w:val="zh-CN" w:bidi="zh-CN"/>
    </w:rPr>
  </w:style>
  <w:style w:type="paragraph" w:styleId="6">
    <w:name w:val="heading 4"/>
    <w:basedOn w:val="1"/>
    <w:next w:val="1"/>
    <w:autoRedefine/>
    <w:semiHidden/>
    <w:unhideWhenUsed/>
    <w:qFormat/>
    <w:uiPriority w:val="0"/>
    <w:pPr>
      <w:keepNext/>
      <w:keepLines/>
      <w:numPr>
        <w:ilvl w:val="3"/>
        <w:numId w:val="1"/>
      </w:numPr>
      <w:spacing w:before="280" w:after="290" w:line="372" w:lineRule="auto"/>
      <w:outlineLvl w:val="3"/>
    </w:pPr>
    <w:rPr>
      <w:rFonts w:ascii="Arial" w:hAnsi="Arial" w:eastAsia="黑体"/>
      <w:b/>
      <w:sz w:val="28"/>
    </w:rPr>
  </w:style>
  <w:style w:type="paragraph" w:styleId="7">
    <w:name w:val="heading 5"/>
    <w:basedOn w:val="1"/>
    <w:next w:val="1"/>
    <w:autoRedefine/>
    <w:qFormat/>
    <w:uiPriority w:val="1"/>
    <w:pPr>
      <w:spacing w:before="1"/>
      <w:ind w:left="1257"/>
      <w:outlineLvl w:val="4"/>
    </w:pPr>
    <w:rPr>
      <w:rFonts w:ascii="宋体" w:hAnsi="宋体" w:cs="宋体"/>
      <w:b/>
      <w:bCs/>
      <w:sz w:val="24"/>
      <w:lang w:val="zh-CN" w:bidi="zh-CN"/>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styleId="2">
    <w:name w:val="Block Text"/>
    <w:basedOn w:val="1"/>
    <w:qFormat/>
    <w:uiPriority w:val="0"/>
    <w:pPr>
      <w:spacing w:after="120"/>
      <w:ind w:left="1440" w:leftChars="700" w:right="1440" w:rightChars="700"/>
    </w:pPr>
  </w:style>
  <w:style w:type="paragraph" w:styleId="8">
    <w:name w:val="Normal Indent"/>
    <w:basedOn w:val="1"/>
    <w:next w:val="1"/>
    <w:autoRedefine/>
    <w:qFormat/>
    <w:uiPriority w:val="0"/>
    <w:pPr>
      <w:spacing w:line="500" w:lineRule="atLeast"/>
      <w:ind w:firstLine="420"/>
    </w:pPr>
    <w:rPr>
      <w:rFonts w:ascii="Calibri" w:hAnsi="Calibri"/>
      <w:sz w:val="28"/>
      <w:szCs w:val="22"/>
    </w:rPr>
  </w:style>
  <w:style w:type="paragraph" w:styleId="9">
    <w:name w:val="caption"/>
    <w:basedOn w:val="1"/>
    <w:next w:val="1"/>
    <w:unhideWhenUsed/>
    <w:qFormat/>
    <w:uiPriority w:val="0"/>
    <w:pPr>
      <w:jc w:val="center"/>
    </w:pPr>
    <w:rPr>
      <w:rFonts w:cstheme="majorBidi"/>
      <w:b/>
      <w:szCs w:val="20"/>
    </w:rPr>
  </w:style>
  <w:style w:type="paragraph" w:styleId="10">
    <w:name w:val="annotation text"/>
    <w:basedOn w:val="1"/>
    <w:link w:val="47"/>
    <w:autoRedefine/>
    <w:qFormat/>
    <w:uiPriority w:val="0"/>
    <w:pPr>
      <w:jc w:val="left"/>
    </w:pPr>
    <w:rPr>
      <w:kern w:val="0"/>
      <w:sz w:val="24"/>
      <w:szCs w:val="20"/>
    </w:rPr>
  </w:style>
  <w:style w:type="paragraph" w:styleId="11">
    <w:name w:val="Body Text"/>
    <w:basedOn w:val="1"/>
    <w:next w:val="12"/>
    <w:link w:val="53"/>
    <w:autoRedefine/>
    <w:qFormat/>
    <w:uiPriority w:val="0"/>
    <w:pPr>
      <w:widowControl/>
      <w:snapToGrid w:val="0"/>
      <w:spacing w:before="60" w:after="160" w:line="259" w:lineRule="auto"/>
      <w:ind w:right="113"/>
    </w:pPr>
    <w:rPr>
      <w:kern w:val="0"/>
      <w:sz w:val="18"/>
      <w:szCs w:val="20"/>
    </w:rPr>
  </w:style>
  <w:style w:type="paragraph" w:styleId="12">
    <w:name w:val="Body Text First Indent"/>
    <w:basedOn w:val="11"/>
    <w:autoRedefine/>
    <w:qFormat/>
    <w:uiPriority w:val="0"/>
    <w:pPr>
      <w:widowControl w:val="0"/>
      <w:spacing w:after="120" w:line="240" w:lineRule="auto"/>
      <w:ind w:firstLine="420" w:firstLineChars="100"/>
    </w:pPr>
    <w:rPr>
      <w:rFonts w:ascii="Calibri" w:hAnsi="Calibri"/>
      <w:kern w:val="2"/>
      <w:sz w:val="21"/>
      <w:szCs w:val="24"/>
    </w:rPr>
  </w:style>
  <w:style w:type="paragraph" w:styleId="13">
    <w:name w:val="Body Text Indent"/>
    <w:basedOn w:val="1"/>
    <w:next w:val="14"/>
    <w:link w:val="59"/>
    <w:autoRedefine/>
    <w:qFormat/>
    <w:uiPriority w:val="0"/>
    <w:pPr>
      <w:spacing w:after="120"/>
      <w:ind w:left="420" w:leftChars="200"/>
    </w:pPr>
    <w:rPr>
      <w:kern w:val="0"/>
      <w:sz w:val="24"/>
      <w:szCs w:val="20"/>
    </w:rPr>
  </w:style>
  <w:style w:type="paragraph" w:styleId="14">
    <w:name w:val="header"/>
    <w:basedOn w:val="1"/>
    <w:next w:val="15"/>
    <w:link w:val="63"/>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5">
    <w:name w:val="样式5"/>
    <w:basedOn w:val="16"/>
    <w:next w:val="1"/>
    <w:autoRedefine/>
    <w:qFormat/>
    <w:uiPriority w:val="0"/>
    <w:pPr>
      <w:tabs>
        <w:tab w:val="left" w:pos="2045"/>
      </w:tabs>
      <w:spacing w:line="380" w:lineRule="exact"/>
      <w:ind w:firstLine="566" w:firstLineChars="202"/>
    </w:pPr>
    <w:rPr>
      <w:rFonts w:eastAsia="华文行楷"/>
    </w:rPr>
  </w:style>
  <w:style w:type="paragraph" w:customStyle="1" w:styleId="16">
    <w:name w:val="样式3"/>
    <w:basedOn w:val="17"/>
    <w:next w:val="11"/>
    <w:autoRedefine/>
    <w:qFormat/>
    <w:uiPriority w:val="0"/>
    <w:pPr>
      <w:tabs>
        <w:tab w:val="left" w:pos="2045"/>
      </w:tabs>
      <w:adjustRightInd w:val="0"/>
      <w:snapToGrid w:val="0"/>
      <w:spacing w:line="480" w:lineRule="exact"/>
      <w:ind w:left="0"/>
      <w:outlineLvl w:val="2"/>
    </w:pPr>
    <w:rPr>
      <w:b/>
      <w:bCs/>
      <w:sz w:val="26"/>
    </w:rPr>
  </w:style>
  <w:style w:type="paragraph" w:styleId="17">
    <w:name w:val="List"/>
    <w:basedOn w:val="1"/>
    <w:autoRedefine/>
    <w:qFormat/>
    <w:uiPriority w:val="0"/>
    <w:pPr>
      <w:ind w:left="200" w:hanging="200" w:hangingChars="200"/>
    </w:pPr>
  </w:style>
  <w:style w:type="paragraph" w:styleId="18">
    <w:name w:val="toc 3"/>
    <w:basedOn w:val="1"/>
    <w:next w:val="1"/>
    <w:autoRedefine/>
    <w:qFormat/>
    <w:uiPriority w:val="39"/>
    <w:pPr>
      <w:ind w:left="480"/>
      <w:jc w:val="left"/>
    </w:pPr>
    <w:rPr>
      <w:rFonts w:ascii="Calibri" w:hAnsi="Calibri"/>
      <w:sz w:val="20"/>
      <w:szCs w:val="20"/>
    </w:rPr>
  </w:style>
  <w:style w:type="paragraph" w:styleId="19">
    <w:name w:val="Plain Text"/>
    <w:basedOn w:val="1"/>
    <w:next w:val="20"/>
    <w:autoRedefine/>
    <w:qFormat/>
    <w:uiPriority w:val="0"/>
    <w:rPr>
      <w:rFonts w:ascii="宋体" w:hAnsi="Courier New" w:cs="Courier New"/>
      <w:szCs w:val="21"/>
    </w:rPr>
  </w:style>
  <w:style w:type="paragraph" w:styleId="20">
    <w:name w:val="toc 1"/>
    <w:basedOn w:val="1"/>
    <w:next w:val="1"/>
    <w:autoRedefine/>
    <w:qFormat/>
    <w:uiPriority w:val="39"/>
    <w:pPr>
      <w:spacing w:before="120" w:after="120"/>
      <w:jc w:val="left"/>
    </w:pPr>
    <w:rPr>
      <w:rFonts w:ascii="Calibri" w:hAnsi="Calibri"/>
      <w:b/>
      <w:bCs/>
      <w:caps/>
      <w:sz w:val="20"/>
      <w:szCs w:val="20"/>
    </w:rPr>
  </w:style>
  <w:style w:type="paragraph" w:styleId="21">
    <w:name w:val="List Bullet 5"/>
    <w:basedOn w:val="1"/>
    <w:autoRedefine/>
    <w:qFormat/>
    <w:uiPriority w:val="0"/>
    <w:pPr>
      <w:numPr>
        <w:ilvl w:val="0"/>
        <w:numId w:val="2"/>
      </w:numPr>
    </w:pPr>
  </w:style>
  <w:style w:type="paragraph" w:styleId="22">
    <w:name w:val="Date"/>
    <w:basedOn w:val="1"/>
    <w:next w:val="1"/>
    <w:link w:val="58"/>
    <w:autoRedefine/>
    <w:qFormat/>
    <w:uiPriority w:val="0"/>
    <w:pPr>
      <w:ind w:left="100" w:leftChars="2500"/>
    </w:pPr>
    <w:rPr>
      <w:kern w:val="0"/>
      <w:sz w:val="24"/>
      <w:szCs w:val="20"/>
    </w:rPr>
  </w:style>
  <w:style w:type="paragraph" w:styleId="23">
    <w:name w:val="Body Text Indent 2"/>
    <w:basedOn w:val="1"/>
    <w:autoRedefine/>
    <w:qFormat/>
    <w:uiPriority w:val="0"/>
    <w:pPr>
      <w:spacing w:after="120" w:line="480" w:lineRule="auto"/>
      <w:ind w:left="420" w:leftChars="200"/>
    </w:pPr>
  </w:style>
  <w:style w:type="paragraph" w:styleId="24">
    <w:name w:val="Balloon Text"/>
    <w:basedOn w:val="1"/>
    <w:link w:val="48"/>
    <w:autoRedefine/>
    <w:qFormat/>
    <w:uiPriority w:val="0"/>
    <w:rPr>
      <w:kern w:val="0"/>
      <w:sz w:val="18"/>
      <w:szCs w:val="20"/>
    </w:rPr>
  </w:style>
  <w:style w:type="paragraph" w:styleId="25">
    <w:name w:val="footer"/>
    <w:basedOn w:val="1"/>
    <w:link w:val="64"/>
    <w:autoRedefine/>
    <w:qFormat/>
    <w:uiPriority w:val="99"/>
    <w:pPr>
      <w:tabs>
        <w:tab w:val="center" w:pos="4153"/>
        <w:tab w:val="right" w:pos="8306"/>
      </w:tabs>
      <w:snapToGrid w:val="0"/>
      <w:jc w:val="left"/>
    </w:pPr>
    <w:rPr>
      <w:kern w:val="0"/>
      <w:sz w:val="18"/>
      <w:szCs w:val="20"/>
    </w:rPr>
  </w:style>
  <w:style w:type="paragraph" w:styleId="26">
    <w:name w:val="envelope return"/>
    <w:basedOn w:val="1"/>
    <w:autoRedefine/>
    <w:qFormat/>
    <w:uiPriority w:val="0"/>
    <w:pPr>
      <w:snapToGrid w:val="0"/>
      <w:spacing w:line="480" w:lineRule="exact"/>
    </w:pPr>
    <w:rPr>
      <w:rFonts w:ascii="Arial" w:hAnsi="Arial" w:cs="Arial"/>
    </w:rPr>
  </w:style>
  <w:style w:type="paragraph" w:styleId="27">
    <w:name w:val="index heading"/>
    <w:basedOn w:val="1"/>
    <w:next w:val="28"/>
    <w:qFormat/>
    <w:uiPriority w:val="0"/>
    <w:rPr>
      <w:szCs w:val="20"/>
    </w:rPr>
  </w:style>
  <w:style w:type="paragraph" w:styleId="28">
    <w:name w:val="index 1"/>
    <w:basedOn w:val="1"/>
    <w:next w:val="1"/>
    <w:semiHidden/>
    <w:qFormat/>
    <w:uiPriority w:val="0"/>
    <w:pPr>
      <w:spacing w:line="440" w:lineRule="exact"/>
    </w:pPr>
    <w:rPr>
      <w:rFonts w:ascii="宋体" w:hAnsi="宋体"/>
      <w:b/>
      <w:kern w:val="0"/>
      <w:sz w:val="24"/>
    </w:rPr>
  </w:style>
  <w:style w:type="paragraph" w:styleId="29">
    <w:name w:val="table of figures"/>
    <w:basedOn w:val="1"/>
    <w:next w:val="1"/>
    <w:autoRedefine/>
    <w:qFormat/>
    <w:uiPriority w:val="0"/>
    <w:pPr>
      <w:spacing w:line="360" w:lineRule="auto"/>
      <w:ind w:left="200" w:leftChars="200" w:hanging="200" w:hangingChars="200"/>
    </w:pPr>
    <w:rPr>
      <w:rFonts w:cs="宋体"/>
      <w:sz w:val="24"/>
      <w:szCs w:val="22"/>
    </w:rPr>
  </w:style>
  <w:style w:type="paragraph" w:styleId="30">
    <w:name w:val="toc 2"/>
    <w:basedOn w:val="1"/>
    <w:next w:val="1"/>
    <w:autoRedefine/>
    <w:qFormat/>
    <w:uiPriority w:val="0"/>
    <w:pPr>
      <w:ind w:left="420" w:leftChars="200"/>
    </w:pPr>
  </w:style>
  <w:style w:type="paragraph" w:styleId="31">
    <w:name w:val="Normal (Web)"/>
    <w:basedOn w:val="1"/>
    <w:link w:val="60"/>
    <w:autoRedefine/>
    <w:qFormat/>
    <w:uiPriority w:val="0"/>
    <w:pPr>
      <w:widowControl/>
      <w:spacing w:before="100" w:beforeAutospacing="1" w:after="100" w:afterAutospacing="1"/>
      <w:jc w:val="left"/>
    </w:pPr>
    <w:rPr>
      <w:rFonts w:ascii="宋体" w:hAnsi="宋体"/>
      <w:kern w:val="0"/>
      <w:sz w:val="24"/>
      <w:szCs w:val="20"/>
    </w:rPr>
  </w:style>
  <w:style w:type="paragraph" w:styleId="32">
    <w:name w:val="Title"/>
    <w:basedOn w:val="1"/>
    <w:next w:val="1"/>
    <w:autoRedefine/>
    <w:qFormat/>
    <w:uiPriority w:val="0"/>
    <w:pPr>
      <w:outlineLvl w:val="0"/>
    </w:pPr>
    <w:rPr>
      <w:rFonts w:ascii="Cambria" w:hAnsi="Cambria"/>
      <w:b/>
      <w:bCs/>
      <w:sz w:val="32"/>
      <w:szCs w:val="32"/>
    </w:rPr>
  </w:style>
  <w:style w:type="paragraph" w:styleId="33">
    <w:name w:val="annotation subject"/>
    <w:basedOn w:val="10"/>
    <w:next w:val="10"/>
    <w:link w:val="49"/>
    <w:autoRedefine/>
    <w:qFormat/>
    <w:uiPriority w:val="0"/>
    <w:rPr>
      <w:b/>
    </w:rPr>
  </w:style>
  <w:style w:type="paragraph" w:styleId="34">
    <w:name w:val="Body Text First Indent 2"/>
    <w:basedOn w:val="13"/>
    <w:next w:val="1"/>
    <w:autoRedefine/>
    <w:qFormat/>
    <w:uiPriority w:val="0"/>
    <w:pPr>
      <w:ind w:firstLine="420" w:firstLineChars="200"/>
    </w:pPr>
    <w:rPr>
      <w:rFonts w:ascii="Calibri" w:hAnsi="Calibri" w:cs="宋体"/>
      <w:kern w:val="2"/>
      <w:sz w:val="21"/>
      <w:szCs w:val="24"/>
    </w:rPr>
  </w:style>
  <w:style w:type="table" w:styleId="36">
    <w:name w:val="Table Grid"/>
    <w:basedOn w:val="35"/>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page number"/>
    <w:basedOn w:val="37"/>
    <w:autoRedefine/>
    <w:qFormat/>
    <w:uiPriority w:val="0"/>
  </w:style>
  <w:style w:type="character" w:styleId="39">
    <w:name w:val="annotation reference"/>
    <w:autoRedefine/>
    <w:qFormat/>
    <w:uiPriority w:val="0"/>
    <w:rPr>
      <w:sz w:val="21"/>
    </w:rPr>
  </w:style>
  <w:style w:type="paragraph" w:customStyle="1" w:styleId="40">
    <w:name w:val="Default"/>
    <w:basedOn w:val="41"/>
    <w:next w:val="42"/>
    <w:autoRedefine/>
    <w:qFormat/>
    <w:uiPriority w:val="0"/>
    <w:pPr>
      <w:autoSpaceDE w:val="0"/>
      <w:autoSpaceDN w:val="0"/>
      <w:adjustRightInd w:val="0"/>
    </w:pPr>
    <w:rPr>
      <w:rFonts w:ascii="宋体" w:hAnsi="Calibri" w:cs="宋体"/>
      <w:sz w:val="24"/>
    </w:rPr>
  </w:style>
  <w:style w:type="paragraph" w:customStyle="1" w:styleId="41">
    <w:name w:val="批注文字1"/>
    <w:autoRedefine/>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42">
    <w:name w:val="样式1"/>
    <w:basedOn w:val="27"/>
    <w:next w:val="1"/>
    <w:autoRedefine/>
    <w:qFormat/>
    <w:uiPriority w:val="0"/>
    <w:rPr>
      <w:rFonts w:asciiTheme="minorHAnsi" w:hAnsiTheme="minorHAnsi"/>
    </w:rPr>
  </w:style>
  <w:style w:type="paragraph" w:customStyle="1" w:styleId="43">
    <w:name w:val="表格"/>
    <w:basedOn w:val="17"/>
    <w:next w:val="1"/>
    <w:link w:val="61"/>
    <w:autoRedefine/>
    <w:qFormat/>
    <w:uiPriority w:val="0"/>
    <w:pPr>
      <w:adjustRightInd w:val="0"/>
      <w:snapToGrid w:val="0"/>
      <w:spacing w:beforeLines="10" w:afterLines="10" w:line="259" w:lineRule="auto"/>
      <w:jc w:val="center"/>
    </w:pPr>
    <w:rPr>
      <w:rFonts w:ascii="宋体"/>
      <w:kern w:val="0"/>
      <w:szCs w:val="20"/>
    </w:rPr>
  </w:style>
  <w:style w:type="paragraph" w:customStyle="1" w:styleId="44">
    <w:name w:val="正文缩进1"/>
    <w:basedOn w:val="1"/>
    <w:next w:val="1"/>
    <w:autoRedefine/>
    <w:qFormat/>
    <w:uiPriority w:val="99"/>
    <w:pPr>
      <w:ind w:firstLine="420"/>
    </w:pPr>
  </w:style>
  <w:style w:type="paragraph" w:customStyle="1" w:styleId="45">
    <w:name w:val="xl27"/>
    <w:next w:val="1"/>
    <w:autoRedefine/>
    <w:qFormat/>
    <w:uiPriority w:val="0"/>
    <w:pPr>
      <w:pBdr>
        <w:bottom w:val="single" w:color="auto" w:sz="4" w:space="0"/>
        <w:right w:val="single" w:color="auto" w:sz="4" w:space="0"/>
      </w:pBdr>
      <w:spacing w:before="100" w:beforeAutospacing="1" w:after="100" w:afterAutospacing="1"/>
      <w:jc w:val="center"/>
    </w:pPr>
    <w:rPr>
      <w:rFonts w:ascii="Times New Roman" w:hAnsi="Times New Roman" w:eastAsia="宋体" w:cs="Times New Roman"/>
      <w:sz w:val="21"/>
      <w:szCs w:val="21"/>
      <w:lang w:val="en-US" w:eastAsia="zh-CN" w:bidi="ar-SA"/>
    </w:rPr>
  </w:style>
  <w:style w:type="character" w:customStyle="1" w:styleId="46">
    <w:name w:val="正文文本 字符1"/>
    <w:autoRedefine/>
    <w:qFormat/>
    <w:uiPriority w:val="0"/>
    <w:rPr>
      <w:rFonts w:ascii="Times New Roman" w:hAnsi="Times New Roman" w:eastAsia="宋体"/>
      <w:sz w:val="24"/>
    </w:rPr>
  </w:style>
  <w:style w:type="character" w:customStyle="1" w:styleId="47">
    <w:name w:val="批注文字 字符"/>
    <w:link w:val="10"/>
    <w:autoRedefine/>
    <w:qFormat/>
    <w:uiPriority w:val="0"/>
    <w:rPr>
      <w:rFonts w:ascii="Times New Roman" w:hAnsi="Times New Roman" w:eastAsia="宋体"/>
      <w:sz w:val="24"/>
    </w:rPr>
  </w:style>
  <w:style w:type="character" w:customStyle="1" w:styleId="48">
    <w:name w:val="批注框文本 字符"/>
    <w:link w:val="24"/>
    <w:autoRedefine/>
    <w:qFormat/>
    <w:uiPriority w:val="0"/>
    <w:rPr>
      <w:rFonts w:ascii="Times New Roman" w:hAnsi="Times New Roman" w:eastAsia="宋体"/>
      <w:sz w:val="18"/>
    </w:rPr>
  </w:style>
  <w:style w:type="character" w:customStyle="1" w:styleId="49">
    <w:name w:val="批注主题 字符"/>
    <w:link w:val="33"/>
    <w:autoRedefine/>
    <w:qFormat/>
    <w:uiPriority w:val="0"/>
    <w:rPr>
      <w:rFonts w:ascii="Times New Roman" w:hAnsi="Times New Roman" w:eastAsia="宋体"/>
      <w:b/>
      <w:kern w:val="2"/>
      <w:sz w:val="24"/>
    </w:rPr>
  </w:style>
  <w:style w:type="character" w:customStyle="1" w:styleId="50">
    <w:name w:val="1正文 Char"/>
    <w:link w:val="51"/>
    <w:autoRedefine/>
    <w:qFormat/>
    <w:uiPriority w:val="0"/>
    <w:rPr>
      <w:rFonts w:ascii="Calibri" w:hAnsi="Calibri" w:eastAsia="宋体" w:cs="Times New Roman"/>
      <w:kern w:val="0"/>
      <w:sz w:val="24"/>
      <w:szCs w:val="20"/>
      <w:lang w:val="en-GB" w:eastAsia="zh-CN" w:bidi="ar-SA"/>
    </w:rPr>
  </w:style>
  <w:style w:type="paragraph" w:customStyle="1" w:styleId="51">
    <w:name w:val="1正文"/>
    <w:link w:val="50"/>
    <w:autoRedefine/>
    <w:qFormat/>
    <w:uiPriority w:val="0"/>
    <w:pPr>
      <w:spacing w:line="360" w:lineRule="auto"/>
      <w:ind w:firstLine="200" w:firstLineChars="200"/>
      <w:jc w:val="both"/>
    </w:pPr>
    <w:rPr>
      <w:rFonts w:ascii="Calibri" w:hAnsi="Calibri" w:eastAsia="宋体" w:cs="Times New Roman"/>
      <w:sz w:val="24"/>
      <w:lang w:val="en-GB" w:eastAsia="zh-CN" w:bidi="ar-SA"/>
    </w:rPr>
  </w:style>
  <w:style w:type="character" w:customStyle="1" w:styleId="52">
    <w:name w:val="日期 字符"/>
    <w:autoRedefine/>
    <w:qFormat/>
    <w:uiPriority w:val="0"/>
    <w:rPr>
      <w:rFonts w:ascii="Times New Roman" w:hAnsi="Times New Roman" w:eastAsia="宋体"/>
      <w:sz w:val="24"/>
    </w:rPr>
  </w:style>
  <w:style w:type="character" w:customStyle="1" w:styleId="53">
    <w:name w:val="正文文本 字符"/>
    <w:link w:val="11"/>
    <w:autoRedefine/>
    <w:qFormat/>
    <w:uiPriority w:val="0"/>
    <w:rPr>
      <w:sz w:val="18"/>
    </w:rPr>
  </w:style>
  <w:style w:type="character" w:customStyle="1" w:styleId="54">
    <w:name w:val="批注文字 字符1"/>
    <w:autoRedefine/>
    <w:qFormat/>
    <w:uiPriority w:val="0"/>
    <w:rPr>
      <w:rFonts w:ascii="Times New Roman" w:hAnsi="Times New Roman" w:eastAsia="宋体"/>
      <w:sz w:val="24"/>
    </w:rPr>
  </w:style>
  <w:style w:type="character" w:customStyle="1" w:styleId="55">
    <w:name w:val="18"/>
    <w:autoRedefine/>
    <w:qFormat/>
    <w:uiPriority w:val="0"/>
    <w:rPr>
      <w:rFonts w:ascii="MingLiU" w:hAnsi="MingLiU" w:eastAsia="MingLiU" w:cs="Times New Roman"/>
      <w:spacing w:val="30"/>
      <w:sz w:val="26"/>
      <w:szCs w:val="26"/>
    </w:rPr>
  </w:style>
  <w:style w:type="character" w:customStyle="1" w:styleId="56">
    <w:name w:val="000000 Char"/>
    <w:link w:val="57"/>
    <w:autoRedefine/>
    <w:qFormat/>
    <w:uiPriority w:val="0"/>
    <w:rPr>
      <w:rFonts w:ascii="Times New Roman" w:hAnsi="Times New Roman" w:eastAsia="宋体"/>
      <w:b/>
      <w:sz w:val="21"/>
    </w:rPr>
  </w:style>
  <w:style w:type="paragraph" w:customStyle="1" w:styleId="57">
    <w:name w:val="000000"/>
    <w:basedOn w:val="51"/>
    <w:link w:val="56"/>
    <w:autoRedefine/>
    <w:qFormat/>
    <w:uiPriority w:val="0"/>
    <w:pPr>
      <w:spacing w:line="240" w:lineRule="auto"/>
      <w:ind w:firstLine="0" w:firstLineChars="0"/>
      <w:jc w:val="center"/>
    </w:pPr>
    <w:rPr>
      <w:rFonts w:ascii="Times New Roman" w:hAnsi="Times New Roman"/>
      <w:b/>
      <w:sz w:val="21"/>
    </w:rPr>
  </w:style>
  <w:style w:type="character" w:customStyle="1" w:styleId="58">
    <w:name w:val="日期 字符1"/>
    <w:link w:val="22"/>
    <w:autoRedefine/>
    <w:qFormat/>
    <w:uiPriority w:val="0"/>
    <w:rPr>
      <w:rFonts w:ascii="Times New Roman" w:hAnsi="Times New Roman" w:eastAsia="宋体"/>
      <w:sz w:val="24"/>
    </w:rPr>
  </w:style>
  <w:style w:type="character" w:customStyle="1" w:styleId="59">
    <w:name w:val="正文文本缩进 字符"/>
    <w:link w:val="13"/>
    <w:autoRedefine/>
    <w:qFormat/>
    <w:uiPriority w:val="0"/>
    <w:rPr>
      <w:rFonts w:ascii="Times New Roman" w:hAnsi="Times New Roman" w:eastAsia="宋体"/>
      <w:sz w:val="24"/>
    </w:rPr>
  </w:style>
  <w:style w:type="character" w:customStyle="1" w:styleId="60">
    <w:name w:val="普通(网站) 字符"/>
    <w:link w:val="31"/>
    <w:autoRedefine/>
    <w:qFormat/>
    <w:uiPriority w:val="0"/>
    <w:rPr>
      <w:rFonts w:ascii="宋体" w:hAnsi="宋体" w:eastAsia="宋体"/>
      <w:sz w:val="24"/>
    </w:rPr>
  </w:style>
  <w:style w:type="character" w:customStyle="1" w:styleId="61">
    <w:name w:val="表格 Char"/>
    <w:link w:val="43"/>
    <w:autoRedefine/>
    <w:qFormat/>
    <w:uiPriority w:val="0"/>
    <w:rPr>
      <w:rFonts w:ascii="宋体"/>
      <w:sz w:val="21"/>
    </w:rPr>
  </w:style>
  <w:style w:type="character" w:customStyle="1" w:styleId="62">
    <w:name w:val="页脚 字符"/>
    <w:basedOn w:val="37"/>
    <w:autoRedefine/>
    <w:qFormat/>
    <w:uiPriority w:val="99"/>
  </w:style>
  <w:style w:type="character" w:customStyle="1" w:styleId="63">
    <w:name w:val="页眉 字符"/>
    <w:link w:val="14"/>
    <w:autoRedefine/>
    <w:qFormat/>
    <w:uiPriority w:val="0"/>
    <w:rPr>
      <w:sz w:val="18"/>
    </w:rPr>
  </w:style>
  <w:style w:type="character" w:customStyle="1" w:styleId="64">
    <w:name w:val="页脚 字符1"/>
    <w:link w:val="25"/>
    <w:autoRedefine/>
    <w:qFormat/>
    <w:uiPriority w:val="99"/>
    <w:rPr>
      <w:sz w:val="18"/>
    </w:rPr>
  </w:style>
  <w:style w:type="paragraph" w:customStyle="1" w:styleId="65">
    <w:name w:val="无间隔表格内"/>
    <w:basedOn w:val="66"/>
    <w:autoRedefine/>
    <w:qFormat/>
    <w:uiPriority w:val="0"/>
    <w:rPr>
      <w:b w:val="0"/>
    </w:rPr>
  </w:style>
  <w:style w:type="paragraph" w:customStyle="1" w:styleId="66">
    <w:name w:val="表   头"/>
    <w:basedOn w:val="1"/>
    <w:autoRedefine/>
    <w:qFormat/>
    <w:uiPriority w:val="0"/>
    <w:pPr>
      <w:snapToGrid w:val="0"/>
      <w:jc w:val="center"/>
    </w:pPr>
    <w:rPr>
      <w:b/>
    </w:rPr>
  </w:style>
  <w:style w:type="paragraph" w:customStyle="1" w:styleId="67">
    <w:name w:val="Table Paragraph"/>
    <w:basedOn w:val="1"/>
    <w:autoRedefine/>
    <w:qFormat/>
    <w:uiPriority w:val="1"/>
    <w:rPr>
      <w:szCs w:val="20"/>
    </w:rPr>
  </w:style>
  <w:style w:type="paragraph" w:customStyle="1" w:styleId="68">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9">
    <w:name w:val="小编号"/>
    <w:next w:val="70"/>
    <w:autoRedefine/>
    <w:qFormat/>
    <w:uiPriority w:val="0"/>
    <w:pPr>
      <w:widowControl w:val="0"/>
      <w:jc w:val="both"/>
    </w:pPr>
    <w:rPr>
      <w:rFonts w:ascii="Calibri" w:hAnsi="Calibri" w:eastAsia="宋体" w:cs="Times New Roman"/>
      <w:b/>
      <w:kern w:val="2"/>
      <w:sz w:val="21"/>
      <w:lang w:val="en-US" w:eastAsia="zh-CN" w:bidi="ar-SA"/>
    </w:rPr>
  </w:style>
  <w:style w:type="paragraph" w:customStyle="1" w:styleId="70">
    <w:name w:val="小三"/>
    <w:next w:val="1"/>
    <w:autoRedefine/>
    <w:qFormat/>
    <w:uiPriority w:val="0"/>
    <w:pPr>
      <w:widowControl w:val="0"/>
      <w:spacing w:line="360" w:lineRule="auto"/>
      <w:jc w:val="both"/>
    </w:pPr>
    <w:rPr>
      <w:rFonts w:ascii="Calibri" w:hAnsi="Calibri" w:eastAsia="宋体" w:cs="Times New Roman"/>
      <w:b/>
      <w:kern w:val="24"/>
      <w:sz w:val="30"/>
      <w:szCs w:val="24"/>
      <w:lang w:val="en-US" w:eastAsia="zh-CN" w:bidi="ar-SA"/>
    </w:rPr>
  </w:style>
  <w:style w:type="paragraph" w:customStyle="1" w:styleId="71">
    <w:name w:val="表格文字"/>
    <w:basedOn w:val="1"/>
    <w:next w:val="1"/>
    <w:autoRedefine/>
    <w:qFormat/>
    <w:uiPriority w:val="0"/>
    <w:pPr>
      <w:adjustRightInd w:val="0"/>
      <w:snapToGrid w:val="0"/>
      <w:jc w:val="center"/>
    </w:pPr>
    <w:rPr>
      <w:rFonts w:ascii="Calibri" w:hAnsi="Calibri"/>
      <w:szCs w:val="21"/>
    </w:rPr>
  </w:style>
  <w:style w:type="paragraph" w:customStyle="1" w:styleId="72">
    <w:name w:val="绘图"/>
    <w:basedOn w:val="1"/>
    <w:autoRedefine/>
    <w:qFormat/>
    <w:uiPriority w:val="0"/>
    <w:pPr>
      <w:spacing w:line="480" w:lineRule="exact"/>
      <w:ind w:firstLine="600"/>
      <w:jc w:val="center"/>
    </w:pPr>
    <w:rPr>
      <w:rFonts w:eastAsia="黑体"/>
    </w:rPr>
  </w:style>
  <w:style w:type="paragraph" w:customStyle="1" w:styleId="73">
    <w:name w:val="纯文本1"/>
    <w:basedOn w:val="1"/>
    <w:autoRedefine/>
    <w:qFormat/>
    <w:uiPriority w:val="0"/>
    <w:rPr>
      <w:rFonts w:ascii="宋体" w:hAnsi="Courier New"/>
      <w:kern w:val="0"/>
      <w:sz w:val="20"/>
      <w:szCs w:val="20"/>
    </w:rPr>
  </w:style>
  <w:style w:type="paragraph" w:customStyle="1" w:styleId="74">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75">
    <w:name w:val="惠泽表格"/>
    <w:basedOn w:val="1"/>
    <w:autoRedefine/>
    <w:qFormat/>
    <w:uiPriority w:val="0"/>
    <w:pPr>
      <w:spacing w:line="480" w:lineRule="exact"/>
      <w:jc w:val="center"/>
    </w:pPr>
    <w:rPr>
      <w:rFonts w:ascii="黑体" w:hAnsi="黑体" w:eastAsia="黑体" w:cs="宋体"/>
      <w:sz w:val="24"/>
    </w:rPr>
  </w:style>
  <w:style w:type="paragraph" w:customStyle="1" w:styleId="76">
    <w:name w:val="表头"/>
    <w:basedOn w:val="11"/>
    <w:next w:val="1"/>
    <w:autoRedefine/>
    <w:qFormat/>
    <w:uiPriority w:val="0"/>
    <w:pPr>
      <w:numPr>
        <w:ilvl w:val="0"/>
        <w:numId w:val="3"/>
      </w:numPr>
      <w:adjustRightInd w:val="0"/>
      <w:jc w:val="center"/>
    </w:pPr>
    <w:rPr>
      <w:b/>
      <w:color w:val="000000"/>
      <w:szCs w:val="21"/>
    </w:rPr>
  </w:style>
  <w:style w:type="paragraph" w:customStyle="1" w:styleId="77">
    <w:name w:val="正文 New New New New New New New New New New New New New New New New New New New New New New New New New New New New New New New New New New New New New New New New New New New New New New New New New New New New New New New New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78">
    <w:name w:val="图表"/>
    <w:next w:val="1"/>
    <w:autoRedefine/>
    <w:qFormat/>
    <w:uiPriority w:val="0"/>
    <w:pPr>
      <w:jc w:val="center"/>
    </w:pPr>
    <w:rPr>
      <w:rFonts w:ascii="Times New Roman" w:hAnsi="Times New Roman" w:eastAsia="宋体" w:cs="Times New Roman"/>
      <w:kern w:val="2"/>
      <w:sz w:val="21"/>
      <w:szCs w:val="24"/>
      <w:lang w:val="en-US" w:eastAsia="zh-CN" w:bidi="ar-SA"/>
    </w:rPr>
  </w:style>
  <w:style w:type="paragraph" w:customStyle="1" w:styleId="79">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0">
    <w:name w:val="!BG_正文"/>
    <w:autoRedefine/>
    <w:qFormat/>
    <w:uiPriority w:val="0"/>
    <w:pPr>
      <w:widowControl w:val="0"/>
      <w:tabs>
        <w:tab w:val="left" w:pos="360"/>
        <w:tab w:val="left" w:pos="540"/>
      </w:tabs>
      <w:spacing w:line="360" w:lineRule="auto"/>
      <w:ind w:firstLine="200" w:firstLineChars="200"/>
      <w:jc w:val="both"/>
    </w:pPr>
    <w:rPr>
      <w:rFonts w:ascii="Calibri" w:hAnsi="Calibri" w:eastAsia="宋体" w:cs="Times New Roman"/>
      <w:kern w:val="2"/>
      <w:sz w:val="24"/>
      <w:szCs w:val="24"/>
      <w:lang w:val="en-US" w:eastAsia="zh-CN" w:bidi="ar-SA"/>
    </w:rPr>
  </w:style>
  <w:style w:type="paragraph" w:customStyle="1" w:styleId="81">
    <w:name w:val="000000000"/>
    <w:basedOn w:val="29"/>
    <w:autoRedefine/>
    <w:qFormat/>
    <w:uiPriority w:val="0"/>
    <w:pPr>
      <w:spacing w:line="240" w:lineRule="auto"/>
      <w:ind w:left="0" w:leftChars="0" w:firstLine="0" w:firstLineChars="0"/>
      <w:jc w:val="center"/>
    </w:pPr>
    <w:rPr>
      <w:b/>
      <w:sz w:val="21"/>
    </w:rPr>
  </w:style>
  <w:style w:type="paragraph" w:customStyle="1" w:styleId="82">
    <w:name w:val="报告表格"/>
    <w:autoRedefine/>
    <w:qFormat/>
    <w:uiPriority w:val="0"/>
    <w:pPr>
      <w:widowControl w:val="0"/>
      <w:autoSpaceDE w:val="0"/>
      <w:autoSpaceDN w:val="0"/>
      <w:jc w:val="center"/>
    </w:pPr>
    <w:rPr>
      <w:rFonts w:ascii="Calibri" w:hAnsi="Calibri" w:eastAsia="宋体" w:cs="Times New Roman"/>
      <w:sz w:val="21"/>
      <w:lang w:val="en-US" w:eastAsia="zh-CN" w:bidi="ar-SA"/>
    </w:rPr>
  </w:style>
  <w:style w:type="paragraph" w:customStyle="1" w:styleId="83">
    <w:name w:val="报告书正文"/>
    <w:basedOn w:val="1"/>
    <w:autoRedefine/>
    <w:qFormat/>
    <w:uiPriority w:val="0"/>
    <w:pPr>
      <w:spacing w:line="360" w:lineRule="auto"/>
    </w:pPr>
    <w:rPr>
      <w:sz w:val="24"/>
    </w:rPr>
  </w:style>
  <w:style w:type="paragraph" w:customStyle="1" w:styleId="84">
    <w:name w:val="正文-RED"/>
    <w:autoRedefine/>
    <w:qFormat/>
    <w:uiPriority w:val="0"/>
    <w:pPr>
      <w:spacing w:line="360" w:lineRule="auto"/>
      <w:ind w:firstLine="420"/>
      <w:jc w:val="both"/>
    </w:pPr>
    <w:rPr>
      <w:rFonts w:ascii="Times New Roman" w:hAnsi="Times New Roman" w:eastAsia="宋体" w:cs="Times New Roman"/>
      <w:sz w:val="24"/>
      <w:lang w:val="en-US" w:eastAsia="zh-CN" w:bidi="ar-SA"/>
    </w:rPr>
  </w:style>
  <w:style w:type="paragraph" w:customStyle="1" w:styleId="85">
    <w:name w:val="图表文字"/>
    <w:basedOn w:val="11"/>
    <w:autoRedefine/>
    <w:qFormat/>
    <w:uiPriority w:val="0"/>
    <w:pPr>
      <w:spacing w:after="0"/>
      <w:jc w:val="center"/>
    </w:pPr>
    <w:rPr>
      <w:rFonts w:ascii="方正仿宋_GB2312" w:eastAsia="方正仿宋_GB2312"/>
      <w:b/>
    </w:rPr>
  </w:style>
  <w:style w:type="paragraph" w:styleId="86">
    <w:name w:val="List Paragraph"/>
    <w:basedOn w:val="1"/>
    <w:autoRedefine/>
    <w:qFormat/>
    <w:uiPriority w:val="1"/>
    <w:pPr>
      <w:ind w:left="988" w:firstLine="480"/>
    </w:pPr>
    <w:rPr>
      <w:rFonts w:ascii="宋体" w:hAnsi="宋体" w:cs="宋体"/>
      <w:lang w:val="zh-CN" w:bidi="zh-CN"/>
    </w:rPr>
  </w:style>
  <w:style w:type="paragraph" w:customStyle="1" w:styleId="87">
    <w:name w:val="【正文】"/>
    <w:autoRedefine/>
    <w:qFormat/>
    <w:uiPriority w:val="0"/>
    <w:pPr>
      <w:spacing w:line="440" w:lineRule="exact"/>
      <w:ind w:firstLine="544"/>
    </w:pPr>
    <w:rPr>
      <w:rFonts w:ascii="Times New Roman" w:hAnsi="Times New Roman" w:eastAsia="宋体" w:cs="宋体"/>
      <w:color w:val="000000"/>
      <w:kern w:val="2"/>
      <w:sz w:val="24"/>
      <w:szCs w:val="24"/>
      <w:lang w:val="en-US" w:eastAsia="zh-CN" w:bidi="ar-SA"/>
    </w:rPr>
  </w:style>
  <w:style w:type="character" w:customStyle="1" w:styleId="88">
    <w:name w:val="font11"/>
    <w:basedOn w:val="37"/>
    <w:autoRedefine/>
    <w:qFormat/>
    <w:uiPriority w:val="0"/>
    <w:rPr>
      <w:rFonts w:hint="default" w:ascii="Times New Roman" w:hAnsi="Times New Roman" w:cs="Times New Roman"/>
      <w:b/>
      <w:bCs/>
      <w:color w:val="000000"/>
      <w:sz w:val="21"/>
      <w:szCs w:val="21"/>
      <w:u w:val="none"/>
    </w:rPr>
  </w:style>
  <w:style w:type="character" w:customStyle="1" w:styleId="89">
    <w:name w:val="font21"/>
    <w:basedOn w:val="37"/>
    <w:autoRedefine/>
    <w:qFormat/>
    <w:uiPriority w:val="0"/>
    <w:rPr>
      <w:rFonts w:hint="eastAsia" w:ascii="宋体" w:hAnsi="宋体" w:eastAsia="宋体" w:cs="宋体"/>
      <w:b/>
      <w:bCs/>
      <w:color w:val="000000"/>
      <w:sz w:val="21"/>
      <w:szCs w:val="21"/>
      <w:u w:val="none"/>
    </w:rPr>
  </w:style>
  <w:style w:type="character" w:customStyle="1" w:styleId="90">
    <w:name w:val="font41"/>
    <w:basedOn w:val="37"/>
    <w:autoRedefine/>
    <w:qFormat/>
    <w:uiPriority w:val="0"/>
    <w:rPr>
      <w:rFonts w:hint="default" w:ascii="Times New Roman" w:hAnsi="Times New Roman" w:cs="Times New Roman"/>
      <w:color w:val="000000"/>
      <w:sz w:val="21"/>
      <w:szCs w:val="21"/>
      <w:u w:val="none"/>
    </w:rPr>
  </w:style>
  <w:style w:type="character" w:customStyle="1" w:styleId="91">
    <w:name w:val="font31"/>
    <w:basedOn w:val="37"/>
    <w:autoRedefine/>
    <w:qFormat/>
    <w:uiPriority w:val="0"/>
    <w:rPr>
      <w:rFonts w:hint="eastAsia" w:ascii="宋体" w:hAnsi="宋体" w:eastAsia="宋体" w:cs="宋体"/>
      <w:color w:val="000000"/>
      <w:sz w:val="21"/>
      <w:szCs w:val="21"/>
      <w:u w:val="none"/>
    </w:rPr>
  </w:style>
  <w:style w:type="character" w:customStyle="1" w:styleId="92">
    <w:name w:val="font81"/>
    <w:basedOn w:val="37"/>
    <w:autoRedefine/>
    <w:qFormat/>
    <w:uiPriority w:val="0"/>
    <w:rPr>
      <w:rFonts w:hint="default" w:ascii="Times New Roman" w:hAnsi="Times New Roman" w:cs="Times New Roman"/>
      <w:color w:val="000000"/>
      <w:sz w:val="21"/>
      <w:szCs w:val="21"/>
      <w:u w:val="none"/>
      <w:vertAlign w:val="superscript"/>
    </w:rPr>
  </w:style>
  <w:style w:type="table" w:customStyle="1" w:styleId="93">
    <w:name w:val="自建表格"/>
    <w:basedOn w:val="35"/>
    <w:autoRedefine/>
    <w:qFormat/>
    <w:uiPriority w:val="99"/>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4">
    <w:name w:val="正文-ls"/>
    <w:basedOn w:val="1"/>
    <w:autoRedefine/>
    <w:qFormat/>
    <w:uiPriority w:val="99"/>
    <w:pPr>
      <w:spacing w:line="360" w:lineRule="auto"/>
      <w:ind w:firstLine="200" w:firstLineChars="200"/>
    </w:pPr>
    <w:rPr>
      <w:rFonts w:hAnsi="宋体" w:cs="宋体"/>
      <w:sz w:val="24"/>
      <w:szCs w:val="20"/>
    </w:rPr>
  </w:style>
  <w:style w:type="paragraph" w:styleId="95">
    <w:name w:val="No Spacing"/>
    <w:autoRedefine/>
    <w:qFormat/>
    <w:uiPriority w:val="0"/>
    <w:pPr>
      <w:widowControl w:val="0"/>
      <w:jc w:val="both"/>
    </w:pPr>
    <w:rPr>
      <w:rFonts w:ascii="Calibri" w:hAnsi="Calibri" w:eastAsia="Calibri" w:cs="Times New Roman"/>
      <w:kern w:val="2"/>
      <w:sz w:val="21"/>
      <w:szCs w:val="24"/>
      <w:lang w:val="en-US" w:eastAsia="zh-CN" w:bidi="ar-SA"/>
    </w:rPr>
  </w:style>
  <w:style w:type="table" w:customStyle="1" w:styleId="96">
    <w:name w:val="Table Normal"/>
    <w:autoRedefine/>
    <w:semiHidden/>
    <w:unhideWhenUsed/>
    <w:qFormat/>
    <w:uiPriority w:val="0"/>
    <w:tblPr>
      <w:tblCellMar>
        <w:top w:w="0" w:type="dxa"/>
        <w:left w:w="0" w:type="dxa"/>
        <w:bottom w:w="0" w:type="dxa"/>
        <w:right w:w="0" w:type="dxa"/>
      </w:tblCellMar>
    </w:tblPr>
  </w:style>
  <w:style w:type="paragraph" w:customStyle="1" w:styleId="97">
    <w:name w:val="样式58"/>
    <w:basedOn w:val="1"/>
    <w:autoRedefine/>
    <w:qFormat/>
    <w:uiPriority w:val="0"/>
    <w:pPr>
      <w:snapToGrid w:val="0"/>
      <w:spacing w:after="20"/>
      <w:jc w:val="center"/>
    </w:pPr>
    <w:rPr>
      <w:rFonts w:hint="eastAsia"/>
      <w:b/>
      <w:bCs/>
      <w:szCs w:val="16"/>
    </w:rPr>
  </w:style>
  <w:style w:type="paragraph" w:customStyle="1" w:styleId="98">
    <w:name w:val="表格标题"/>
    <w:basedOn w:val="1"/>
    <w:next w:val="1"/>
    <w:autoRedefine/>
    <w:qFormat/>
    <w:uiPriority w:val="0"/>
    <w:pPr>
      <w:adjustRightInd w:val="0"/>
      <w:spacing w:line="360" w:lineRule="auto"/>
      <w:jc w:val="center"/>
    </w:pPr>
    <w:rPr>
      <w:b/>
      <w:kern w:val="0"/>
      <w:szCs w:val="28"/>
    </w:rPr>
  </w:style>
  <w:style w:type="paragraph" w:customStyle="1" w:styleId="99">
    <w:name w:val="表中文字"/>
    <w:basedOn w:val="1"/>
    <w:autoRedefine/>
    <w:qFormat/>
    <w:uiPriority w:val="0"/>
    <w:pPr>
      <w:adjustRightInd w:val="0"/>
      <w:snapToGrid w:val="0"/>
      <w:spacing w:line="360" w:lineRule="exact"/>
      <w:jc w:val="center"/>
    </w:pPr>
    <w:rPr>
      <w:rFonts w:ascii="TimesNewRomanPSMT" w:hAnsi="TimesNewRomanPSMT" w:cs="宋体"/>
      <w:b/>
      <w:bCs/>
      <w:kern w:val="0"/>
      <w:szCs w:val="21"/>
    </w:rPr>
  </w:style>
  <w:style w:type="paragraph" w:customStyle="1" w:styleId="100">
    <w:name w:val="我的正文 Char"/>
    <w:basedOn w:val="1"/>
    <w:autoRedefine/>
    <w:qFormat/>
    <w:uiPriority w:val="99"/>
    <w:pPr>
      <w:ind w:firstLine="560" w:firstLineChars="200"/>
    </w:pPr>
    <w:rPr>
      <w:sz w:val="28"/>
    </w:rPr>
  </w:style>
  <w:style w:type="paragraph" w:customStyle="1" w:styleId="101">
    <w:name w:val="表"/>
    <w:basedOn w:val="32"/>
    <w:autoRedefine/>
    <w:qFormat/>
    <w:uiPriority w:val="0"/>
    <w:pPr>
      <w:spacing w:line="300" w:lineRule="exact"/>
    </w:pPr>
    <w:rPr>
      <w:rFonts w:ascii="Times New Roman" w:hAnsi="Times New Roman"/>
      <w:b w:val="0"/>
      <w:sz w:val="21"/>
    </w:rPr>
  </w:style>
  <w:style w:type="character" w:customStyle="1" w:styleId="102">
    <w:name w:val="font51"/>
    <w:basedOn w:val="37"/>
    <w:autoRedefine/>
    <w:qFormat/>
    <w:uiPriority w:val="0"/>
    <w:rPr>
      <w:rFonts w:hint="default" w:ascii="Times New Roman" w:hAnsi="Times New Roman" w:cs="Times New Roman"/>
      <w:b/>
      <w:bCs/>
      <w:color w:val="000000"/>
      <w:sz w:val="20"/>
      <w:szCs w:val="20"/>
      <w:u w:val="none"/>
      <w:vertAlign w:val="superscript"/>
    </w:rPr>
  </w:style>
  <w:style w:type="character" w:customStyle="1" w:styleId="103">
    <w:name w:val="font01"/>
    <w:basedOn w:val="37"/>
    <w:autoRedefine/>
    <w:qFormat/>
    <w:uiPriority w:val="0"/>
    <w:rPr>
      <w:rFonts w:hint="eastAsia" w:ascii="宋体" w:hAnsi="宋体" w:eastAsia="宋体" w:cs="宋体"/>
      <w:color w:val="000000"/>
      <w:sz w:val="20"/>
      <w:szCs w:val="20"/>
      <w:u w:val="none"/>
    </w:rPr>
  </w:style>
  <w:style w:type="paragraph" w:customStyle="1" w:styleId="104">
    <w:name w:val="表格标题--中祥"/>
    <w:basedOn w:val="1"/>
    <w:autoRedefine/>
    <w:qFormat/>
    <w:uiPriority w:val="0"/>
    <w:pPr>
      <w:spacing w:line="320" w:lineRule="exact"/>
      <w:jc w:val="center"/>
    </w:pPr>
    <w:rPr>
      <w:b/>
      <w:color w:val="000000"/>
      <w:lang w:val="zh-CN"/>
    </w:rPr>
  </w:style>
  <w:style w:type="paragraph" w:customStyle="1" w:styleId="105">
    <w:name w:val="表格内容--中祥"/>
    <w:basedOn w:val="1"/>
    <w:autoRedefine/>
    <w:qFormat/>
    <w:uiPriority w:val="0"/>
    <w:pPr>
      <w:jc w:val="center"/>
    </w:pPr>
    <w:rPr>
      <w:kern w:val="0"/>
      <w:szCs w:val="21"/>
    </w:rPr>
  </w:style>
  <w:style w:type="paragraph" w:customStyle="1" w:styleId="106">
    <w:name w:val="【表中文字】"/>
    <w:basedOn w:val="1"/>
    <w:autoRedefine/>
    <w:qFormat/>
    <w:uiPriority w:val="0"/>
    <w:pPr>
      <w:jc w:val="center"/>
    </w:pPr>
    <w:rPr>
      <w:szCs w:val="20"/>
    </w:rPr>
  </w:style>
  <w:style w:type="paragraph" w:customStyle="1" w:styleId="107">
    <w:name w:val="表格3"/>
    <w:autoRedefine/>
    <w:qFormat/>
    <w:uiPriority w:val="0"/>
    <w:pPr>
      <w:spacing w:line="240" w:lineRule="atLeast"/>
      <w:jc w:val="center"/>
    </w:pPr>
    <w:rPr>
      <w:rFonts w:ascii="Times New Roman" w:hAnsi="Times New Roman" w:eastAsia="宋体" w:cs="Times New Roman"/>
      <w:kern w:val="2"/>
      <w:sz w:val="21"/>
      <w:szCs w:val="21"/>
      <w:lang w:val="en-US" w:eastAsia="zh-CN" w:bidi="ar-SA"/>
    </w:rPr>
  </w:style>
  <w:style w:type="paragraph" w:customStyle="1" w:styleId="108">
    <w:name w:val="Default1"/>
    <w:basedOn w:val="109"/>
    <w:autoRedefine/>
    <w:qFormat/>
    <w:uiPriority w:val="0"/>
    <w:pPr>
      <w:widowControl w:val="0"/>
      <w:autoSpaceDE w:val="0"/>
      <w:autoSpaceDN w:val="0"/>
      <w:adjustRightInd w:val="0"/>
    </w:pPr>
    <w:rPr>
      <w:rFonts w:ascii="宋体" w:hAnsi="Times New Roman" w:eastAsia="宋体" w:cs="宋体"/>
      <w:color w:val="000000"/>
      <w:sz w:val="24"/>
      <w:szCs w:val="24"/>
      <w:lang w:val="en-US" w:eastAsia="zh-CN"/>
    </w:rPr>
  </w:style>
  <w:style w:type="paragraph" w:customStyle="1" w:styleId="109">
    <w:name w:val="Normal_14_0"/>
    <w:autoRedefine/>
    <w:qFormat/>
    <w:uiPriority w:val="0"/>
    <w:pPr>
      <w:spacing w:before="120" w:after="240"/>
      <w:jc w:val="both"/>
    </w:pPr>
    <w:rPr>
      <w:rFonts w:ascii="Calibri" w:hAnsi="Calibri" w:eastAsia="Calibri" w:cs="Times New Roman"/>
      <w:sz w:val="22"/>
      <w:szCs w:val="22"/>
      <w:lang w:val="ru-RU" w:eastAsia="en-US" w:bidi="ar-SA"/>
    </w:rPr>
  </w:style>
  <w:style w:type="character" w:customStyle="1" w:styleId="110">
    <w:name w:val="标题 2 字符"/>
    <w:link w:val="4"/>
    <w:autoRedefine/>
    <w:qFormat/>
    <w:uiPriority w:val="0"/>
    <w:rPr>
      <w:rFonts w:ascii="Arial" w:hAnsi="Arial" w:eastAsia="黑体"/>
      <w:b/>
      <w:bCs/>
      <w:sz w:val="32"/>
      <w:szCs w:val="32"/>
    </w:rPr>
  </w:style>
  <w:style w:type="paragraph" w:customStyle="1" w:styleId="111">
    <w:name w:val="样式59"/>
    <w:basedOn w:val="1"/>
    <w:link w:val="115"/>
    <w:autoRedefine/>
    <w:qFormat/>
    <w:uiPriority w:val="0"/>
    <w:pPr>
      <w:spacing w:line="360" w:lineRule="auto"/>
      <w:ind w:firstLine="480" w:firstLineChars="200"/>
      <w:jc w:val="left"/>
    </w:pPr>
    <w:rPr>
      <w:rFonts w:hint="eastAsia" w:cs="宋体"/>
      <w:color w:val="000000" w:themeColor="text1"/>
      <w:sz w:val="24"/>
      <w14:textFill>
        <w14:solidFill>
          <w14:schemeClr w14:val="tx1"/>
        </w14:solidFill>
      </w14:textFill>
    </w:rPr>
  </w:style>
  <w:style w:type="paragraph" w:customStyle="1" w:styleId="112">
    <w:name w:val="样式13"/>
    <w:basedOn w:val="1"/>
    <w:autoRedefine/>
    <w:qFormat/>
    <w:uiPriority w:val="0"/>
    <w:pPr>
      <w:ind w:firstLine="480" w:firstLineChars="200"/>
      <w:jc w:val="left"/>
    </w:pPr>
    <w:rPr>
      <w:rFonts w:hint="eastAsia"/>
      <w:color w:val="000000"/>
      <w:kern w:val="0"/>
    </w:rPr>
  </w:style>
  <w:style w:type="paragraph" w:customStyle="1" w:styleId="113">
    <w:name w:val="样式14"/>
    <w:basedOn w:val="1"/>
    <w:autoRedefine/>
    <w:qFormat/>
    <w:uiPriority w:val="0"/>
    <w:pPr>
      <w:wordWrap w:val="0"/>
      <w:jc w:val="center"/>
    </w:pPr>
    <w:rPr>
      <w:rFonts w:hint="eastAsia"/>
      <w:szCs w:val="21"/>
    </w:rPr>
  </w:style>
  <w:style w:type="paragraph" w:customStyle="1" w:styleId="114">
    <w:name w:val="正文(首行缩进)"/>
    <w:basedOn w:val="1"/>
    <w:autoRedefine/>
    <w:qFormat/>
    <w:uiPriority w:val="0"/>
    <w:pPr>
      <w:spacing w:line="360" w:lineRule="auto"/>
      <w:ind w:firstLine="510"/>
    </w:pPr>
    <w:rPr>
      <w:rFonts w:ascii="宋体" w:hAnsi="宋体"/>
      <w:snapToGrid w:val="0"/>
      <w:kern w:val="0"/>
      <w:szCs w:val="20"/>
    </w:rPr>
  </w:style>
  <w:style w:type="character" w:customStyle="1" w:styleId="115">
    <w:name w:val="样式59 Char"/>
    <w:link w:val="111"/>
    <w:autoRedefine/>
    <w:qFormat/>
    <w:uiPriority w:val="0"/>
    <w:rPr>
      <w:rFonts w:hint="eastAsia" w:ascii="Times New Roman" w:hAnsi="Times New Roman" w:eastAsia="宋体" w:cs="宋体"/>
      <w:color w:val="000000" w:themeColor="text1"/>
      <w:sz w:val="24"/>
      <w14:textFill>
        <w14:solidFill>
          <w14:schemeClr w14:val="tx1"/>
        </w14:solidFill>
      </w14:textFill>
    </w:rPr>
  </w:style>
  <w:style w:type="paragraph" w:customStyle="1" w:styleId="116">
    <w:name w:val="1正文修改"/>
    <w:basedOn w:val="1"/>
    <w:autoRedefine/>
    <w:qFormat/>
    <w:uiPriority w:val="0"/>
    <w:pPr>
      <w:ind w:firstLine="480" w:firstLineChars="200"/>
    </w:pPr>
    <w:rPr>
      <w:rFonts w:ascii="Calibri" w:hAnsi="Calibri"/>
      <w:sz w:val="24"/>
    </w:rPr>
  </w:style>
  <w:style w:type="paragraph" w:customStyle="1" w:styleId="117">
    <w:name w:val="表格内容"/>
    <w:basedOn w:val="1"/>
    <w:autoRedefine/>
    <w:qFormat/>
    <w:uiPriority w:val="0"/>
    <w:pPr>
      <w:tabs>
        <w:tab w:val="left" w:pos="2340"/>
      </w:tabs>
      <w:jc w:val="center"/>
    </w:pPr>
    <w:rPr>
      <w:szCs w:val="21"/>
    </w:rPr>
  </w:style>
  <w:style w:type="paragraph" w:customStyle="1" w:styleId="118">
    <w:name w:val="Table Text"/>
    <w:basedOn w:val="1"/>
    <w:autoRedefine/>
    <w:semiHidden/>
    <w:qFormat/>
    <w:uiPriority w:val="0"/>
    <w:rPr>
      <w:rFonts w:ascii="宋体" w:hAnsi="宋体" w:cs="宋体"/>
      <w:sz w:val="24"/>
      <w:lang w:eastAsia="en-US"/>
    </w:rPr>
  </w:style>
  <w:style w:type="paragraph" w:customStyle="1" w:styleId="119">
    <w:name w:val="前言、引言标题"/>
    <w:next w:val="1"/>
    <w:autoRedefine/>
    <w:qFormat/>
    <w:uiPriority w:val="99"/>
    <w:pPr>
      <w:numPr>
        <w:ilvl w:val="0"/>
        <w:numId w:val="4"/>
      </w:num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120">
    <w:name w:val="a表格"/>
    <w:basedOn w:val="1"/>
    <w:autoRedefine/>
    <w:qFormat/>
    <w:uiPriority w:val="0"/>
    <w:pPr>
      <w:adjustRightInd w:val="0"/>
      <w:snapToGrid w:val="0"/>
      <w:jc w:val="center"/>
    </w:pPr>
    <w:rPr>
      <w:b/>
      <w:color w:val="3333FF"/>
      <w:sz w:val="24"/>
    </w:rPr>
  </w:style>
  <w:style w:type="paragraph" w:customStyle="1" w:styleId="121">
    <w:name w:val="表1表2"/>
    <w:basedOn w:val="1"/>
    <w:autoRedefine/>
    <w:qFormat/>
    <w:uiPriority w:val="0"/>
    <w:pPr>
      <w:autoSpaceDE w:val="0"/>
      <w:autoSpaceDN w:val="0"/>
      <w:adjustRightInd w:val="0"/>
      <w:spacing w:line="360" w:lineRule="auto"/>
      <w:jc w:val="center"/>
      <w:textAlignment w:val="center"/>
    </w:pPr>
    <w:rPr>
      <w:rFonts w:eastAsia="仿宋体"/>
      <w:kern w:val="0"/>
      <w:sz w:val="24"/>
    </w:rPr>
  </w:style>
  <w:style w:type="paragraph" w:customStyle="1" w:styleId="122">
    <w:name w:val="表格2"/>
    <w:basedOn w:val="1"/>
    <w:autoRedefine/>
    <w:qFormat/>
    <w:uiPriority w:val="0"/>
    <w:pPr>
      <w:jc w:val="center"/>
    </w:pPr>
    <w:rPr>
      <w:rFonts w:cs="宋体"/>
      <w:szCs w:val="21"/>
    </w:rPr>
  </w:style>
  <w:style w:type="character" w:customStyle="1" w:styleId="123">
    <w:name w:val="font61"/>
    <w:basedOn w:val="37"/>
    <w:autoRedefine/>
    <w:qFormat/>
    <w:uiPriority w:val="0"/>
    <w:rPr>
      <w:rFonts w:hint="default" w:ascii="Times New Roman" w:hAnsi="Times New Roman" w:cs="Times New Roman"/>
      <w:b/>
      <w:bCs/>
      <w:color w:val="000000"/>
      <w:sz w:val="20"/>
      <w:szCs w:val="20"/>
      <w:u w:val="none"/>
      <w:vertAlign w:val="superscript"/>
    </w:rPr>
  </w:style>
  <w:style w:type="paragraph" w:customStyle="1" w:styleId="124">
    <w:name w:val="样式 小四 行距: 1.5 倍行距"/>
    <w:basedOn w:val="1"/>
    <w:autoRedefine/>
    <w:qFormat/>
    <w:uiPriority w:val="0"/>
    <w:pPr>
      <w:ind w:firstLine="480" w:firstLineChars="200"/>
    </w:pPr>
    <w:rPr>
      <w:rFonts w:cs="宋体"/>
    </w:rPr>
  </w:style>
  <w:style w:type="paragraph" w:customStyle="1" w:styleId="125">
    <w:name w:val="WPSOffice手动目录 1"/>
    <w:autoRedefine/>
    <w:qFormat/>
    <w:uiPriority w:val="0"/>
    <w:rPr>
      <w:rFonts w:ascii="Times New Roman" w:hAnsi="Times New Roman" w:eastAsia="宋体" w:cs="Times New Roman"/>
      <w:lang w:val="en-US" w:eastAsia="zh-CN" w:bidi="ar-SA"/>
    </w:rPr>
  </w:style>
  <w:style w:type="paragraph" w:customStyle="1" w:styleId="126">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127">
    <w:name w:val="德正表格"/>
    <w:autoRedefine/>
    <w:qFormat/>
    <w:uiPriority w:val="0"/>
    <w:pPr>
      <w:widowControl w:val="0"/>
      <w:adjustRightInd w:val="0"/>
      <w:snapToGrid w:val="0"/>
      <w:jc w:val="center"/>
    </w:pPr>
    <w:rPr>
      <w:rFonts w:ascii="Times New Roman" w:hAnsi="Times New Roman" w:eastAsia="宋体" w:cs="Times New Roman"/>
      <w:kern w:val="2"/>
      <w:sz w:val="21"/>
      <w:szCs w:val="24"/>
      <w:lang w:val="en-US" w:eastAsia="zh-CN" w:bidi="ar-SA"/>
    </w:rPr>
  </w:style>
  <w:style w:type="paragraph" w:customStyle="1" w:styleId="128">
    <w:name w:val="11111"/>
    <w:basedOn w:val="1"/>
    <w:qFormat/>
    <w:uiPriority w:val="0"/>
    <w:pPr>
      <w:jc w:val="center"/>
    </w:pPr>
    <w:rPr>
      <w:b/>
      <w:szCs w:val="21"/>
    </w:rPr>
  </w:style>
  <w:style w:type="paragraph" w:customStyle="1" w:styleId="129">
    <w:name w:val="1报告表格"/>
    <w:basedOn w:val="1"/>
    <w:qFormat/>
    <w:uiPriority w:val="0"/>
    <w:pPr>
      <w:autoSpaceDE w:val="0"/>
      <w:autoSpaceDN w:val="0"/>
      <w:adjustRightInd w:val="0"/>
      <w:jc w:val="center"/>
      <w:textAlignment w:val="bottom"/>
    </w:pPr>
    <w:rPr>
      <w:kern w:val="0"/>
      <w:szCs w:val="20"/>
    </w:rPr>
  </w:style>
  <w:style w:type="table" w:customStyle="1" w:styleId="130">
    <w:name w:val="FBG11"/>
    <w:basedOn w:val="35"/>
    <w:autoRedefine/>
    <w:qFormat/>
    <w:uiPriority w:val="0"/>
    <w:pPr>
      <w:spacing w:line="264" w:lineRule="auto"/>
      <w:jc w:val="center"/>
    </w:pPr>
    <w:rPr>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blHeader/>
    </w:trPr>
    <w:tcPr>
      <w:vAlign w:val="center"/>
    </w:tcPr>
  </w:style>
  <w:style w:type="paragraph" w:customStyle="1" w:styleId="131">
    <w:name w:val="样式60"/>
    <w:basedOn w:val="1"/>
    <w:qFormat/>
    <w:uiPriority w:val="0"/>
    <w:pPr>
      <w:snapToGrid w:val="0"/>
      <w:spacing w:line="360" w:lineRule="auto"/>
      <w:ind w:firstLine="1440" w:firstLineChars="200"/>
    </w:pPr>
    <w:rPr>
      <w:rFonts w:hint="eastAsia"/>
      <w:sz w:val="24"/>
    </w:rPr>
  </w:style>
  <w:style w:type="character" w:customStyle="1" w:styleId="132">
    <w:name w:val="font71"/>
    <w:basedOn w:val="37"/>
    <w:qFormat/>
    <w:uiPriority w:val="0"/>
    <w:rPr>
      <w:rFonts w:hint="default" w:ascii="Times New Roman" w:hAnsi="Times New Roman" w:cs="Times New Roman"/>
      <w:color w:val="000000"/>
      <w:sz w:val="21"/>
      <w:szCs w:val="21"/>
      <w:u w:val="none"/>
      <w:vertAlign w:val="subscript"/>
    </w:rPr>
  </w:style>
</w:styles>
</file>

<file path=word/_rels/document.xml.rels><?xml version="1.0" encoding="UTF-8" standalone="yes"?>
<Relationships xmlns="http://schemas.openxmlformats.org/package/2006/relationships"><Relationship Id="rId99" Type="http://schemas.openxmlformats.org/officeDocument/2006/relationships/image" Target="media/image43.wmf"/><Relationship Id="rId98" Type="http://schemas.openxmlformats.org/officeDocument/2006/relationships/oleObject" Target="embeddings/oleObject45.bin"/><Relationship Id="rId97" Type="http://schemas.openxmlformats.org/officeDocument/2006/relationships/image" Target="media/image42.wmf"/><Relationship Id="rId96" Type="http://schemas.openxmlformats.org/officeDocument/2006/relationships/oleObject" Target="embeddings/oleObject44.bin"/><Relationship Id="rId95" Type="http://schemas.openxmlformats.org/officeDocument/2006/relationships/image" Target="media/image41.wmf"/><Relationship Id="rId94" Type="http://schemas.openxmlformats.org/officeDocument/2006/relationships/oleObject" Target="embeddings/oleObject43.bin"/><Relationship Id="rId93" Type="http://schemas.openxmlformats.org/officeDocument/2006/relationships/oleObject" Target="embeddings/oleObject42.bin"/><Relationship Id="rId92" Type="http://schemas.openxmlformats.org/officeDocument/2006/relationships/oleObject" Target="embeddings/oleObject41.bin"/><Relationship Id="rId91" Type="http://schemas.openxmlformats.org/officeDocument/2006/relationships/image" Target="media/image40.wmf"/><Relationship Id="rId90" Type="http://schemas.openxmlformats.org/officeDocument/2006/relationships/oleObject" Target="embeddings/oleObject40.bin"/><Relationship Id="rId9" Type="http://schemas.openxmlformats.org/officeDocument/2006/relationships/footer" Target="footer5.xml"/><Relationship Id="rId89" Type="http://schemas.openxmlformats.org/officeDocument/2006/relationships/oleObject" Target="embeddings/oleObject39.bin"/><Relationship Id="rId88" Type="http://schemas.openxmlformats.org/officeDocument/2006/relationships/image" Target="media/image39.wmf"/><Relationship Id="rId87" Type="http://schemas.openxmlformats.org/officeDocument/2006/relationships/oleObject" Target="embeddings/oleObject38.bin"/><Relationship Id="rId86" Type="http://schemas.openxmlformats.org/officeDocument/2006/relationships/image" Target="media/image38.wmf"/><Relationship Id="rId85" Type="http://schemas.openxmlformats.org/officeDocument/2006/relationships/oleObject" Target="embeddings/oleObject37.bin"/><Relationship Id="rId84" Type="http://schemas.openxmlformats.org/officeDocument/2006/relationships/image" Target="media/image37.wmf"/><Relationship Id="rId83" Type="http://schemas.openxmlformats.org/officeDocument/2006/relationships/oleObject" Target="embeddings/oleObject36.bin"/><Relationship Id="rId82" Type="http://schemas.openxmlformats.org/officeDocument/2006/relationships/oleObject" Target="embeddings/oleObject35.bin"/><Relationship Id="rId81" Type="http://schemas.openxmlformats.org/officeDocument/2006/relationships/image" Target="media/image36.wmf"/><Relationship Id="rId80" Type="http://schemas.openxmlformats.org/officeDocument/2006/relationships/oleObject" Target="embeddings/oleObject34.bin"/><Relationship Id="rId8" Type="http://schemas.openxmlformats.org/officeDocument/2006/relationships/footer" Target="footer4.xml"/><Relationship Id="rId79" Type="http://schemas.openxmlformats.org/officeDocument/2006/relationships/oleObject" Target="embeddings/oleObject33.bin"/><Relationship Id="rId78" Type="http://schemas.openxmlformats.org/officeDocument/2006/relationships/oleObject" Target="embeddings/oleObject32.bin"/><Relationship Id="rId77" Type="http://schemas.openxmlformats.org/officeDocument/2006/relationships/image" Target="media/image35.wmf"/><Relationship Id="rId76" Type="http://schemas.openxmlformats.org/officeDocument/2006/relationships/oleObject" Target="embeddings/oleObject31.bin"/><Relationship Id="rId75" Type="http://schemas.openxmlformats.org/officeDocument/2006/relationships/oleObject" Target="embeddings/oleObject30.bin"/><Relationship Id="rId74" Type="http://schemas.openxmlformats.org/officeDocument/2006/relationships/oleObject" Target="embeddings/oleObject29.bin"/><Relationship Id="rId73" Type="http://schemas.openxmlformats.org/officeDocument/2006/relationships/image" Target="media/image34.wmf"/><Relationship Id="rId72" Type="http://schemas.openxmlformats.org/officeDocument/2006/relationships/oleObject" Target="embeddings/oleObject28.bin"/><Relationship Id="rId71" Type="http://schemas.openxmlformats.org/officeDocument/2006/relationships/image" Target="media/image33.wmf"/><Relationship Id="rId70" Type="http://schemas.openxmlformats.org/officeDocument/2006/relationships/oleObject" Target="embeddings/oleObject27.bin"/><Relationship Id="rId7" Type="http://schemas.openxmlformats.org/officeDocument/2006/relationships/footer" Target="footer3.xml"/><Relationship Id="rId69" Type="http://schemas.openxmlformats.org/officeDocument/2006/relationships/oleObject" Target="embeddings/oleObject26.bin"/><Relationship Id="rId68" Type="http://schemas.openxmlformats.org/officeDocument/2006/relationships/oleObject" Target="embeddings/oleObject25.bin"/><Relationship Id="rId67" Type="http://schemas.openxmlformats.org/officeDocument/2006/relationships/image" Target="media/image32.wmf"/><Relationship Id="rId66" Type="http://schemas.openxmlformats.org/officeDocument/2006/relationships/oleObject" Target="embeddings/oleObject24.bin"/><Relationship Id="rId65" Type="http://schemas.openxmlformats.org/officeDocument/2006/relationships/image" Target="media/image31.wmf"/><Relationship Id="rId64" Type="http://schemas.openxmlformats.org/officeDocument/2006/relationships/oleObject" Target="embeddings/oleObject23.bin"/><Relationship Id="rId63" Type="http://schemas.openxmlformats.org/officeDocument/2006/relationships/oleObject" Target="embeddings/oleObject22.bin"/><Relationship Id="rId62" Type="http://schemas.openxmlformats.org/officeDocument/2006/relationships/image" Target="media/image30.wmf"/><Relationship Id="rId61" Type="http://schemas.openxmlformats.org/officeDocument/2006/relationships/oleObject" Target="embeddings/oleObject21.bin"/><Relationship Id="rId60" Type="http://schemas.openxmlformats.org/officeDocument/2006/relationships/image" Target="media/image29.wmf"/><Relationship Id="rId6" Type="http://schemas.openxmlformats.org/officeDocument/2006/relationships/header" Target="header2.xml"/><Relationship Id="rId59" Type="http://schemas.openxmlformats.org/officeDocument/2006/relationships/oleObject" Target="embeddings/oleObject20.bin"/><Relationship Id="rId58" Type="http://schemas.openxmlformats.org/officeDocument/2006/relationships/image" Target="media/image28.wmf"/><Relationship Id="rId57" Type="http://schemas.openxmlformats.org/officeDocument/2006/relationships/oleObject" Target="embeddings/oleObject19.bin"/><Relationship Id="rId56" Type="http://schemas.openxmlformats.org/officeDocument/2006/relationships/image" Target="media/image27.wmf"/><Relationship Id="rId55" Type="http://schemas.openxmlformats.org/officeDocument/2006/relationships/oleObject" Target="embeddings/oleObject18.bin"/><Relationship Id="rId54" Type="http://schemas.openxmlformats.org/officeDocument/2006/relationships/image" Target="media/image26.wmf"/><Relationship Id="rId53" Type="http://schemas.openxmlformats.org/officeDocument/2006/relationships/oleObject" Target="embeddings/oleObject17.bin"/><Relationship Id="rId52" Type="http://schemas.openxmlformats.org/officeDocument/2006/relationships/image" Target="media/image25.wmf"/><Relationship Id="rId51" Type="http://schemas.openxmlformats.org/officeDocument/2006/relationships/oleObject" Target="embeddings/oleObject16.bin"/><Relationship Id="rId50" Type="http://schemas.openxmlformats.org/officeDocument/2006/relationships/image" Target="media/image24.wmf"/><Relationship Id="rId5" Type="http://schemas.openxmlformats.org/officeDocument/2006/relationships/footer" Target="footer2.xml"/><Relationship Id="rId49" Type="http://schemas.openxmlformats.org/officeDocument/2006/relationships/oleObject" Target="embeddings/oleObject15.bin"/><Relationship Id="rId48" Type="http://schemas.openxmlformats.org/officeDocument/2006/relationships/image" Target="media/image23.wmf"/><Relationship Id="rId47" Type="http://schemas.openxmlformats.org/officeDocument/2006/relationships/oleObject" Target="embeddings/oleObject14.bin"/><Relationship Id="rId46" Type="http://schemas.openxmlformats.org/officeDocument/2006/relationships/image" Target="media/image22.wmf"/><Relationship Id="rId45" Type="http://schemas.openxmlformats.org/officeDocument/2006/relationships/oleObject" Target="embeddings/oleObject13.bin"/><Relationship Id="rId44" Type="http://schemas.openxmlformats.org/officeDocument/2006/relationships/image" Target="media/image21.wmf"/><Relationship Id="rId43" Type="http://schemas.openxmlformats.org/officeDocument/2006/relationships/oleObject" Target="embeddings/oleObject12.bin"/><Relationship Id="rId42" Type="http://schemas.openxmlformats.org/officeDocument/2006/relationships/image" Target="media/image20.wmf"/><Relationship Id="rId41" Type="http://schemas.openxmlformats.org/officeDocument/2006/relationships/oleObject" Target="embeddings/oleObject11.bin"/><Relationship Id="rId40" Type="http://schemas.openxmlformats.org/officeDocument/2006/relationships/image" Target="media/image19.wmf"/><Relationship Id="rId4" Type="http://schemas.openxmlformats.org/officeDocument/2006/relationships/footer" Target="footer1.xml"/><Relationship Id="rId39" Type="http://schemas.openxmlformats.org/officeDocument/2006/relationships/oleObject" Target="embeddings/oleObject10.bin"/><Relationship Id="rId38" Type="http://schemas.openxmlformats.org/officeDocument/2006/relationships/image" Target="media/image18.wmf"/><Relationship Id="rId37" Type="http://schemas.openxmlformats.org/officeDocument/2006/relationships/oleObject" Target="embeddings/oleObject9.bin"/><Relationship Id="rId36" Type="http://schemas.openxmlformats.org/officeDocument/2006/relationships/image" Target="media/image17.wmf"/><Relationship Id="rId35" Type="http://schemas.openxmlformats.org/officeDocument/2006/relationships/oleObject" Target="embeddings/oleObject8.bin"/><Relationship Id="rId34" Type="http://schemas.openxmlformats.org/officeDocument/2006/relationships/image" Target="media/image16.wmf"/><Relationship Id="rId33" Type="http://schemas.openxmlformats.org/officeDocument/2006/relationships/oleObject" Target="embeddings/oleObject7.bin"/><Relationship Id="rId32" Type="http://schemas.openxmlformats.org/officeDocument/2006/relationships/image" Target="media/image15.wmf"/><Relationship Id="rId31" Type="http://schemas.openxmlformats.org/officeDocument/2006/relationships/oleObject" Target="embeddings/oleObject6.bin"/><Relationship Id="rId30" Type="http://schemas.openxmlformats.org/officeDocument/2006/relationships/oleObject" Target="embeddings/oleObject5.bin"/><Relationship Id="rId3" Type="http://schemas.openxmlformats.org/officeDocument/2006/relationships/header" Target="header1.xml"/><Relationship Id="rId29" Type="http://schemas.openxmlformats.org/officeDocument/2006/relationships/image" Target="media/image14.wmf"/><Relationship Id="rId28" Type="http://schemas.openxmlformats.org/officeDocument/2006/relationships/oleObject" Target="embeddings/oleObject4.bin"/><Relationship Id="rId27" Type="http://schemas.openxmlformats.org/officeDocument/2006/relationships/image" Target="media/image13.wmf"/><Relationship Id="rId26" Type="http://schemas.openxmlformats.org/officeDocument/2006/relationships/oleObject" Target="embeddings/oleObject3.bin"/><Relationship Id="rId25" Type="http://schemas.openxmlformats.org/officeDocument/2006/relationships/image" Target="media/image12.wmf"/><Relationship Id="rId24" Type="http://schemas.openxmlformats.org/officeDocument/2006/relationships/oleObject" Target="embeddings/oleObject2.bin"/><Relationship Id="rId23" Type="http://schemas.openxmlformats.org/officeDocument/2006/relationships/image" Target="media/image11.wmf"/><Relationship Id="rId22" Type="http://schemas.openxmlformats.org/officeDocument/2006/relationships/oleObject" Target="embeddings/oleObject1.bin"/><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5" Type="http://schemas.openxmlformats.org/officeDocument/2006/relationships/fontTable" Target="fontTable.xml"/><Relationship Id="rId174" Type="http://schemas.microsoft.com/office/2006/relationships/keyMapCustomizations" Target="customizations.xml"/><Relationship Id="rId173" Type="http://schemas.openxmlformats.org/officeDocument/2006/relationships/numbering" Target="numbering.xml"/><Relationship Id="rId172" Type="http://schemas.openxmlformats.org/officeDocument/2006/relationships/customXml" Target="../customXml/item1.xml"/><Relationship Id="rId171" Type="http://schemas.openxmlformats.org/officeDocument/2006/relationships/image" Target="media/image111.jpeg"/><Relationship Id="rId170" Type="http://schemas.openxmlformats.org/officeDocument/2006/relationships/image" Target="media/image110.jpeg"/><Relationship Id="rId17" Type="http://schemas.openxmlformats.org/officeDocument/2006/relationships/image" Target="media/image6.png"/><Relationship Id="rId169" Type="http://schemas.openxmlformats.org/officeDocument/2006/relationships/image" Target="media/image109.jpeg"/><Relationship Id="rId168" Type="http://schemas.openxmlformats.org/officeDocument/2006/relationships/image" Target="media/image108.png"/><Relationship Id="rId167" Type="http://schemas.openxmlformats.org/officeDocument/2006/relationships/image" Target="media/image107.png"/><Relationship Id="rId166" Type="http://schemas.openxmlformats.org/officeDocument/2006/relationships/image" Target="media/image106.png"/><Relationship Id="rId165" Type="http://schemas.openxmlformats.org/officeDocument/2006/relationships/image" Target="media/image105.jpeg"/><Relationship Id="rId164" Type="http://schemas.openxmlformats.org/officeDocument/2006/relationships/image" Target="media/image104.png"/><Relationship Id="rId163" Type="http://schemas.openxmlformats.org/officeDocument/2006/relationships/image" Target="media/image103.jpeg"/><Relationship Id="rId162" Type="http://schemas.openxmlformats.org/officeDocument/2006/relationships/image" Target="media/image102.jpeg"/><Relationship Id="rId161" Type="http://schemas.openxmlformats.org/officeDocument/2006/relationships/image" Target="media/image101.jpeg"/><Relationship Id="rId160" Type="http://schemas.openxmlformats.org/officeDocument/2006/relationships/image" Target="media/image100.png"/><Relationship Id="rId16" Type="http://schemas.openxmlformats.org/officeDocument/2006/relationships/image" Target="media/image5.png"/><Relationship Id="rId159" Type="http://schemas.openxmlformats.org/officeDocument/2006/relationships/image" Target="media/image99.png"/><Relationship Id="rId158" Type="http://schemas.openxmlformats.org/officeDocument/2006/relationships/image" Target="media/image98.png"/><Relationship Id="rId157" Type="http://schemas.openxmlformats.org/officeDocument/2006/relationships/image" Target="media/image97.jpeg"/><Relationship Id="rId156" Type="http://schemas.openxmlformats.org/officeDocument/2006/relationships/image" Target="media/image96.jpeg"/><Relationship Id="rId155" Type="http://schemas.openxmlformats.org/officeDocument/2006/relationships/image" Target="media/image95.jpeg"/><Relationship Id="rId154" Type="http://schemas.openxmlformats.org/officeDocument/2006/relationships/image" Target="media/image94.jpeg"/><Relationship Id="rId153" Type="http://schemas.openxmlformats.org/officeDocument/2006/relationships/image" Target="media/image93.jpeg"/><Relationship Id="rId152" Type="http://schemas.openxmlformats.org/officeDocument/2006/relationships/image" Target="media/image92.jpeg"/><Relationship Id="rId151" Type="http://schemas.openxmlformats.org/officeDocument/2006/relationships/image" Target="media/image91.jpeg"/><Relationship Id="rId150" Type="http://schemas.openxmlformats.org/officeDocument/2006/relationships/image" Target="media/image90.jpeg"/><Relationship Id="rId15" Type="http://schemas.openxmlformats.org/officeDocument/2006/relationships/image" Target="media/image4.jpeg"/><Relationship Id="rId149" Type="http://schemas.openxmlformats.org/officeDocument/2006/relationships/image" Target="media/image89.jpeg"/><Relationship Id="rId148" Type="http://schemas.openxmlformats.org/officeDocument/2006/relationships/image" Target="media/image88.jpeg"/><Relationship Id="rId147" Type="http://schemas.openxmlformats.org/officeDocument/2006/relationships/image" Target="media/image87.jpeg"/><Relationship Id="rId146" Type="http://schemas.openxmlformats.org/officeDocument/2006/relationships/image" Target="media/image86.jpeg"/><Relationship Id="rId145" Type="http://schemas.openxmlformats.org/officeDocument/2006/relationships/image" Target="media/image85.jpeg"/><Relationship Id="rId144" Type="http://schemas.openxmlformats.org/officeDocument/2006/relationships/image" Target="media/image84.jpeg"/><Relationship Id="rId143" Type="http://schemas.openxmlformats.org/officeDocument/2006/relationships/image" Target="media/image83.jpeg"/><Relationship Id="rId142" Type="http://schemas.openxmlformats.org/officeDocument/2006/relationships/image" Target="media/image82.jpeg"/><Relationship Id="rId141" Type="http://schemas.openxmlformats.org/officeDocument/2006/relationships/image" Target="media/image81.jpeg"/><Relationship Id="rId140" Type="http://schemas.openxmlformats.org/officeDocument/2006/relationships/image" Target="media/image80.jpeg"/><Relationship Id="rId14" Type="http://schemas.openxmlformats.org/officeDocument/2006/relationships/image" Target="media/image3.png"/><Relationship Id="rId139" Type="http://schemas.openxmlformats.org/officeDocument/2006/relationships/image" Target="media/image79.jpeg"/><Relationship Id="rId138" Type="http://schemas.openxmlformats.org/officeDocument/2006/relationships/image" Target="media/image78.jpeg"/><Relationship Id="rId137" Type="http://schemas.openxmlformats.org/officeDocument/2006/relationships/image" Target="media/image77.jpeg"/><Relationship Id="rId136" Type="http://schemas.openxmlformats.org/officeDocument/2006/relationships/image" Target="media/image76.jpeg"/><Relationship Id="rId135" Type="http://schemas.openxmlformats.org/officeDocument/2006/relationships/image" Target="media/image75.jpeg"/><Relationship Id="rId134" Type="http://schemas.openxmlformats.org/officeDocument/2006/relationships/image" Target="media/image74.jpeg"/><Relationship Id="rId133" Type="http://schemas.openxmlformats.org/officeDocument/2006/relationships/image" Target="media/image73.jpeg"/><Relationship Id="rId132" Type="http://schemas.openxmlformats.org/officeDocument/2006/relationships/image" Target="media/image72.jpeg"/><Relationship Id="rId131" Type="http://schemas.openxmlformats.org/officeDocument/2006/relationships/image" Target="media/image71.jpeg"/><Relationship Id="rId130" Type="http://schemas.openxmlformats.org/officeDocument/2006/relationships/image" Target="media/image70.jpeg"/><Relationship Id="rId13" Type="http://schemas.openxmlformats.org/officeDocument/2006/relationships/image" Target="media/image2.png"/><Relationship Id="rId129" Type="http://schemas.openxmlformats.org/officeDocument/2006/relationships/image" Target="media/image69.jpeg"/><Relationship Id="rId128" Type="http://schemas.openxmlformats.org/officeDocument/2006/relationships/image" Target="media/image68.jpeg"/><Relationship Id="rId127" Type="http://schemas.openxmlformats.org/officeDocument/2006/relationships/image" Target="media/image67.jpeg"/><Relationship Id="rId126" Type="http://schemas.openxmlformats.org/officeDocument/2006/relationships/image" Target="media/image66.jpeg"/><Relationship Id="rId125" Type="http://schemas.openxmlformats.org/officeDocument/2006/relationships/image" Target="media/image65.jpeg"/><Relationship Id="rId124" Type="http://schemas.openxmlformats.org/officeDocument/2006/relationships/image" Target="media/image64.jpeg"/><Relationship Id="rId123" Type="http://schemas.openxmlformats.org/officeDocument/2006/relationships/image" Target="media/image63.jpeg"/><Relationship Id="rId122" Type="http://schemas.openxmlformats.org/officeDocument/2006/relationships/image" Target="media/image62.jpeg"/><Relationship Id="rId121" Type="http://schemas.openxmlformats.org/officeDocument/2006/relationships/image" Target="media/image61.jpeg"/><Relationship Id="rId120" Type="http://schemas.openxmlformats.org/officeDocument/2006/relationships/image" Target="media/image60.jpeg"/><Relationship Id="rId12" Type="http://schemas.openxmlformats.org/officeDocument/2006/relationships/image" Target="media/image1.png"/><Relationship Id="rId119" Type="http://schemas.openxmlformats.org/officeDocument/2006/relationships/image" Target="media/image59.png"/><Relationship Id="rId118" Type="http://schemas.openxmlformats.org/officeDocument/2006/relationships/image" Target="media/image58.png"/><Relationship Id="rId117" Type="http://schemas.openxmlformats.org/officeDocument/2006/relationships/image" Target="media/image57.png"/><Relationship Id="rId116" Type="http://schemas.openxmlformats.org/officeDocument/2006/relationships/image" Target="media/image56.png"/><Relationship Id="rId115" Type="http://schemas.openxmlformats.org/officeDocument/2006/relationships/image" Target="media/image55.jpeg"/><Relationship Id="rId114" Type="http://schemas.openxmlformats.org/officeDocument/2006/relationships/image" Target="media/image54.png"/><Relationship Id="rId113" Type="http://schemas.openxmlformats.org/officeDocument/2006/relationships/image" Target="media/image53.jpeg"/><Relationship Id="rId112" Type="http://schemas.openxmlformats.org/officeDocument/2006/relationships/image" Target="media/image52.jpeg"/><Relationship Id="rId111" Type="http://schemas.openxmlformats.org/officeDocument/2006/relationships/image" Target="media/image51.jpeg"/><Relationship Id="rId110" Type="http://schemas.openxmlformats.org/officeDocument/2006/relationships/image" Target="media/image50.jpeg"/><Relationship Id="rId11" Type="http://schemas.openxmlformats.org/officeDocument/2006/relationships/theme" Target="theme/theme1.xml"/><Relationship Id="rId109" Type="http://schemas.openxmlformats.org/officeDocument/2006/relationships/image" Target="media/image49.jpeg"/><Relationship Id="rId108" Type="http://schemas.openxmlformats.org/officeDocument/2006/relationships/image" Target="media/image48.jpeg"/><Relationship Id="rId107" Type="http://schemas.openxmlformats.org/officeDocument/2006/relationships/image" Target="media/image47.wmf"/><Relationship Id="rId106" Type="http://schemas.openxmlformats.org/officeDocument/2006/relationships/oleObject" Target="embeddings/oleObject49.bin"/><Relationship Id="rId105" Type="http://schemas.openxmlformats.org/officeDocument/2006/relationships/image" Target="media/image46.wmf"/><Relationship Id="rId104" Type="http://schemas.openxmlformats.org/officeDocument/2006/relationships/oleObject" Target="embeddings/oleObject48.bin"/><Relationship Id="rId103" Type="http://schemas.openxmlformats.org/officeDocument/2006/relationships/image" Target="media/image45.wmf"/><Relationship Id="rId102" Type="http://schemas.openxmlformats.org/officeDocument/2006/relationships/oleObject" Target="embeddings/oleObject47.bin"/><Relationship Id="rId101" Type="http://schemas.openxmlformats.org/officeDocument/2006/relationships/image" Target="media/image44.wmf"/><Relationship Id="rId100" Type="http://schemas.openxmlformats.org/officeDocument/2006/relationships/oleObject" Target="embeddings/oleObject46.bin"/><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extobjs>
    <extobj name="F360BE8B-6686-4F3D-AEAF-501FE73E4058-1">
      <extobjdata type="F360BE8B-6686-4F3D-AEAF-501FE73E4058" data="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"/>
    </extobj>
    <extobj name="F360BE8B-6686-4F3D-AEAF-501FE73E4058-2">
      <extobjdata type="F360BE8B-6686-4F3D-AEAF-501FE73E4058" data="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"/>
    </extobj>
    <extobj name="F360BE8B-6686-4F3D-AEAF-501FE73E4058-3">
      <extobjdata type="F360BE8B-6686-4F3D-AEAF-501FE73E4058" data="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109</Pages>
  <Words>33870</Words>
  <Characters>38053</Characters>
  <Lines>303</Lines>
  <Paragraphs>85</Paragraphs>
  <TotalTime>33</TotalTime>
  <ScaleCrop>false</ScaleCrop>
  <LinksUpToDate>false</LinksUpToDate>
  <CharactersWithSpaces>38203</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2024-10-16T07:12:00Z</dcterms:created>
  <dc:creator>lhj</dc:creator>
  <cp:lastModifiedBy>L</cp:lastModifiedBy>
  <cp:lastPrinted>2021-12-27T09:02:00Z</cp:lastPrinted>
  <dcterms:modified xsi:type="dcterms:W3CDTF">2025-11-07T06:31:56Z</dcterms:modified>
  <dc:title>附件2</dc:title>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27A4727E4C594430B2660D3F4CEF6E7C_13</vt:lpwstr>
  </property>
  <property fmtid="{D5CDD505-2E9C-101B-9397-08002B2CF9AE}" pid="4" name="KSOTemplateDocerSaveRecord">
    <vt:lpwstr>eyJoZGlkIjoiN2Y0ZTdmOTU3NGE5MzQ4MzY5MWU2MWY0OTRhY2Q5MjciLCJ1c2VySWQiOiIyMzU0NzgxNTMifQ==</vt:lpwstr>
  </property>
</Properties>
</file>