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32"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2022年雍川镇高标准农田建设示范区创建项目事后绩效</w:t>
      </w:r>
    </w:p>
    <w:p>
      <w:pPr>
        <w:keepNext w:val="0"/>
        <w:keepLines w:val="0"/>
        <w:pageBreakBefore w:val="0"/>
        <w:widowControl w:val="0"/>
        <w:kinsoku/>
        <w:wordWrap/>
        <w:overflowPunct/>
        <w:topLinePunct w:val="0"/>
        <w:autoSpaceDE/>
        <w:autoSpaceDN/>
        <w:bidi w:val="0"/>
        <w:adjustRightInd w:val="0"/>
        <w:snapToGrid w:val="0"/>
        <w:spacing w:line="432"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评价报告</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color w:val="auto"/>
          <w:sz w:val="28"/>
          <w:szCs w:val="36"/>
          <w:lang w:val="en-US" w:eastAsia="zh-CN"/>
        </w:rPr>
        <w:t>按照《岐山县财政局关于开展2022年度县级财政项目绩效评价的通知》（岐财办绩[2023]20号）等相关文件要求，遵循科学性、规范性、客观性和公正性的原则，我局组织对2022年雍川镇高标准农田建设示范区创建项目开展了事后绩效评价。现将评价情况如下：</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一、项目概况</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（一）项目背景</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我国是一个农业大国，人口众多，耕地资源相对不足，粮食安全问题至关重要，确保国家粮食安全是保持国民经济平稳较快增长和社会稳定的重要基础。加快推进高标准农田建设，对于提高农业综合生产能力，确保国家粮食安全和主要农产品有效供给，提高耕地生产效率和水资源利用效率，实现我国农业可持续发展具有十分重要的战略意义。保障国家粮食安全，促进农民增收，对实现全面建设小康社会的目标、实施乡村振兴战略和推进农村现代化建设具有十分重要的意义。高标准农田建设作为财政支农的一项重要措施，在推进农村改革发展进程中起着重要作用。</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（1）建设高标准农田是提高农业综合生产能力，保障粮食安全的必然要求。2020 年宝鸡市岐山县常住人口已达 36.52 万人，城镇化水平进一步提高。随着城乡居民收入水平的稳步提升，消费结构升级日趋加快，粮食等主要农产品的需求会持续增长，粮食及主要农产品供给压力日益加大。在水土资源紧缺和农村劳动力老龄化的情况下，要实现保障主要农产品有效供给的目标，必须切实改变农田基础设施薄弱的现状，加快推进高标准农田建设，进一步提高耕地产出能力。</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建设高标准农田是发展现代农业，提升农业科技应用水平的基本前提。建设高标准农田，实现农田“地平、土肥、旱能灌、涝能排、路相通、林成网”，是应对资源环境约束加剧，自然灾害频发的必然需要。大力建设高标准农田，可增强农田防灾减灾、抗御风险能力，方便农机作业，大幅度提高生产效率。同时，还可为推广良种配套、农机农艺融合、农林病虫害统防统治等集成技术，以及土地流转和适度规模经营创造条件。</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3）建设高标准农田是促进农业可持续发展，推进生态文明建设的现实选择。通过高标准农田建设，可为推广科学施肥、节水技术创造条件，增强耕地蓄水保墒能力，促进土壤养分平衡，从而降低水资源消耗和化肥施用量，减轻农产品污染，促进农业可持续发展，保护和改善农村地区生态环境。</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4）建设高标准农田是提高农业生产效益，促进农民增收的有效手段。建成的高标准农田，不仅省工、省水、省肥，而且能够增加农业产量，从而提高农业生产的比较效益，拓宽农民增收来源，促进农民增收。同时，在高标准农田建设过程中，农民可通过投工投劳方式获得工资性收入，会有一定比例的项目投资直接转化为农民收入。</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（二）项目实施范围及内容</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2022年雍川镇高标准农田建设示范区创建项目涉及雍川镇板塌村、独殿头村及南营村建设高标准农田，新打机井 6 眼，抽水站3 座,配套变压器7台(套);新建低压暗管输水工程2800 亩,配套4 台(套)移动式喷灌机组;修复渠道2.6km;新修田间砂石路6.1km。</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本项目共划分为四个标段，分别为:</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施工一标段:板塌村示范区喷灌工程灌溉面积 167.07 亩 ，铺设PE100-de110管道1739 米，PE100-de75 管道 1438 米，PE100-de40 管道 7320米，UPVC中32 管道900 米，喷头 600个，配套闸阀井 41 座，自动化控制系统-套，购置移动式喷灌机 4 台套。</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施工二标段:板塌村、南营村、独殿头村改扩建砂石路 6070 米:修复 D30渠道2555米:PE100-de40 管道 1116，配套闸阀井3座;新打机井3 眼及配套井泵房。</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施工三标段:板塌村、独殿头村新打机井 3 眼及配套井泵房，闸阀井 13座，排水井 19 座，引水池 2座，潜水泵 4 台套，抽水站 3 处。</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施工四标段:5台S13-M-50/10KV 变压器(含附属设施)的购置及安装，1台S13-M-63/10变压器(含附属设施)购置安装，1台S13-M-100/10KV 变压器(含附属设施)购置安装，配套 10KVA 高压线路 579 米。</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（三）项目实施及资金使用</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该项目相关立项手续批复后，岐山县农业农村局能够按照政府投资项目建设有关规定，从设计、招标、施工、验收、移交等环节管理严格。项目于2022年7月份办理了相关手续，进行了招标工作；2022年8月5日正式开工建设，2022年12月1日工程全面完工，目前正处于审计阶段。根据县政府对该工程的要求，岐山县农业农村局以岐农函[2022]27号文件对本项目招标进行申报，核定工程总投资660万元。①2022.8月共支付2870000.00元；②2022年10月共支付2610964.00元；③2023年9月共支付745839.61元；截止目前,工程费、监理费、设计费、检测费总计支付6226803.61元，未支付资金以及剩余资金由于项目正处于审计阶段无法准备评估。在财务管理方面严格按照国家有关建设资金管理等方面的规定执行，在保证工程质量的前提下，严格控制资金使用，确保了资金使用安全。</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（四）项目绩效目标</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总体绩效目标：通过项目实施可以吸收更多的劳动力从事农业产业，吸纳了一部分农村剩余劳动力，减轻农村就业压力;通过土地整理理顺土地权属关系，有利于土地管理工作。对整理后土地进行合法、合理的权属调整，将减少今后土地利用过程中可能引发的各种纠纷，有利于保持农村地区的社会稳定。本项目的实施，将为当地进行田、水、路、林综合治理提供和积累经验;通过土地整理使项目区内耕地集中连片，能够为高产农田建设打下良好基础，并为今后实现规模经营、机械化作业的现代化农业经营方式，将极大的增加粮食产量和经济作物的推广，创造农村就业岗位，增加农民收入，为其他地区农业规模化生产经营提供一个显著的示范作用，同时也是国家保证粮食安全的重大举措，使广大人民群众对土地整理工作能够理解和支持，从而促进土地整理工作的全面、长久、深入、顺利发展。</w:t>
      </w:r>
    </w:p>
    <w:p>
      <w:pPr>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二、绩效评价工程情况</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（一）评价目的</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本次绩效评价的目的是分析和综合评价政府投资公共产品在资金使用管理以及给广大人民群众服务带来的实际效益为后续类似项目资金投入、分配和管理提供参考依据。</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（二）评价对象、范围</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本次绩效评价的对象为2022年雍川镇高标准农田建设示范区创建项目；评价范围为《岐乡振发[2022]19》号文件涉及资金，主要对项目决策、过程、成本、产出、效益、满意度等方面进行评价。</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（三）评价工作的思路与重点</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充分了解项目内容，建立评价指标体系，实际现场作业，收集有效资料，客观公正评价，分析存在问题，得出评价结论撰写评价报告。</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根据项目具体情况和事后绩效评价要求，评价的重点是项目完成后产生的效益和市民对项目满意度。</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（四）评价指标体系、标准和方法及过程</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1.指标体系设定情况</w:t>
      </w:r>
    </w:p>
    <w:p>
      <w:pPr>
        <w:ind w:firstLine="560" w:firstLineChars="200"/>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lang w:val="en-US" w:eastAsia="zh-CN"/>
        </w:rPr>
        <w:t>根据财政部《项目支出绩效评价管理办法》（财预[2020]10号）《预算绩效评价共性指标体系框架》（财预[2013]53号）和陕西省《分行业分领域绩效指标和标准体系》（陕财办绩[2020]18号）等文件要求，结合项目实际设定了本项目绩效评价指标体系。具体情况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758"/>
        <w:gridCol w:w="2513"/>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758"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13"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决策（12分）</w:t>
            </w: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项目立项（4分）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过程（13分）</w:t>
            </w: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组织实施（3分）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经济成本（4分）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产出（25分）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758" w:type="dxa"/>
            <w:vMerge w:val="restart"/>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满意度（10分）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服务对象满意度（10分）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服务对象认可程度</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bl>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2.评价方法、标准</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结合</w:t>
      </w:r>
      <w:r>
        <w:rPr>
          <w:rFonts w:hint="eastAsia" w:ascii="仿宋" w:hAnsi="仿宋" w:eastAsia="仿宋" w:cs="仿宋"/>
          <w:color w:val="auto"/>
          <w:sz w:val="28"/>
          <w:szCs w:val="36"/>
          <w:lang w:val="en-US" w:eastAsia="zh-CN"/>
        </w:rPr>
        <w:t>2022年雍川镇高标准农田建设示范区创建项目</w:t>
      </w:r>
      <w:r>
        <w:rPr>
          <w:rFonts w:hint="eastAsia" w:ascii="仿宋" w:hAnsi="仿宋" w:eastAsia="仿宋" w:cs="仿宋"/>
          <w:b w:val="0"/>
          <w:bCs w:val="0"/>
          <w:color w:val="auto"/>
          <w:sz w:val="28"/>
          <w:szCs w:val="36"/>
          <w:lang w:val="en-US" w:eastAsia="zh-CN"/>
        </w:rPr>
        <w:t>特点、评价目的、信息采集等客观情况，采取计划标准作为评价的标准。根据评价对象具体情况，评价方法主要采用成本效益分析法、因素分析法、公众评判法等。</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3.评价等级设置情况</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为更好地反映项目单位的绩效目标实现情况，绩效评价结果采取评分和评级相结合的方式，具体分值和等级划分为四档标准如下:</w:t>
      </w:r>
    </w:p>
    <w:tbl>
      <w:tblPr>
        <w:tblStyle w:val="3"/>
        <w:tblW w:w="988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238"/>
        <w:gridCol w:w="2550"/>
        <w:gridCol w:w="260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75" w:type="dxa"/>
          </w:tcPr>
          <w:p>
            <w:pPr>
              <w:snapToGrid w:val="0"/>
              <w:spacing w:line="240" w:lineRule="auto"/>
              <w:rPr>
                <w:rFonts w:hint="eastAsia" w:ascii="仿宋" w:hAnsi="仿宋" w:eastAsia="仿宋" w:cs="仿宋"/>
                <w:b w:val="0"/>
                <w:bCs w:val="0"/>
                <w:color w:val="auto"/>
                <w:sz w:val="28"/>
                <w:szCs w:val="36"/>
                <w:vertAlign w:val="baseline"/>
                <w:lang w:val="en-US" w:eastAsia="zh-CN"/>
              </w:rPr>
            </w:pPr>
          </w:p>
          <w:p>
            <w:pPr>
              <w:snapToGrid w:val="0"/>
              <w:spacing w:line="240" w:lineRule="auto"/>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分值</w:t>
            </w:r>
          </w:p>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等级</w:t>
            </w:r>
          </w:p>
        </w:tc>
        <w:tc>
          <w:tcPr>
            <w:tcW w:w="1238"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优秀</w:t>
            </w:r>
          </w:p>
        </w:tc>
        <w:tc>
          <w:tcPr>
            <w:tcW w:w="255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良好</w:t>
            </w:r>
          </w:p>
        </w:tc>
        <w:tc>
          <w:tcPr>
            <w:tcW w:w="2606"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一般</w:t>
            </w:r>
          </w:p>
        </w:tc>
        <w:tc>
          <w:tcPr>
            <w:tcW w:w="162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区间</w:t>
            </w:r>
          </w:p>
        </w:tc>
        <w:tc>
          <w:tcPr>
            <w:tcW w:w="1238"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≥90分</w:t>
            </w:r>
          </w:p>
        </w:tc>
        <w:tc>
          <w:tcPr>
            <w:tcW w:w="2550" w:type="dxa"/>
          </w:tcPr>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90分＜分值≥80分</w:t>
            </w:r>
          </w:p>
        </w:tc>
        <w:tc>
          <w:tcPr>
            <w:tcW w:w="2606" w:type="dxa"/>
          </w:tcPr>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80分＜分值≥60分</w:t>
            </w:r>
          </w:p>
        </w:tc>
        <w:tc>
          <w:tcPr>
            <w:tcW w:w="162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＜60分</w:t>
            </w:r>
          </w:p>
        </w:tc>
      </w:tr>
    </w:tbl>
    <w:p>
      <w:pPr>
        <w:ind w:firstLine="560" w:firstLineChars="200"/>
        <w:rPr>
          <w:rFonts w:hint="eastAsia" w:ascii="仿宋" w:hAnsi="仿宋" w:eastAsia="仿宋" w:cs="仿宋"/>
          <w:b w:val="0"/>
          <w:bCs w:val="0"/>
          <w:color w:val="auto"/>
          <w:sz w:val="28"/>
          <w:szCs w:val="36"/>
          <w:lang w:val="en-US" w:eastAsia="zh-CN"/>
        </w:rPr>
      </w:pP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4.评价工程过程</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为了使绩效评价工作顺利开展，成立了本项目绩效评价工作小组，认真研究分析项目，根据中省市相关政策的规定结合项目实际制定绩效评分体系。2023年9月26日至28日评价组对2022年雍川镇高标准农田建设示范区创建项目实施了现场勘察和评价打分，结合实施单位项目自查报告信息采集、查阅资料、统计分析、交流、电话询访等方法，进一步核实相关资料的真实性、合法性、合理性，对项目资料中反映的或分析中发现的问题进行重点核查。在全面分析整理被评价项目的相关数据资料的基础上，比照评价指标和标准，进行了定性定量综合分析，综合评议与打分。通过行业专家、财政局和项目单位三方交换意见，经评价小组分析后得出评价结论，撰写评价报告。</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（五）评价工作的局限性</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color w:val="auto"/>
          <w:sz w:val="28"/>
          <w:szCs w:val="36"/>
          <w:lang w:val="en-US" w:eastAsia="zh-CN"/>
        </w:rPr>
        <w:t>尽管评价组在评价中力求科学性、规范性、客观性和公正性，但在实际评价过程中依然存在局限性：一是由于评价时间、人力等限制，获取数据与信息来源存在局限性；二是由于评价工作人员知识面、经验等限制，在理解和判断上存在认知局限性；三是受</w:t>
      </w:r>
      <w:r>
        <w:rPr>
          <w:rFonts w:hint="eastAsia" w:ascii="仿宋" w:hAnsi="仿宋" w:eastAsia="仿宋" w:cs="仿宋"/>
          <w:color w:val="auto"/>
          <w:sz w:val="28"/>
          <w:szCs w:val="36"/>
          <w:highlight w:val="none"/>
          <w:lang w:val="en-US" w:eastAsia="zh-CN"/>
        </w:rPr>
        <w:t>调查</w:t>
      </w:r>
      <w:r>
        <w:rPr>
          <w:rFonts w:hint="eastAsia" w:ascii="仿宋" w:hAnsi="仿宋" w:eastAsia="仿宋" w:cs="仿宋"/>
          <w:color w:val="auto"/>
          <w:sz w:val="28"/>
          <w:szCs w:val="36"/>
          <w:lang w:val="en-US" w:eastAsia="zh-CN"/>
        </w:rPr>
        <w:t>覆盖面及被调查者认知、愿望等方面的主观倾向性限制，服务对象满意度测评结果可能存在一定局限性。四是由于本次评价时项目正处于审计阶段，产出、效益等指标只能参照历史值、预期值分析，会对评价结论带来影响。</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三、绩效评价指标分析</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（一）决策</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从项目立项、绩效目标、资金投入三个方面进行评价，满分12分，实际得分10.50分。评分结果详见下表：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表一 决策指标得分表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决策（12分）</w:t>
            </w: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项目立项（4分）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绩效目标（8分）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10.5</w:t>
            </w:r>
          </w:p>
        </w:tc>
      </w:tr>
    </w:tbl>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项目立项方面：从立项依据充分性、立项程序规范性方面进行评价。项目于2022年5月7日岐乡振发[2022]19号文件批准立项。项目实施依据充分，立项程序规范。</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绩效目标方面：项目设定绩效目标依据充分，符合客观实际，能够在一定期限内实现。但未将绩效目标进行细化分解，未制定清晰化、可量化的绩效目标是扣分原因。</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资金投入方面：从预算编制科学性、资金分配合理性进行评价。项目初步投资概算为660万元，最终批复项目总投资为：660万元，项目资金预算内容与项目内容匹配。</w:t>
      </w:r>
    </w:p>
    <w:p>
      <w:pPr>
        <w:keepNext w:val="0"/>
        <w:keepLines w:val="0"/>
        <w:pageBreakBefore w:val="0"/>
        <w:widowControl w:val="0"/>
        <w:kinsoku/>
        <w:wordWrap w:val="0"/>
        <w:overflowPunct/>
        <w:topLinePunct w:val="0"/>
        <w:autoSpaceDE/>
        <w:autoSpaceDN/>
        <w:bidi w:val="0"/>
        <w:adjustRightInd/>
        <w:snapToGrid/>
        <w:ind w:firstLine="562" w:firstLineChars="200"/>
        <w:jc w:val="both"/>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（二）过程</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 xml:space="preserve">  从资金管理、组织实施两个方面进行评价，满分13分，实际得分13.00分。评分结果详见下表：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表二 过程指标得分表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过程（13分）</w:t>
            </w: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组织实施（3分）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13.00</w:t>
            </w:r>
          </w:p>
        </w:tc>
      </w:tr>
    </w:tbl>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资金管理方面。从资金到位率、预算执行率、资金使用合规性进行评价。资金到位率方面，2022年共拨付资金660万元，已结资金6226803.61元，未支付资金以及剩余资金由于项目正处于审计阶段无法准备评估。资金使用合规性方面，各项支出符合财务管理制度及有关规定，资金拨付有完整的审批程序和手续，资金使用未发现截留、虚列支出等现象。</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组织实施方面。从管理制度健全性、制度执行有效性进行评价。项目有相应的管理制度，并能较好的组织实施。项目于2022年12月1日全部项目完工，验收合格，所有项目正处于审计阶段。</w:t>
      </w:r>
    </w:p>
    <w:p>
      <w:pPr>
        <w:numPr>
          <w:ilvl w:val="0"/>
          <w:numId w:val="0"/>
        </w:num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kern w:val="2"/>
          <w:sz w:val="28"/>
          <w:szCs w:val="36"/>
          <w:lang w:val="en-US" w:eastAsia="zh-CN" w:bidi="ar-SA"/>
        </w:rPr>
        <w:t>（三）</w:t>
      </w:r>
      <w:r>
        <w:rPr>
          <w:rFonts w:hint="eastAsia" w:ascii="仿宋" w:hAnsi="仿宋" w:eastAsia="仿宋" w:cs="仿宋"/>
          <w:b/>
          <w:bCs/>
          <w:color w:val="auto"/>
          <w:sz w:val="28"/>
          <w:szCs w:val="36"/>
          <w:lang w:val="en-US" w:eastAsia="zh-CN"/>
        </w:rPr>
        <w:t>成本</w:t>
      </w:r>
    </w:p>
    <w:p>
      <w:pPr>
        <w:numPr>
          <w:ilvl w:val="0"/>
          <w:numId w:val="0"/>
        </w:num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从经济成本、社会成本、生态环境成本三个方面进行评价满分为10 分，实际得分 8分。评分结果详见下表:</w:t>
      </w:r>
    </w:p>
    <w:p>
      <w:pPr>
        <w:numPr>
          <w:ilvl w:val="0"/>
          <w:numId w:val="0"/>
        </w:num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表三 成本指标得分表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154"/>
        <w:gridCol w:w="2503"/>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154"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03"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w:t>
            </w:r>
            <w:r>
              <w:rPr>
                <w:rFonts w:hint="eastAsia" w:ascii="仿宋" w:hAnsi="仿宋" w:eastAsia="仿宋" w:cs="仿宋"/>
                <w:b w:val="0"/>
                <w:bCs w:val="0"/>
                <w:color w:val="auto"/>
                <w:sz w:val="24"/>
                <w:szCs w:val="24"/>
                <w:highlight w:val="none"/>
                <w:vertAlign w:val="baseline"/>
                <w:lang w:val="en-US" w:eastAsia="zh-CN"/>
              </w:rPr>
              <w:t>成本（4分）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w:t>
            </w:r>
          </w:p>
        </w:tc>
      </w:tr>
    </w:tbl>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经济成本看，项目建设经费控制得比较好，主管部门成本控制职责履行比较到位，相关过程做到了公正、公开、无投诉。由于项目正处于审计阶段，项目成本节约率只能从预期值进行评估，成本节约率小于10%扣2分。</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从社会发展负作用看，目前未发现项目对社会造成安全影响，无人员因项目改造缺陷导致安全事故的风险事件。</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从自然生态环境负作用看,建设单位已按设计要求完成项目建设，各项质量指标验收合格。</w:t>
      </w:r>
    </w:p>
    <w:p>
      <w:pPr>
        <w:numPr>
          <w:ilvl w:val="0"/>
          <w:numId w:val="0"/>
        </w:numPr>
        <w:ind w:firstLine="562" w:firstLineChars="200"/>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kern w:val="2"/>
          <w:sz w:val="28"/>
          <w:szCs w:val="36"/>
          <w:lang w:val="en-US" w:eastAsia="zh-CN" w:bidi="ar-SA"/>
        </w:rPr>
        <w:t>（四）</w:t>
      </w:r>
      <w:r>
        <w:rPr>
          <w:rFonts w:hint="eastAsia" w:ascii="仿宋" w:hAnsi="仿宋" w:eastAsia="仿宋" w:cs="仿宋"/>
          <w:b/>
          <w:bCs/>
          <w:color w:val="auto"/>
          <w:sz w:val="28"/>
          <w:szCs w:val="36"/>
          <w:lang w:val="en-US" w:eastAsia="zh-CN"/>
        </w:rPr>
        <w:t>产出</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从产出数量、产出质量、产出时效三个方面进行评价，满分为25分，实际得分25 分。评分结果详见下表：</w:t>
      </w:r>
    </w:p>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表四 产出指标得分表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产出（25分）</w:t>
            </w: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r>
    </w:tbl>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本项目产出数量、质量、时效三个指标均按合同约定完成。</w:t>
      </w:r>
    </w:p>
    <w:p>
      <w:pPr>
        <w:numPr>
          <w:ilvl w:val="0"/>
          <w:numId w:val="0"/>
        </w:numPr>
        <w:ind w:firstLine="562" w:firstLineChars="200"/>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（五）效益</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从项目社会效益、经济效益、生态效益三方面进行评价满分为30分，实际得分 30分。评分结果详见下表:</w:t>
      </w:r>
    </w:p>
    <w:p>
      <w:pPr>
        <w:numPr>
          <w:ilvl w:val="0"/>
          <w:numId w:val="0"/>
        </w:num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表五 效益指标得分表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437" w:type="dxa"/>
            <w:vMerge w:val="restart"/>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jc w:val="cente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r>
    </w:tbl>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经济效益方面因为项目实施后，项目区的生产条件得到进一步改善，灌溉面积将有大幅度增加，复种指数大幅度提高，同时由于大面积进行高标准农田改良，加强良种服务体系建设，积极推广应用先进适用的农业新技术，加强对项目区广大农民培训，良种使用率达 90%,上地产出率显著提高，项目区粮食产量明显增加，农作物每亩产量约增长7.59%，达到了项目预期目标。</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社会效益方面:项目实施后，通过对基本农田保护，道路交通的完善，对农业的可持续发展提供了有力支持。项目建设后，将形成较完善的田间道路系统和农田排水系统，项目区内目前耕作不便及受洪涝影响严重的状况将得到彻底改变；提高了耕地的保水保肥能力，中低产田得到改造，耕地质量将得到全面改善，耕地将达到旱涝保收的土地标准；改善项目区农业生产条件，提高土地利用率和农业生产效率，夯实了农业基础，增强了农业综合生产能力、抗灾能力和发展后劲，为农业产业结构调整、农民增收奠定了坚实的基础。</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通过土地开发整理，扩大耕地面积，安置剩余劳动力，增加就业岗位对整个社会的稳定有较大作用。将促进岐山县农业现代化建设，加快社会主义现代化的建设步伐，改善环境，有利于社会的长治久安和全面发展。</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生态效益方面: 项目是以高标准基本农田建设为基础，在保护生态环境的前提下，把农村道路建设、土地平整及田间建设紧密结合在一起，通过灌溉、机耕道路等工程措施，实现高效农田生态系统。项目实施后大大提高了区内排涝能力，起到美化环境的作用，使区内生态环境进入良性循环，并逐步改善.</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高标准基本农田建设项目，是按“田块平整规范化，农田耕作机械化田间管理科学化”的目标进行建设的。项目建成后，将成为一道亮丽的田间风景线，发挥着农业生产建设和美化环境的双重功能。</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通过项目区的建设，将明显地改善项目区的生态景观，为乡村振兴提供助力。</w:t>
      </w:r>
    </w:p>
    <w:p>
      <w:pPr>
        <w:numPr>
          <w:ilvl w:val="0"/>
          <w:numId w:val="0"/>
        </w:numPr>
        <w:ind w:firstLine="560" w:firstLineChars="200"/>
        <w:jc w:val="left"/>
        <w:rPr>
          <w:rFonts w:hint="eastAsia" w:ascii="仿宋" w:hAnsi="仿宋" w:eastAsia="仿宋" w:cs="仿宋"/>
          <w:b/>
          <w:bCs/>
          <w:color w:val="auto"/>
          <w:sz w:val="28"/>
          <w:szCs w:val="36"/>
          <w:lang w:val="en-US" w:eastAsia="zh-CN"/>
        </w:rPr>
      </w:pPr>
      <w:r>
        <w:rPr>
          <w:rFonts w:hint="eastAsia" w:ascii="仿宋" w:hAnsi="仿宋" w:eastAsia="仿宋" w:cs="仿宋"/>
          <w:b w:val="0"/>
          <w:bCs w:val="0"/>
          <w:color w:val="auto"/>
          <w:sz w:val="28"/>
          <w:szCs w:val="36"/>
          <w:lang w:val="en-US" w:eastAsia="zh-CN"/>
        </w:rPr>
        <w:t>满意度方面:通过现场随机询问的调查方式，被调查群众15人，满意度100%。</w:t>
      </w:r>
    </w:p>
    <w:p>
      <w:pPr>
        <w:numPr>
          <w:ilvl w:val="0"/>
          <w:numId w:val="0"/>
        </w:numPr>
        <w:jc w:val="lef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四、综合评价和结论</w:t>
      </w:r>
    </w:p>
    <w:p>
      <w:pPr>
        <w:numPr>
          <w:ilvl w:val="0"/>
          <w:numId w:val="0"/>
        </w:numPr>
        <w:ind w:firstLine="560" w:firstLineChars="200"/>
        <w:jc w:val="left"/>
        <w:rPr>
          <w:rFonts w:hint="eastAsia" w:ascii="仿宋" w:hAnsi="仿宋" w:eastAsia="仿宋" w:cs="仿宋"/>
          <w:b/>
          <w:bCs/>
          <w:color w:val="auto"/>
          <w:sz w:val="28"/>
          <w:szCs w:val="36"/>
          <w:lang w:val="en-US" w:eastAsia="zh-CN"/>
        </w:rPr>
      </w:pPr>
      <w:r>
        <w:rPr>
          <w:rFonts w:hint="eastAsia" w:ascii="仿宋" w:hAnsi="仿宋" w:eastAsia="仿宋" w:cs="仿宋"/>
          <w:b w:val="0"/>
          <w:bCs w:val="0"/>
          <w:color w:val="auto"/>
          <w:sz w:val="28"/>
          <w:szCs w:val="36"/>
          <w:lang w:val="en-US" w:eastAsia="zh-CN"/>
        </w:rPr>
        <w:t>2022年雍川镇高标准农田建设示范区创建项目立项程序和项目管理规范，工程建设任务完成情况良好，资金管理规范，社会效益和生态效益明显，周边居民反响好。但也存在一些薄弱环节，主要是：项目绩效目标管理不严格，项目绩效目标设置流于形式，设置过于简单,指标或因未量化，或因指标实现值获取困难，绩效目标管理中难以全面、准确判断，对实际工作缺乏指导性；结合项目单位自评，问卷调查等情况，经评价组综合分析</w:t>
      </w:r>
      <w:r>
        <w:rPr>
          <w:rFonts w:hint="eastAsia" w:ascii="仿宋" w:hAnsi="仿宋" w:eastAsia="仿宋" w:cs="仿宋"/>
          <w:color w:val="auto"/>
          <w:sz w:val="28"/>
          <w:szCs w:val="36"/>
          <w:lang w:val="en-US" w:eastAsia="zh-CN"/>
        </w:rPr>
        <w:t>2022年雍川镇高标准农田建设示范区创建项目事后</w:t>
      </w:r>
      <w:r>
        <w:rPr>
          <w:rFonts w:hint="eastAsia" w:ascii="仿宋" w:hAnsi="仿宋" w:eastAsia="仿宋" w:cs="仿宋"/>
          <w:b w:val="0"/>
          <w:bCs w:val="0"/>
          <w:color w:val="auto"/>
          <w:sz w:val="28"/>
          <w:szCs w:val="36"/>
          <w:lang w:val="en-US" w:eastAsia="zh-CN"/>
        </w:rPr>
        <w:t>绩效评价得分为96.5分，绩效等级为优秀。</w:t>
      </w:r>
    </w:p>
    <w:p>
      <w:pPr>
        <w:numPr>
          <w:ilvl w:val="0"/>
          <w:numId w:val="0"/>
        </w:numPr>
        <w:jc w:val="lef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五、存在问题</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项目绩效目标管理不严格，项目绩效目标设置流于形式，设置过于简单,指标或因未量化，或因指标实现值获取困难，绩效目标管理中难以全面、准确判断，对实际工作缺乏指导性。</w:t>
      </w:r>
    </w:p>
    <w:p>
      <w:pPr>
        <w:numPr>
          <w:ilvl w:val="0"/>
          <w:numId w:val="0"/>
        </w:numPr>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六、相关建议</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绩效目标管理是预算绩效管理的龙头和关键，是开展事中绩效监控、事后绩效评价的重要依据。相关主管部门和项目实施单位应切实负起预算绩效管理主体责任，严格落实绩效目标管理相关政策规定，科学合理编制项目绩效目标，细化量化绩效指标，切实解决“重投入轻绩效”的问题。财政部门应当加强绩效目标审核，随同预算指标文件同步批复项目绩效目标.。</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附件：2022年雍川镇高标准农田建设示范区创建项目事后绩效评分得分表</w:t>
      </w:r>
    </w:p>
    <w:p>
      <w:pPr>
        <w:numPr>
          <w:ilvl w:val="0"/>
          <w:numId w:val="0"/>
        </w:numPr>
        <w:jc w:val="both"/>
        <w:rPr>
          <w:rFonts w:hint="eastAsia" w:ascii="仿宋" w:hAnsi="仿宋" w:eastAsia="仿宋" w:cs="仿宋"/>
          <w:b w:val="0"/>
          <w:bCs w:val="0"/>
          <w:color w:val="auto"/>
          <w:sz w:val="28"/>
          <w:szCs w:val="36"/>
          <w:lang w:val="en-US" w:eastAsia="zh-CN"/>
        </w:rPr>
        <w:sectPr>
          <w:pgSz w:w="11906" w:h="16838"/>
          <w:pgMar w:top="1440" w:right="1800" w:bottom="1440" w:left="1800" w:header="851" w:footer="992" w:gutter="0"/>
          <w:cols w:space="425" w:num="1"/>
          <w:docGrid w:type="lines" w:linePitch="312" w:charSpace="0"/>
        </w:sectPr>
      </w:pPr>
    </w:p>
    <w:tbl>
      <w:tblPr>
        <w:tblStyle w:val="2"/>
        <w:tblW w:w="16493" w:type="dxa"/>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600"/>
        <w:gridCol w:w="1218"/>
        <w:gridCol w:w="548"/>
        <w:gridCol w:w="1796"/>
        <w:gridCol w:w="793"/>
        <w:gridCol w:w="6917"/>
        <w:gridCol w:w="1096"/>
        <w:gridCol w:w="1211"/>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270" w:hRule="atLeast"/>
        </w:trPr>
        <w:tc>
          <w:tcPr>
            <w:tcW w:w="82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附件：</w:t>
            </w:r>
          </w:p>
        </w:tc>
        <w:tc>
          <w:tcPr>
            <w:tcW w:w="600"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21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54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796"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793"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6917"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096"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211"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493"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28"/>
                <w:szCs w:val="28"/>
                <w:u w:val="none"/>
                <w:lang w:val="en-US" w:eastAsia="zh-CN"/>
              </w:rPr>
              <w:t>2022年雍川镇高标准农田建设示范区创建项目事后绩效评价得分表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一级指标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分值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二级指标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分值</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分值</w:t>
            </w:r>
          </w:p>
        </w:tc>
        <w:tc>
          <w:tcPr>
            <w:tcW w:w="6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评价标准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评价得分</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9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决策</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12</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项目立项</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立项依据充分性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1.项目立项是否符合国家法律法规、国民经济发展规划和相关政策0.5分；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2.项目立项是否符合行业发展规划和政策要求 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3.项目立项是否与部门职责范围相符，属于部门履职所需 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4.项目是否属于公共财政支持范围，是否符合中央、地方事权支出责任划分原则0.5分；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5.项目是否与相关部门同类项目或部门内部相关项目重复0.5分。</w:t>
            </w:r>
            <w:bookmarkStart w:id="0" w:name="_GoBack"/>
            <w:bookmarkEnd w:id="0"/>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3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立项程序规范性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1.项目是否按照规定的程序申请设立0.5分；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2.所提交的文件、材料是否符合相关要求 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3.项目申请是否经过批准0.5分。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绩效目标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绩效目标合理性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1.项目是否有绩效目标0.5分；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2.是否与项目实施单位或委托单位职责密切相关0.5分；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3.项目是否为促进事业性发展所必需 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4.项目预期产出效益和效果是否符合正常的业绩水平0.5分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绩效指标明确性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1.是否将项目绩效目标细化分解为具体的绩效指标0.5分；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2.是否通过清晰、可衡量的指标值予以体现1分；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3.是否与项目年度任务数或计划数相对应0.5分；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4.是否与预算确定的项目投资额或资金相匹配1分。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项目绩效目标无具体指标，未量化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资金投入</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预算编制科学性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1.预算编制是否经过科学论证0.5分；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2.预算内容与项目内容是否匹配0.5分；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3.预算额度测算依据是否充分，是否按照标准编制 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4.预算确定的项目投资额或资金量是否与工作任务相匹配0.5分。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资金分配合理性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1.预算资金分配依据是否充分0.5分；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2.资金分配额度是否合理，与项目单位或地方实际是否相适应0.5分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过程</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13</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资金管理</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资金到位率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1.资金到位率(a=(实际到位资金/合同金额)X100%)小于60%不得分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2.大于等于60%的按超过的比重赋分，得分=(资金到位率一60%)/(1-60%)*指标分值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1.预算执行率(a=实际支出资金/合同金额X100%)小于60%不得分；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2.大于等于60%的按超过的比重赋分，得分=(预算执行率一60%)/(1-60%)*指标分值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89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资金使用合规性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1.资金使用是否符合国家财经法规和财务管理制度以及有关专项资金管理办法的规定1分；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2.资金的拨付是否有完整的审批程序和手续 1分；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3.项目的重大开支是否经过集体研究 1分；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4.是否符合项目预算批复或合同规定的用途1分；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5.资金使用出现截留、挤占、挪用、虚列支出任何一种情况，本指标得分为0。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组织实施</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管理制度健全性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1.是否已制定或具有相应的业务管理制度0.5分；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2.业务管理制度是否健全、完整0.5分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62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制度执行有效性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1.是否遵守相关法律法规和业务管理规定0.5分；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2.项目调整及支出调整手续是否完备 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3.项目合同书、验收报告、技术鉴定等资料是否齐全并及时归档0.5分；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4.是否建立了投资、建设、验收、后期管护、问题反馈等机制0.5分。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54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成本</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经济成本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成本节约率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1.成本控制职责履行未到位，未做到公开公正扣2分；</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2.成本节约率小于10%扣2分，大于等于10%小于等于30%扣1分。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rPr>
              <w:t>项目处于审计阶段，成本节约率按预期值评估，小于10%扣2分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社会成本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社会发展负作用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1.相对未改造之前对灌区用水效率和效益提升效果不明显扣60%分值，提升效果一般扣40%，咨询专家确定标准；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2.有使人员发生安全风险事件较小的，扣 40%，未采取措施或措施无效的扣 50%分值，较大的扣 80%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生态环境成本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自然生态环境负作用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1.改造后比之前水土流失增加的扣1分；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2.预期对灌区有阻碍的扣 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产出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产出数量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实际完成率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1.计算公式:实际完成率=(实际产出数/计划产出数)X100%；</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2.评分标准实际完成率小于 60%不得分;大于等于 60%的按超过的比重赋分，得分=(实际完成率-60%)/(1-60%)X 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产出质量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质量达标率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1.落实质量安全管理主体责任 （5分）；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2.符合国家相关工程质量标准（5分）；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3.质量达标率小于60%不得分，大于等于60%的按超过比重赋分，得分=(质量达标率一60%)/(1-60%)*指标分值。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产出时效</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完成及时率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1.按计划建成投入使用（5分）；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2.完成及时率小于60%不得分；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3.大于等于60%的按超过比重赋分，得分=(完成及时率一60%)/(1-60%)*指标分值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效益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30</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项目效益</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经济效益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1.推动项目区域农业经济发展(5分)；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2.投资、旅游、购物能否反映项目投入成本、维护费用支出 (3分)；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3.改善投资环境，优化营商环境，助推经济发展(2分)。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社会效益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1.改善农田基础设施条件 (6分)；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2.提升耕地质量(2分)；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3.提高粮食综合生产能力（2分）。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生态效益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1.改善生态景观（10分）；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3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服务对象满意度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项目区域民众及社会公众认可度</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按照区间进行赋分: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1.满意度≥90%得10分: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2.80%&lt;满意度&lt;90%得8分: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3.60%≤满意度&lt;80%得 5分:</w:t>
            </w:r>
            <w:r>
              <w:rPr>
                <w:rFonts w:hint="eastAsia" w:ascii="仿宋" w:hAnsi="仿宋" w:eastAsia="仿宋" w:cs="仿宋"/>
                <w:i w:val="0"/>
                <w:iCs w:val="0"/>
                <w:color w:val="000000"/>
                <w:kern w:val="0"/>
                <w:sz w:val="22"/>
                <w:szCs w:val="22"/>
                <w:u w:val="none"/>
                <w:lang w:val="en-US" w:eastAsia="zh-CN"/>
              </w:rPr>
              <w:br w:type="textWrapping"/>
            </w:r>
            <w:r>
              <w:rPr>
                <w:rFonts w:hint="eastAsia" w:ascii="仿宋" w:hAnsi="仿宋" w:eastAsia="仿宋" w:cs="仿宋"/>
                <w:i w:val="0"/>
                <w:iCs w:val="0"/>
                <w:color w:val="000000"/>
                <w:kern w:val="0"/>
                <w:sz w:val="22"/>
                <w:szCs w:val="22"/>
                <w:u w:val="none"/>
                <w:lang w:val="en-US" w:eastAsia="zh-CN"/>
              </w:rPr>
              <w:t>4.满意度&lt;60%不得分。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72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rPr>
            </w:pPr>
            <w:r>
              <w:rPr>
                <w:rFonts w:hint="eastAsia" w:ascii="仿宋" w:hAnsi="仿宋" w:eastAsia="仿宋" w:cs="仿宋"/>
                <w:i w:val="0"/>
                <w:iCs w:val="0"/>
                <w:color w:val="000000"/>
                <w:kern w:val="0"/>
                <w:sz w:val="22"/>
                <w:szCs w:val="22"/>
                <w:u w:val="none"/>
                <w:lang w:val="en-US" w:eastAsia="zh-CN"/>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rPr>
            </w:pPr>
            <w:r>
              <w:rPr>
                <w:rFonts w:hint="eastAsia" w:ascii="仿宋" w:hAnsi="仿宋" w:eastAsia="仿宋" w:cs="仿宋"/>
                <w:i w:val="0"/>
                <w:iCs w:val="0"/>
                <w:color w:val="000000"/>
                <w:kern w:val="0"/>
                <w:sz w:val="22"/>
                <w:szCs w:val="22"/>
                <w:u w:val="none"/>
                <w:lang w:val="en-US" w:eastAsia="zh-CN"/>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rPr>
            </w:pPr>
            <w:r>
              <w:rPr>
                <w:rFonts w:hint="eastAsia" w:ascii="仿宋" w:hAnsi="仿宋" w:eastAsia="仿宋" w:cs="仿宋"/>
                <w:i w:val="0"/>
                <w:iCs w:val="0"/>
                <w:color w:val="000000"/>
                <w:kern w:val="0"/>
                <w:sz w:val="22"/>
                <w:szCs w:val="22"/>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rPr>
            </w:pPr>
            <w:r>
              <w:rPr>
                <w:rFonts w:hint="eastAsia" w:ascii="仿宋" w:hAnsi="仿宋" w:eastAsia="仿宋" w:cs="仿宋"/>
                <w:i w:val="0"/>
                <w:iCs w:val="0"/>
                <w:color w:val="000000"/>
                <w:kern w:val="0"/>
                <w:sz w:val="22"/>
                <w:szCs w:val="22"/>
                <w:u w:val="none"/>
                <w:lang w:val="en-US" w:eastAsia="zh-CN"/>
              </w:rPr>
              <w:t>100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rPr>
            </w:pPr>
            <w:r>
              <w:rPr>
                <w:rFonts w:hint="eastAsia" w:ascii="仿宋" w:hAnsi="仿宋" w:eastAsia="仿宋" w:cs="仿宋"/>
                <w:i w:val="0"/>
                <w:iCs w:val="0"/>
                <w:color w:val="000000"/>
                <w:kern w:val="0"/>
                <w:sz w:val="22"/>
                <w:szCs w:val="22"/>
                <w:u w:val="none"/>
                <w:lang w:val="en-US" w:eastAsia="zh-CN"/>
              </w:rPr>
              <w:t>96.5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numPr>
          <w:ilvl w:val="0"/>
          <w:numId w:val="0"/>
        </w:numPr>
        <w:jc w:val="both"/>
        <w:rPr>
          <w:rFonts w:hint="eastAsia" w:ascii="仿宋" w:hAnsi="仿宋" w:eastAsia="仿宋" w:cs="仿宋"/>
          <w:b w:val="0"/>
          <w:bCs w:val="0"/>
          <w:color w:val="auto"/>
          <w:sz w:val="28"/>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zkwODY2NGRlZGRkZGRlOWE2OGQzMWRkZjBiMGUifQ=="/>
  </w:docVars>
  <w:rsids>
    <w:rsidRoot w:val="00000000"/>
    <w:rsid w:val="01FF6F4F"/>
    <w:rsid w:val="08033FB8"/>
    <w:rsid w:val="1F900295"/>
    <w:rsid w:val="4C3D21D5"/>
    <w:rsid w:val="5D915DD3"/>
    <w:rsid w:val="6988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8115</Words>
  <Characters>8836</Characters>
  <Paragraphs>624</Paragraphs>
  <TotalTime>1</TotalTime>
  <ScaleCrop>false</ScaleCrop>
  <LinksUpToDate>false</LinksUpToDate>
  <CharactersWithSpaces>8914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2023-10-13T00:39:00Z</dcterms:created>
  <dc:creator>Administrator</dc:creator>
  <cp:lastModifiedBy>？</cp:lastModifiedBy>
  <dcterms:modified xsi:type="dcterms:W3CDTF">2023-10-18T09:12:47Z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5C2DDBEDA6764FB2B748698699CCB613_13</vt:lpwstr>
  </property>
</Properties>
</file>