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32" w:lineRule="auto"/>
        <w:ind w:firstLine="0" w:firstLineChars="0"/>
        <w:jc w:val="center"/>
        <w:textAlignment w:val="auto"/>
        <w:rPr>
          <w:rFonts w:hint="eastAsia" w:ascii="仿宋" w:hAnsi="仿宋" w:eastAsia="仿宋" w:cs="仿宋"/>
          <w:b/>
          <w:bCs/>
          <w:color w:val="auto"/>
          <w:sz w:val="32"/>
          <w:szCs w:val="32"/>
          <w:lang w:val="en-US" w:eastAsia="zh-CN"/>
        </w:rPr>
      </w:pPr>
      <w:bookmarkStart w:id="0" w:name="_Toc16317"/>
      <w:r>
        <w:rPr>
          <w:rFonts w:hint="eastAsia" w:ascii="仿宋" w:hAnsi="仿宋" w:eastAsia="仿宋" w:cs="仿宋"/>
          <w:b/>
          <w:bCs/>
          <w:color w:val="auto"/>
          <w:sz w:val="32"/>
          <w:szCs w:val="32"/>
          <w:lang w:val="en-US" w:eastAsia="zh-CN"/>
        </w:rPr>
        <w:t>粮食利费补贴</w:t>
      </w:r>
      <w:bookmarkEnd w:id="0"/>
      <w:r>
        <w:rPr>
          <w:rFonts w:hint="eastAsia" w:ascii="仿宋" w:hAnsi="仿宋" w:eastAsia="仿宋" w:cs="仿宋"/>
          <w:b/>
          <w:bCs/>
          <w:color w:val="auto"/>
          <w:sz w:val="32"/>
          <w:szCs w:val="32"/>
          <w:lang w:val="en-US" w:eastAsia="zh-CN"/>
        </w:rPr>
        <w:t>绩效评价报告</w:t>
      </w:r>
    </w:p>
    <w:p>
      <w:pPr>
        <w:ind w:left="0" w:leftChars="0" w:firstLine="0" w:firstLineChars="0"/>
        <w:jc w:val="both"/>
        <w:rPr>
          <w:rFonts w:hint="eastAsia" w:ascii="仿宋" w:hAnsi="仿宋" w:eastAsia="仿宋" w:cs="仿宋"/>
          <w:sz w:val="28"/>
          <w:szCs w:val="28"/>
          <w:highlight w:val="none"/>
          <w:u w:val="none"/>
        </w:rPr>
      </w:pP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按照《岐山县财政局关于开展2022年度县级财政项目绩效评价的通知》（岐财办绩[2023]20号）等相关文件要求，遵循科学性、规范性、客观性和公正性的原则，我局组织对</w:t>
      </w:r>
      <w:r>
        <w:rPr>
          <w:rFonts w:hint="eastAsia" w:ascii="仿宋" w:hAnsi="仿宋" w:eastAsia="仿宋" w:cs="仿宋"/>
          <w:sz w:val="28"/>
          <w:szCs w:val="28"/>
          <w:lang w:val="en-US" w:eastAsia="zh-CN"/>
        </w:rPr>
        <w:t>粮食利费补贴</w:t>
      </w:r>
      <w:r>
        <w:rPr>
          <w:rFonts w:hint="eastAsia" w:ascii="仿宋" w:hAnsi="仿宋" w:eastAsia="仿宋" w:cs="仿宋"/>
          <w:color w:val="auto"/>
          <w:sz w:val="28"/>
          <w:szCs w:val="28"/>
          <w:lang w:val="en-US" w:eastAsia="zh-CN"/>
        </w:rPr>
        <w:t>开展了事后绩效评价。现评价情况如下：</w:t>
      </w:r>
    </w:p>
    <w:p>
      <w:pPr>
        <w:pStyle w:val="3"/>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bookmarkStart w:id="1" w:name="_Toc22033"/>
      <w:r>
        <w:rPr>
          <w:rFonts w:hint="eastAsia" w:ascii="仿宋" w:hAnsi="仿宋" w:eastAsia="仿宋" w:cs="仿宋"/>
          <w:sz w:val="28"/>
          <w:szCs w:val="28"/>
          <w:lang w:val="en-US" w:eastAsia="zh-CN"/>
        </w:rPr>
        <w:t>一、基本情况</w:t>
      </w:r>
      <w:bookmarkEnd w:id="1"/>
    </w:p>
    <w:p>
      <w:pPr>
        <w:pStyle w:val="4"/>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（一）项目概况</w:t>
      </w:r>
    </w:p>
    <w:p>
      <w:pPr>
        <w:pStyle w:val="6"/>
        <w:bidi w:val="0"/>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1.项目背景</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粮食利费补贴是保障我县县级储备小麦、食用油、小麦面粉利息费用补贴，进一步促进县级储备粮油的安全储存和高效管理，确保县级储备粮油在突发紧急情况下起到维护社会稳定、确保粮油有效供应的作用。粮食储备是为保证我国非农业人口的粮食消费需求，调节国内粮食供求平衡、稳定粮食市场价格、应对重大自然灾害或其他突发事件而建立的一项物资储备制度，要综合运用“经济的、法律的和必要的”行政手段，突出抓好粮食的市场供应，稳定消费价格总水平，保障群众基本生活。粮食利费补贴作为维持国家粮食储备和调控我国粮油市场的一项基本制度，自设立以来，在市场经济为主导的粮食流通领域中，保障市场的稳定。为我国经济持续稳定发展起到了重要的作用，是提高我国粮食可持续发展能力的重要举措。</w:t>
      </w:r>
    </w:p>
    <w:p>
      <w:pPr>
        <w:bidi w:val="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岐山县人民政府2008年颁布实施《岐山县县级储备粮管理办法》（岐政发〔2008〕28号）提出了对加强县级储备粮管理、调节市场供求、强化宏观调控、应对突发事件发挥了重要作用。 </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2023年2月岐山县政府2023年第2次常务会研究同意并予通过岐山县人民政府文件印发（岐政发〔2023〕3号岐规〔2023〕001号－县政府001），文件明</w:t>
      </w:r>
      <w:r>
        <w:rPr>
          <w:rFonts w:hint="eastAsia" w:ascii="仿宋" w:hAnsi="仿宋" w:eastAsia="仿宋" w:cs="仿宋"/>
          <w:color w:val="auto"/>
          <w:sz w:val="28"/>
          <w:szCs w:val="28"/>
          <w:lang w:val="en-US" w:eastAsia="zh-CN"/>
        </w:rPr>
        <w:t>确我县粮</w:t>
      </w:r>
      <w:r>
        <w:rPr>
          <w:rFonts w:hint="eastAsia" w:ascii="仿宋" w:hAnsi="仿宋" w:eastAsia="仿宋" w:cs="仿宋"/>
          <w:sz w:val="28"/>
          <w:szCs w:val="28"/>
          <w:lang w:val="en-US" w:eastAsia="zh-CN"/>
        </w:rPr>
        <w:t>食利费补贴的使用范围。粮食利费补贴所需费用（包括保管费用、贷款利息、轮换费用及价差补贴），以确保储备粮油安全，维护粮食市场稳定和社会安定，有效发挥县级储备粮油在宏观调控中的作用，保证储备粮数量真实、质量良好、储存安全和管理规范。</w:t>
      </w:r>
    </w:p>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2.资金投入</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据岐财</w:t>
      </w:r>
      <w:r>
        <w:rPr>
          <w:rFonts w:hint="eastAsia" w:ascii="仿宋" w:hAnsi="仿宋" w:eastAsia="仿宋" w:cs="仿宋"/>
          <w:sz w:val="28"/>
          <w:szCs w:val="28"/>
          <w:highlight w:val="none"/>
          <w:lang w:val="en-US" w:eastAsia="zh-CN"/>
        </w:rPr>
        <w:t>办预〔202</w:t>
      </w:r>
      <w:r>
        <w:rPr>
          <w:rFonts w:hint="eastAsia" w:ascii="仿宋" w:hAnsi="仿宋" w:eastAsia="仿宋" w:cs="仿宋"/>
          <w:sz w:val="28"/>
          <w:szCs w:val="28"/>
          <w:lang w:val="en-US" w:eastAsia="zh-CN"/>
        </w:rPr>
        <w:t xml:space="preserve">2〕1号我县财政局关于拨付2022年县级储备粮油利费补贴资金的通知下达项目资金300万元，实际到位资金300万元。资金到位率100%。  </w:t>
      </w:r>
    </w:p>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3.使用情况</w:t>
      </w:r>
    </w:p>
    <w:p>
      <w:pPr>
        <w:keepNext w:val="0"/>
        <w:keepLines w:val="0"/>
        <w:pageBreakBefore w:val="0"/>
        <w:kinsoku/>
        <w:wordWrap/>
        <w:overflowPunct/>
        <w:topLinePunct w:val="0"/>
        <w:autoSpaceDE/>
        <w:autoSpaceDN/>
        <w:bidi w:val="0"/>
        <w:adjustRightInd/>
        <w:snapToGrid/>
        <w:spacing w:line="560" w:lineRule="exact"/>
        <w:ind w:firstLine="562" w:firstLineChars="200"/>
        <w:rPr>
          <w:rFonts w:hint="eastAsia" w:ascii="仿宋" w:hAnsi="仿宋" w:eastAsia="仿宋" w:cs="仿宋"/>
          <w:sz w:val="28"/>
          <w:szCs w:val="28"/>
          <w:highlight w:val="none"/>
          <w:u w:val="none"/>
          <w:lang w:val="en-US" w:eastAsia="zh-CN"/>
        </w:rPr>
      </w:pPr>
      <w:r>
        <w:rPr>
          <w:rFonts w:hint="eastAsia" w:ascii="仿宋" w:hAnsi="仿宋" w:eastAsia="仿宋" w:cs="仿宋"/>
          <w:b/>
          <w:bCs/>
          <w:color w:val="auto"/>
          <w:kern w:val="2"/>
          <w:sz w:val="28"/>
          <w:szCs w:val="28"/>
          <w:highlight w:val="none"/>
          <w:u w:val="none"/>
          <w:lang w:val="en-US" w:eastAsia="zh-CN" w:bidi="ar-SA"/>
        </w:rPr>
        <w:t>岐山县2022年粮食利费补贴</w:t>
      </w:r>
      <w:r>
        <w:rPr>
          <w:rFonts w:hint="eastAsia" w:ascii="仿宋" w:hAnsi="仿宋" w:eastAsia="仿宋" w:cs="仿宋"/>
          <w:sz w:val="28"/>
          <w:szCs w:val="28"/>
          <w:highlight w:val="none"/>
          <w:u w:val="none"/>
          <w:lang w:val="en-US" w:eastAsia="zh-CN"/>
        </w:rPr>
        <w:t>总支出为2442655.54元。具体支出明细见表1：</w:t>
      </w:r>
    </w:p>
    <w:p>
      <w:pPr>
        <w:rPr>
          <w:rFonts w:hint="eastAsia" w:ascii="仿宋" w:hAnsi="仿宋" w:eastAsia="仿宋" w:cs="仿宋"/>
          <w:b/>
          <w:bCs/>
          <w:color w:val="auto"/>
          <w:kern w:val="2"/>
          <w:sz w:val="28"/>
          <w:szCs w:val="28"/>
          <w:highlight w:val="none"/>
          <w:u w:val="none"/>
          <w:lang w:val="en-US" w:eastAsia="zh-CN" w:bidi="ar-SA"/>
        </w:rPr>
      </w:pPr>
      <w:r>
        <w:rPr>
          <w:rFonts w:hint="eastAsia" w:ascii="仿宋" w:hAnsi="仿宋" w:eastAsia="仿宋" w:cs="仿宋"/>
          <w:b/>
          <w:bCs/>
          <w:color w:val="auto"/>
          <w:kern w:val="2"/>
          <w:sz w:val="28"/>
          <w:szCs w:val="28"/>
          <w:highlight w:val="none"/>
          <w:u w:val="none"/>
          <w:lang w:val="en-US" w:eastAsia="zh-CN" w:bidi="ar-SA"/>
        </w:rPr>
        <w:br w:type="page"/>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表1 支出明细表</w:t>
      </w:r>
    </w:p>
    <w:p>
      <w:pPr>
        <w:widowControl w:val="0"/>
        <w:jc w:val="both"/>
        <w:rPr>
          <w:rFonts w:hint="eastAsia" w:ascii="仿宋" w:hAnsi="仿宋" w:eastAsia="仿宋" w:cs="仿宋"/>
          <w:b/>
          <w:bCs/>
          <w:color w:val="auto"/>
          <w:kern w:val="2"/>
          <w:sz w:val="28"/>
          <w:szCs w:val="28"/>
          <w:highlight w:val="none"/>
          <w:u w:val="none"/>
          <w:lang w:val="en-US" w:eastAsia="zh-CN" w:bidi="ar-SA"/>
        </w:rPr>
      </w:pPr>
      <w:r>
        <w:rPr>
          <w:rFonts w:hint="eastAsia" w:ascii="仿宋" w:hAnsi="仿宋" w:eastAsia="仿宋" w:cs="仿宋"/>
          <w:b/>
          <w:bCs/>
          <w:color w:val="auto"/>
          <w:kern w:val="2"/>
          <w:sz w:val="28"/>
          <w:szCs w:val="28"/>
          <w:highlight w:val="none"/>
          <w:u w:val="none"/>
          <w:lang w:val="en-US" w:eastAsia="zh-CN" w:bidi="ar-SA"/>
        </w:rPr>
        <w:t xml:space="preserve">                                              单位：元</w:t>
      </w:r>
    </w:p>
    <w:tbl>
      <w:tblPr>
        <w:tblStyle w:val="7"/>
        <w:tblW w:w="57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872"/>
        <w:gridCol w:w="1201"/>
        <w:gridCol w:w="1234"/>
        <w:gridCol w:w="1180"/>
        <w:gridCol w:w="1247"/>
        <w:gridCol w:w="1454"/>
        <w:gridCol w:w="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77" w:type="pct"/>
            <w:gridSpan w:val="2"/>
            <w:tcBorders>
              <w:top w:val="single" w:color="auto" w:sz="4" w:space="0"/>
              <w:left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承储单位</w:t>
            </w:r>
          </w:p>
        </w:tc>
        <w:tc>
          <w:tcPr>
            <w:tcW w:w="613"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1-4月</w:t>
            </w:r>
          </w:p>
        </w:tc>
        <w:tc>
          <w:tcPr>
            <w:tcW w:w="629"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4-7月</w:t>
            </w:r>
          </w:p>
        </w:tc>
        <w:tc>
          <w:tcPr>
            <w:tcW w:w="602"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7-9月</w:t>
            </w:r>
          </w:p>
        </w:tc>
        <w:tc>
          <w:tcPr>
            <w:tcW w:w="636"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10-12月</w:t>
            </w:r>
          </w:p>
        </w:tc>
        <w:tc>
          <w:tcPr>
            <w:tcW w:w="742"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总支出额</w:t>
            </w:r>
          </w:p>
        </w:tc>
        <w:tc>
          <w:tcPr>
            <w:tcW w:w="198"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widowControl/>
              <w:suppressLineNumbers w:val="0"/>
              <w:spacing w:before="0" w:beforeAutospacing="0" w:after="0" w:afterAutospacing="0" w:line="400" w:lineRule="exact"/>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22"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岐山县蔡家坡粮库</w:t>
            </w:r>
          </w:p>
        </w:tc>
        <w:tc>
          <w:tcPr>
            <w:tcW w:w="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1.蔡家坡粮库17号库</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83475.55</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84403.06</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85330.57</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85330.57</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338539.75</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22" w:type="pct"/>
            <w:vMerge w:val="continue"/>
            <w:tcBorders>
              <w:left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c>
          <w:tcPr>
            <w:tcW w:w="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2.蔡家坡粮库马江点1、2、3号库</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44734.78</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45231.84</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45728.88</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45728.88</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181424.38</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22"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c>
          <w:tcPr>
            <w:tcW w:w="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3.蔡家坡粮库2号库</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23734.26</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23997.98</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24261.69</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24261.69</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96255.62</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22" w:type="pct"/>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岐山县青化粮库</w:t>
            </w:r>
          </w:p>
        </w:tc>
        <w:tc>
          <w:tcPr>
            <w:tcW w:w="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1.青化粮库3、5号库</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83475.55</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84403.06</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85330.57</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85330.57</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338539.75</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622" w:type="pct"/>
            <w:vMerge w:val="continue"/>
            <w:tcBorders>
              <w:left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c>
          <w:tcPr>
            <w:tcW w:w="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2.青化粮库2号库</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44734.78</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45231.84</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45728.88</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45728.88</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181424.38</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22"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c>
          <w:tcPr>
            <w:tcW w:w="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3.青化粮库京当库区2号</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23734.26</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23997.98</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24261.69</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24261.69</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96255.62</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577" w:type="pct"/>
            <w:gridSpan w:val="2"/>
            <w:tcBorders>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岐山县太子油脂有限公司</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32569.21</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32931.09</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33292.97</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33292.97</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132086.24</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22" w:type="pct"/>
            <w:vMerge w:val="restart"/>
            <w:tcBorders>
              <w:left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岐山县鲁班桥粮食储备库</w:t>
            </w:r>
          </w:p>
        </w:tc>
        <w:tc>
          <w:tcPr>
            <w:tcW w:w="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1.鲁班桥粮库蒲村库区31号库</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44431.03</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44924.71</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45418.38</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45418.38</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180192.5</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22" w:type="pct"/>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c>
          <w:tcPr>
            <w:tcW w:w="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2.宝鸡祥和面粉有限责任公司代储</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7800.82</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7887.49</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7974.18</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7974.18</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31636.67</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22" w:type="pct"/>
            <w:tcBorders>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岐山五丈原粮站</w:t>
            </w:r>
          </w:p>
        </w:tc>
        <w:tc>
          <w:tcPr>
            <w:tcW w:w="9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五丈原粮站3、6、9、14号库</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213608.37</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215981.80</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218355.23</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218355.23</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866300.63</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577" w:type="pct"/>
            <w:gridSpan w:val="2"/>
            <w:tcBorders>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合计</w:t>
            </w:r>
          </w:p>
        </w:tc>
        <w:tc>
          <w:tcPr>
            <w:tcW w:w="6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602298.61</w:t>
            </w:r>
          </w:p>
        </w:tc>
        <w:tc>
          <w:tcPr>
            <w:tcW w:w="6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608990.85</w:t>
            </w:r>
          </w:p>
        </w:tc>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615683.04</w:t>
            </w:r>
          </w:p>
        </w:tc>
        <w:tc>
          <w:tcPr>
            <w:tcW w:w="6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615683.04</w:t>
            </w:r>
          </w:p>
        </w:tc>
        <w:tc>
          <w:tcPr>
            <w:tcW w:w="74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2442655.54</w:t>
            </w:r>
          </w:p>
        </w:tc>
        <w:tc>
          <w:tcPr>
            <w:tcW w:w="1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bl>
    <w:p>
      <w:pPr>
        <w:pStyle w:val="2"/>
        <w:rPr>
          <w:rFonts w:hint="eastAsia" w:ascii="仿宋" w:hAnsi="仿宋" w:eastAsia="仿宋" w:cs="仿宋"/>
          <w:sz w:val="28"/>
          <w:szCs w:val="28"/>
          <w:lang w:val="en-US" w:eastAsia="zh-CN"/>
        </w:rPr>
      </w:pPr>
    </w:p>
    <w:p>
      <w:pPr>
        <w:pStyle w:val="4"/>
        <w:bidi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（二）绩效目标</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项目总目标：</w:t>
      </w:r>
      <w:r>
        <w:rPr>
          <w:rFonts w:hint="eastAsia" w:ascii="仿宋" w:hAnsi="仿宋" w:eastAsia="仿宋" w:cs="仿宋"/>
          <w:color w:val="auto"/>
          <w:sz w:val="28"/>
          <w:szCs w:val="28"/>
          <w:lang w:val="en-US" w:eastAsia="zh-CN"/>
        </w:rPr>
        <w:t>保障我县县级储备小麦、食用油、小麦面粉利息费用补贴，进一步促进县级</w:t>
      </w:r>
      <w:r>
        <w:rPr>
          <w:rFonts w:hint="eastAsia" w:ascii="仿宋" w:hAnsi="仿宋" w:eastAsia="仿宋" w:cs="仿宋"/>
          <w:sz w:val="28"/>
          <w:szCs w:val="28"/>
          <w:lang w:val="en-US" w:eastAsia="zh-CN"/>
        </w:rPr>
        <w:t>储备粮油的安全储存和高效管理，确保县级储备粮油在突发紧急情况下起到维护社会稳定、确保粮油有效供应的作用。</w:t>
      </w:r>
    </w:p>
    <w:p>
      <w:pPr>
        <w:pStyle w:val="3"/>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bookmarkStart w:id="2" w:name="_Toc21882"/>
      <w:r>
        <w:rPr>
          <w:rFonts w:hint="eastAsia" w:ascii="仿宋" w:hAnsi="仿宋" w:eastAsia="仿宋" w:cs="仿宋"/>
          <w:sz w:val="28"/>
          <w:szCs w:val="28"/>
          <w:lang w:val="en-US" w:eastAsia="zh-CN"/>
        </w:rPr>
        <w:t>二、绩效评价工作展开情况</w:t>
      </w:r>
      <w:bookmarkEnd w:id="2"/>
    </w:p>
    <w:p>
      <w:pPr>
        <w:pStyle w:val="4"/>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（一）评价目的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绩效评价工作，在粮食利费补贴基本情况的基础上，对粮食利费补贴使用情况、主管部门和承储单位对粮情的监管情况和绩效目标任务完成情况予以核实。在全面综合了解项目实施开展情况、资金使用情况、相关制度执行情况基础上，总结</w:t>
      </w:r>
      <w:r>
        <w:rPr>
          <w:rFonts w:hint="eastAsia" w:ascii="仿宋" w:hAnsi="仿宋" w:eastAsia="仿宋" w:cs="仿宋"/>
          <w:color w:val="auto"/>
          <w:sz w:val="28"/>
          <w:szCs w:val="28"/>
          <w:lang w:val="en-US" w:eastAsia="zh-CN"/>
        </w:rPr>
        <w:t>县</w:t>
      </w:r>
      <w:r>
        <w:rPr>
          <w:rFonts w:hint="eastAsia" w:ascii="仿宋" w:hAnsi="仿宋" w:eastAsia="仿宋" w:cs="仿宋"/>
          <w:sz w:val="28"/>
          <w:szCs w:val="28"/>
          <w:lang w:val="en-US" w:eastAsia="zh-CN"/>
        </w:rPr>
        <w:t>级储备粮在承储工作中的主要成效和经验做法，发现过程中存在的问题，提出改进意见，为进一步强化财政资金管理，切实提高项目资金的使用效率和效益，完善政策和专项资金管理提供决策依据。</w:t>
      </w:r>
    </w:p>
    <w:p>
      <w:pPr>
        <w:pStyle w:val="4"/>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（二）评价指标体系</w:t>
      </w:r>
    </w:p>
    <w:p>
      <w:pPr>
        <w:pStyle w:val="6"/>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1.指标体系设定情况</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财政部《项目支出绩效评价管理办法》(财预[2020]10号)、《预算绩效评价共性指标体系框架》(财预[2013]53号)和陕西省《分行业分领域绩效指标和标准体系》(陕财办绩[2020]18号)等文件，结合粮食利费补贴资金安排和实施情况，设计形成了《粮食利费补贴绩效评价指标表》，一级指标设决策、过程、产出、效益和满意度5个指标，细化为10个二级指标、16个三级指标，总分值100分，具体情况如下:</w:t>
      </w:r>
    </w:p>
    <w:p>
      <w:pPr>
        <w:pStyle w:val="2"/>
        <w:ind w:left="0" w:leftChars="0" w:firstLine="0" w:firstLineChars="0"/>
        <w:jc w:val="center"/>
        <w:rPr>
          <w:rFonts w:hint="eastAsia" w:ascii="仿宋" w:hAnsi="仿宋" w:eastAsia="仿宋" w:cs="仿宋"/>
          <w:sz w:val="28"/>
          <w:szCs w:val="28"/>
          <w:highlight w:val="none"/>
          <w:u w:val="none"/>
          <w:lang w:val="en-US" w:eastAsia="zh-CN"/>
        </w:rPr>
        <w:sectPr>
          <w:footerReference r:id="rId5" w:type="default"/>
          <w:pgSz w:w="11906" w:h="16838"/>
          <w:pgMar w:top="1440" w:right="1800" w:bottom="1440" w:left="1800" w:header="851" w:footer="992" w:gutter="0"/>
          <w:cols w:space="425" w:num="1"/>
          <w:docGrid w:type="lines" w:linePitch="312" w:charSpace="0"/>
        </w:sectPr>
      </w:pPr>
    </w:p>
    <w:p>
      <w:pPr>
        <w:pStyle w:val="2"/>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highlight w:val="none"/>
          <w:u w:val="none"/>
          <w:lang w:val="en-US" w:eastAsia="zh-CN"/>
        </w:rPr>
        <w:t>表2 粮食利费补贴</w:t>
      </w:r>
      <w:r>
        <w:rPr>
          <w:rFonts w:hint="eastAsia" w:ascii="仿宋" w:hAnsi="仿宋" w:eastAsia="仿宋" w:cs="仿宋"/>
          <w:color w:val="auto"/>
          <w:kern w:val="2"/>
          <w:sz w:val="28"/>
          <w:szCs w:val="28"/>
          <w:highlight w:val="none"/>
          <w:u w:val="none"/>
          <w:lang w:val="en-US" w:eastAsia="zh-CN" w:bidi="ar-SA"/>
        </w:rPr>
        <w:t>指标体系表</w:t>
      </w:r>
    </w:p>
    <w:tbl>
      <w:tblPr>
        <w:tblStyle w:val="7"/>
        <w:tblW w:w="87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6"/>
        <w:gridCol w:w="2025"/>
        <w:gridCol w:w="2801"/>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一级指标</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二级指标</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三级指标</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restart"/>
            <w:tcBorders>
              <w:top w:val="single" w:color="000000" w:sz="4" w:space="0"/>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决策</w:t>
            </w:r>
          </w:p>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15</w:t>
            </w:r>
          </w:p>
        </w:tc>
        <w:tc>
          <w:tcPr>
            <w:tcW w:w="2025" w:type="dxa"/>
            <w:vMerge w:val="restart"/>
            <w:tcBorders>
              <w:top w:val="single" w:color="000000" w:sz="4" w:space="0"/>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项目立项</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立项依据充分性</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vMerge w:val="continue"/>
            <w:tcBorders>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80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立项程序规范性</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绩效目标</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绩效目标合理性</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ab/>
            </w:r>
            <w:r>
              <w:rPr>
                <w:rFonts w:hint="eastAsia" w:ascii="仿宋" w:hAnsi="仿宋" w:eastAsia="仿宋" w:cs="仿宋"/>
                <w:kern w:val="2"/>
                <w:sz w:val="24"/>
                <w:szCs w:val="24"/>
                <w:highlight w:val="none"/>
                <w:u w:val="none"/>
                <w:lang w:val="en-US" w:eastAsia="zh-CN" w:bidi="ar-SA"/>
              </w:rPr>
              <w:t>绩效指标明确性</w:t>
            </w:r>
            <w:r>
              <w:rPr>
                <w:rFonts w:hint="eastAsia" w:ascii="仿宋" w:hAnsi="仿宋" w:eastAsia="仿宋" w:cs="仿宋"/>
                <w:kern w:val="2"/>
                <w:sz w:val="24"/>
                <w:szCs w:val="24"/>
                <w:highlight w:val="none"/>
                <w:u w:val="none"/>
                <w:lang w:val="en-US" w:eastAsia="zh-CN" w:bidi="ar-SA"/>
              </w:rPr>
              <w:tab/>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资金投入</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预算编制科学性</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预算分配合理性</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restart"/>
            <w:tcBorders>
              <w:top w:val="single" w:color="000000" w:sz="4" w:space="0"/>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过程</w:t>
            </w:r>
          </w:p>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20</w:t>
            </w:r>
          </w:p>
        </w:tc>
        <w:tc>
          <w:tcPr>
            <w:tcW w:w="2025"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资金管理</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资金到位率</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vMerge w:val="continue"/>
            <w:tcBorders>
              <w:left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p>
        </w:tc>
        <w:tc>
          <w:tcPr>
            <w:tcW w:w="280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预算执行率</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p>
        </w:tc>
        <w:tc>
          <w:tcPr>
            <w:tcW w:w="280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资金使用合规性</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组织实施</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管理制度健全性</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bottom w:val="single" w:color="auto"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vMerge w:val="continue"/>
            <w:tcBorders>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p>
        </w:tc>
        <w:tc>
          <w:tcPr>
            <w:tcW w:w="280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ab/>
            </w:r>
            <w:r>
              <w:rPr>
                <w:rFonts w:hint="eastAsia" w:ascii="仿宋" w:hAnsi="仿宋" w:eastAsia="仿宋" w:cs="仿宋"/>
                <w:kern w:val="2"/>
                <w:sz w:val="24"/>
                <w:szCs w:val="24"/>
                <w:highlight w:val="none"/>
                <w:u w:val="none"/>
                <w:lang w:val="en-US" w:eastAsia="zh-CN" w:bidi="ar-SA"/>
              </w:rPr>
              <w:t>制度执行有效性</w:t>
            </w:r>
            <w:r>
              <w:rPr>
                <w:rFonts w:hint="eastAsia" w:ascii="仿宋" w:hAnsi="仿宋" w:eastAsia="仿宋" w:cs="仿宋"/>
                <w:kern w:val="2"/>
                <w:sz w:val="24"/>
                <w:szCs w:val="24"/>
                <w:highlight w:val="none"/>
                <w:u w:val="none"/>
                <w:lang w:val="en-US" w:eastAsia="zh-CN" w:bidi="ar-SA"/>
              </w:rPr>
              <w:tab/>
            </w:r>
          </w:p>
        </w:tc>
        <w:tc>
          <w:tcPr>
            <w:tcW w:w="175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restart"/>
            <w:tcBorders>
              <w:top w:val="single" w:color="auto" w:sz="4" w:space="0"/>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产出</w:t>
            </w:r>
          </w:p>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20</w:t>
            </w:r>
          </w:p>
        </w:tc>
        <w:tc>
          <w:tcPr>
            <w:tcW w:w="202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产出质量</w:t>
            </w:r>
          </w:p>
        </w:tc>
        <w:tc>
          <w:tcPr>
            <w:tcW w:w="2801"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质量达标率</w:t>
            </w:r>
            <w:r>
              <w:rPr>
                <w:rFonts w:hint="eastAsia" w:ascii="仿宋" w:hAnsi="仿宋" w:eastAsia="仿宋" w:cs="仿宋"/>
                <w:kern w:val="2"/>
                <w:sz w:val="24"/>
                <w:szCs w:val="24"/>
                <w:highlight w:val="none"/>
                <w:u w:val="none"/>
                <w:lang w:val="en-US" w:eastAsia="zh-CN" w:bidi="ar-SA"/>
              </w:rPr>
              <w:tab/>
            </w:r>
          </w:p>
        </w:tc>
        <w:tc>
          <w:tcPr>
            <w:tcW w:w="1755" w:type="dxa"/>
            <w:tcBorders>
              <w:top w:val="single" w:color="auto"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产出时效</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完成及时性</w:t>
            </w:r>
            <w:r>
              <w:rPr>
                <w:rFonts w:hint="eastAsia" w:ascii="仿宋" w:hAnsi="仿宋" w:eastAsia="仿宋" w:cs="仿宋"/>
                <w:kern w:val="2"/>
                <w:sz w:val="24"/>
                <w:szCs w:val="24"/>
                <w:highlight w:val="none"/>
                <w:u w:val="none"/>
                <w:lang w:val="en-US" w:eastAsia="zh-CN" w:bidi="ar-SA"/>
              </w:rPr>
              <w:tab/>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产出成本</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粮油成本</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16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效益指标25</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社会效益</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 xml:space="preserve"> 保障县粮食供给安全充足</w:t>
            </w:r>
            <w:r>
              <w:rPr>
                <w:rFonts w:hint="eastAsia" w:ascii="仿宋" w:hAnsi="仿宋" w:eastAsia="仿宋" w:cs="仿宋"/>
                <w:kern w:val="2"/>
                <w:sz w:val="24"/>
                <w:szCs w:val="24"/>
                <w:highlight w:val="none"/>
                <w:u w:val="none"/>
                <w:lang w:val="en-US" w:eastAsia="zh-CN" w:bidi="ar-SA"/>
              </w:rPr>
              <w:tab/>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16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满意度20</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服务对象满意度</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服务对象认可程度</w:t>
            </w:r>
          </w:p>
        </w:tc>
        <w:tc>
          <w:tcPr>
            <w:tcW w:w="17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20</w:t>
            </w:r>
          </w:p>
        </w:tc>
      </w:tr>
    </w:tbl>
    <w:p>
      <w:pPr>
        <w:pStyle w:val="2"/>
        <w:rPr>
          <w:rFonts w:hint="eastAsia" w:ascii="仿宋" w:hAnsi="仿宋" w:eastAsia="仿宋" w:cs="仿宋"/>
          <w:sz w:val="28"/>
          <w:szCs w:val="28"/>
          <w:lang w:val="en-US" w:eastAsia="zh-CN"/>
        </w:rPr>
      </w:pPr>
    </w:p>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2.评价方法和标准</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根据财政部《项目支出绩效评价管理办法》(财预[2020]10号)等规定，结合本项目实际，本次绩效评价方法所采用因素分析法、公众、评判法等。</w:t>
      </w:r>
    </w:p>
    <w:p>
      <w:pPr>
        <w:pStyle w:val="4"/>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（三）绩效评价工作过程</w:t>
      </w:r>
    </w:p>
    <w:p>
      <w:pPr>
        <w:pStyle w:val="6"/>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1.前期准备</w:t>
      </w:r>
    </w:p>
    <w:p>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成立绩效评价组，收集政策文件、指标文件、项目资料等相关资料，根据绩效评价相关规定以及本项目实际，制定绩效评价指标体系。</w:t>
      </w:r>
    </w:p>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2.组织实施</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2023年9月26日</w:t>
      </w:r>
      <w:r>
        <w:rPr>
          <w:rFonts w:hint="eastAsia" w:ascii="仿宋" w:hAnsi="仿宋" w:eastAsia="仿宋" w:cs="仿宋"/>
          <w:color w:val="auto"/>
          <w:sz w:val="28"/>
          <w:szCs w:val="28"/>
          <w:lang w:val="en-US" w:eastAsia="zh-CN"/>
        </w:rPr>
        <w:t>-9月29日，评价组对项目评价单位进行实地调研，核实相关资料的真实性、合法性、合理</w:t>
      </w:r>
      <w:r>
        <w:rPr>
          <w:rFonts w:hint="eastAsia" w:ascii="仿宋" w:hAnsi="仿宋" w:eastAsia="仿宋" w:cs="仿宋"/>
          <w:sz w:val="28"/>
          <w:szCs w:val="28"/>
          <w:lang w:val="en-US" w:eastAsia="zh-CN"/>
        </w:rPr>
        <w:t>性，了解并收集项目相关背景资料、项目各类文件制度等决策管理资料、项目绩效目标设定及完成情况等资料，并对获取的信息进行研读分析。结合项目特点，形成项目评价的总体思路、项目指标体系和方案的初稿，力求对项目进行客观、公正的评价。</w:t>
      </w:r>
    </w:p>
    <w:p>
      <w:pPr>
        <w:pStyle w:val="4"/>
        <w:bidi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（四）评价的局限性</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评价重点在政策绩效评价。尽管评价工作小组在评价过程中力求规避取证及评价风险，但受电话询访的随机性、配合度以及评价工作小组政策素养、认知局限等主客观因素的影响，评价结论仍可能存在疏漏。</w:t>
      </w:r>
    </w:p>
    <w:p>
      <w:pPr>
        <w:pStyle w:val="3"/>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bookmarkStart w:id="3" w:name="_Toc6211"/>
      <w:r>
        <w:rPr>
          <w:rFonts w:hint="eastAsia" w:ascii="仿宋" w:hAnsi="仿宋" w:eastAsia="仿宋" w:cs="仿宋"/>
          <w:sz w:val="28"/>
          <w:szCs w:val="28"/>
          <w:lang w:val="en-US" w:eastAsia="zh-CN"/>
        </w:rPr>
        <w:t>三、综合评价情况及评价结论</w:t>
      </w:r>
      <w:bookmarkEnd w:id="3"/>
    </w:p>
    <w:p>
      <w:pPr>
        <w:pStyle w:val="4"/>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bookmarkStart w:id="4" w:name="_Toc20824"/>
      <w:bookmarkStart w:id="5" w:name="_Toc15927"/>
      <w:r>
        <w:rPr>
          <w:rFonts w:hint="eastAsia" w:ascii="仿宋" w:hAnsi="仿宋" w:eastAsia="仿宋" w:cs="仿宋"/>
          <w:b/>
          <w:bCs/>
          <w:sz w:val="28"/>
          <w:szCs w:val="28"/>
          <w:lang w:val="en-US" w:eastAsia="zh-CN"/>
        </w:rPr>
        <w:t>（一）评价情况</w:t>
      </w:r>
      <w:bookmarkEnd w:id="4"/>
      <w:bookmarkEnd w:id="5"/>
    </w:p>
    <w:p>
      <w:pPr>
        <w:bidi w:val="0"/>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评价小组依据评价指标体系及评分标准，通过对项目“决策、过程、产出、效益”绩效指标的现场评审和打分，对岐山县发展和改革局“粮食利费补贴”项目绩效进行客观评</w:t>
      </w:r>
      <w:r>
        <w:rPr>
          <w:rFonts w:hint="eastAsia" w:ascii="仿宋" w:hAnsi="仿宋" w:eastAsia="仿宋" w:cs="仿宋"/>
          <w:color w:val="auto"/>
          <w:sz w:val="28"/>
          <w:szCs w:val="28"/>
          <w:lang w:val="en-US" w:eastAsia="zh-CN"/>
        </w:rPr>
        <w:t>价。</w:t>
      </w:r>
    </w:p>
    <w:p>
      <w:pPr>
        <w:pStyle w:val="4"/>
        <w:bidi w:val="0"/>
        <w:rPr>
          <w:rFonts w:hint="eastAsia" w:ascii="仿宋" w:hAnsi="仿宋" w:eastAsia="仿宋" w:cs="仿宋"/>
          <w:b/>
          <w:bCs/>
          <w:color w:val="auto"/>
          <w:sz w:val="28"/>
          <w:szCs w:val="28"/>
          <w:lang w:val="en-US" w:eastAsia="zh-CN"/>
        </w:rPr>
      </w:pPr>
      <w:bookmarkStart w:id="6" w:name="_Toc20720"/>
      <w:bookmarkStart w:id="7" w:name="_Toc17187"/>
      <w:r>
        <w:rPr>
          <w:rFonts w:hint="eastAsia" w:ascii="仿宋" w:hAnsi="仿宋" w:eastAsia="仿宋" w:cs="仿宋"/>
          <w:b/>
          <w:bCs/>
          <w:color w:val="auto"/>
          <w:sz w:val="28"/>
          <w:szCs w:val="28"/>
          <w:lang w:val="en-US" w:eastAsia="zh-CN"/>
        </w:rPr>
        <w:t>（二）评价结论</w:t>
      </w:r>
      <w:bookmarkEnd w:id="6"/>
      <w:bookmarkEnd w:id="7"/>
    </w:p>
    <w:p>
      <w:pPr>
        <w:bidi w:val="0"/>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粮食利费补贴项目立项充分、立项程序规范、资金分配合理、管理制度健全、县级储备原粮数量按承储计划完成，储备粮食数量真实、质量良好和储备安全，地方粮食应急机制健全完善，满意度很好，得到了服务对象的认</w:t>
      </w:r>
      <w:r>
        <w:rPr>
          <w:rFonts w:hint="eastAsia" w:ascii="仿宋" w:hAnsi="仿宋" w:eastAsia="仿宋" w:cs="仿宋"/>
          <w:color w:val="auto"/>
          <w:sz w:val="28"/>
          <w:szCs w:val="28"/>
          <w:lang w:val="en-US" w:eastAsia="zh-CN"/>
        </w:rPr>
        <w:t>可，</w:t>
      </w:r>
      <w:r>
        <w:rPr>
          <w:rFonts w:hint="eastAsia" w:ascii="仿宋" w:hAnsi="仿宋" w:eastAsia="仿宋" w:cs="仿宋"/>
          <w:b w:val="0"/>
          <w:bCs w:val="0"/>
          <w:color w:val="auto"/>
          <w:sz w:val="28"/>
          <w:szCs w:val="28"/>
          <w:lang w:val="en-US" w:eastAsia="zh-CN"/>
        </w:rPr>
        <w:t>经评价组综合分析</w:t>
      </w:r>
      <w:r>
        <w:rPr>
          <w:rFonts w:hint="eastAsia" w:ascii="仿宋" w:hAnsi="仿宋" w:eastAsia="仿宋" w:cs="仿宋"/>
          <w:sz w:val="28"/>
          <w:szCs w:val="28"/>
          <w:lang w:val="en-US" w:eastAsia="zh-CN"/>
        </w:rPr>
        <w:t>粮食利费补贴</w:t>
      </w:r>
      <w:r>
        <w:rPr>
          <w:rFonts w:hint="eastAsia" w:ascii="仿宋" w:hAnsi="仿宋" w:eastAsia="仿宋" w:cs="仿宋"/>
          <w:b w:val="0"/>
          <w:bCs w:val="0"/>
          <w:color w:val="auto"/>
          <w:sz w:val="28"/>
          <w:szCs w:val="28"/>
          <w:lang w:val="en-US" w:eastAsia="zh-CN"/>
        </w:rPr>
        <w:t>绩效评价得分为95.18分，绩效等级为优秀。</w:t>
      </w:r>
    </w:p>
    <w:p>
      <w:pPr>
        <w:pStyle w:val="3"/>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bookmarkStart w:id="8" w:name="_Toc13391"/>
      <w:bookmarkStart w:id="9" w:name="_Toc15777"/>
      <w:bookmarkStart w:id="10" w:name="_Toc12807"/>
      <w:r>
        <w:rPr>
          <w:rFonts w:hint="eastAsia" w:ascii="仿宋" w:hAnsi="仿宋" w:eastAsia="仿宋" w:cs="仿宋"/>
          <w:sz w:val="28"/>
          <w:szCs w:val="28"/>
          <w:lang w:val="en-US" w:eastAsia="zh-CN"/>
        </w:rPr>
        <w:t>四、绩效评价指标分析</w:t>
      </w:r>
      <w:bookmarkEnd w:id="8"/>
      <w:bookmarkEnd w:id="9"/>
      <w:bookmarkEnd w:id="10"/>
    </w:p>
    <w:p>
      <w:pPr>
        <w:pStyle w:val="4"/>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（一）决策</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本项目决策指标设置分值15分，得分14.5分，得分率96.67%。</w:t>
      </w:r>
    </w:p>
    <w:p>
      <w:pPr>
        <w:pStyle w:val="2"/>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表三  项目决策指标得分表</w:t>
      </w:r>
    </w:p>
    <w:tbl>
      <w:tblPr>
        <w:tblStyle w:val="7"/>
        <w:tblW w:w="9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6"/>
        <w:gridCol w:w="2025"/>
        <w:gridCol w:w="2801"/>
        <w:gridCol w:w="1018"/>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6" w:type="dxa"/>
            <w:tcBorders>
              <w:top w:val="single" w:color="000000" w:sz="4" w:space="0"/>
              <w:left w:val="single" w:color="000000" w:sz="4" w:space="0"/>
              <w:bottom w:val="single" w:color="auto"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一级指标</w:t>
            </w:r>
          </w:p>
        </w:tc>
        <w:tc>
          <w:tcPr>
            <w:tcW w:w="2025" w:type="dxa"/>
            <w:tcBorders>
              <w:top w:val="single" w:color="000000" w:sz="4" w:space="0"/>
              <w:left w:val="single" w:color="000000" w:sz="4" w:space="0"/>
              <w:bottom w:val="single" w:color="auto"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二级指标</w:t>
            </w:r>
          </w:p>
        </w:tc>
        <w:tc>
          <w:tcPr>
            <w:tcW w:w="2801" w:type="dxa"/>
            <w:tcBorders>
              <w:top w:val="single" w:color="000000" w:sz="4" w:space="0"/>
              <w:left w:val="single" w:color="000000" w:sz="4" w:space="0"/>
              <w:bottom w:val="single" w:color="auto"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三级指标</w:t>
            </w:r>
          </w:p>
        </w:tc>
        <w:tc>
          <w:tcPr>
            <w:tcW w:w="1018" w:type="dxa"/>
            <w:tcBorders>
              <w:top w:val="single" w:color="000000" w:sz="4" w:space="0"/>
              <w:left w:val="single" w:color="000000" w:sz="4" w:space="0"/>
              <w:bottom w:val="single" w:color="auto"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分值</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restart"/>
            <w:tcBorders>
              <w:top w:val="single" w:color="auto" w:sz="4" w:space="0"/>
              <w:left w:val="single" w:color="auto"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决策</w:t>
            </w:r>
          </w:p>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sz w:val="24"/>
                <w:szCs w:val="24"/>
                <w:highlight w:val="none"/>
                <w:u w:val="none"/>
                <w:lang w:val="en-US" w:eastAsia="zh-CN"/>
              </w:rPr>
              <w:t>15</w:t>
            </w:r>
          </w:p>
        </w:tc>
        <w:tc>
          <w:tcPr>
            <w:tcW w:w="2025" w:type="dxa"/>
            <w:vMerge w:val="restart"/>
            <w:tcBorders>
              <w:top w:val="single" w:color="auto" w:sz="4" w:space="0"/>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项目立项</w:t>
            </w:r>
          </w:p>
        </w:tc>
        <w:tc>
          <w:tcPr>
            <w:tcW w:w="2801" w:type="dxa"/>
            <w:tcBorders>
              <w:top w:val="single" w:color="auto"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立项依据充分性</w:t>
            </w:r>
          </w:p>
        </w:tc>
        <w:tc>
          <w:tcPr>
            <w:tcW w:w="1018" w:type="dxa"/>
            <w:tcBorders>
              <w:top w:val="single" w:color="auto" w:sz="4" w:space="0"/>
              <w:left w:val="single" w:color="000000" w:sz="4" w:space="0"/>
              <w:bottom w:val="single" w:color="000000" w:sz="4" w:space="0"/>
              <w:right w:val="single" w:color="auto"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5.5</w:t>
            </w:r>
          </w:p>
        </w:tc>
        <w:tc>
          <w:tcPr>
            <w:tcW w:w="1018" w:type="dxa"/>
            <w:tcBorders>
              <w:top w:val="single" w:color="000000" w:sz="4" w:space="0"/>
              <w:left w:val="single" w:color="auto"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auto"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025" w:type="dxa"/>
            <w:vMerge w:val="continue"/>
            <w:tcBorders>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p>
        </w:tc>
        <w:tc>
          <w:tcPr>
            <w:tcW w:w="280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立项程序规范性</w:t>
            </w:r>
          </w:p>
        </w:tc>
        <w:tc>
          <w:tcPr>
            <w:tcW w:w="1018" w:type="dxa"/>
            <w:tcBorders>
              <w:top w:val="single" w:color="000000" w:sz="4" w:space="0"/>
              <w:left w:val="single" w:color="000000" w:sz="4" w:space="0"/>
              <w:bottom w:val="single" w:color="000000" w:sz="4" w:space="0"/>
              <w:right w:val="single" w:color="auto"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1.5</w:t>
            </w:r>
          </w:p>
        </w:tc>
        <w:tc>
          <w:tcPr>
            <w:tcW w:w="1018" w:type="dxa"/>
            <w:tcBorders>
              <w:top w:val="single" w:color="000000" w:sz="4" w:space="0"/>
              <w:left w:val="single" w:color="auto"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auto"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p>
        </w:tc>
        <w:tc>
          <w:tcPr>
            <w:tcW w:w="2025"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绩效目标</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绩效目标合理性</w:t>
            </w:r>
          </w:p>
        </w:tc>
        <w:tc>
          <w:tcPr>
            <w:tcW w:w="101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c>
          <w:tcPr>
            <w:tcW w:w="1018"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auto"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p>
        </w:tc>
        <w:tc>
          <w:tcPr>
            <w:tcW w:w="2025"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ab/>
            </w:r>
            <w:r>
              <w:rPr>
                <w:rFonts w:hint="eastAsia" w:ascii="仿宋" w:hAnsi="仿宋" w:eastAsia="仿宋" w:cs="仿宋"/>
                <w:kern w:val="2"/>
                <w:sz w:val="24"/>
                <w:szCs w:val="24"/>
                <w:highlight w:val="none"/>
                <w:u w:val="none"/>
                <w:lang w:val="en-US" w:eastAsia="zh-CN" w:bidi="ar-SA"/>
              </w:rPr>
              <w:t>绩效指标明确性</w:t>
            </w:r>
            <w:r>
              <w:rPr>
                <w:rFonts w:hint="eastAsia" w:ascii="仿宋" w:hAnsi="仿宋" w:eastAsia="仿宋" w:cs="仿宋"/>
                <w:kern w:val="2"/>
                <w:sz w:val="24"/>
                <w:szCs w:val="24"/>
                <w:highlight w:val="none"/>
                <w:u w:val="none"/>
                <w:lang w:val="en-US" w:eastAsia="zh-CN" w:bidi="ar-SA"/>
              </w:rPr>
              <w:tab/>
            </w:r>
          </w:p>
        </w:tc>
        <w:tc>
          <w:tcPr>
            <w:tcW w:w="101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3</w:t>
            </w:r>
          </w:p>
        </w:tc>
        <w:tc>
          <w:tcPr>
            <w:tcW w:w="1018"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auto"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p>
        </w:tc>
        <w:tc>
          <w:tcPr>
            <w:tcW w:w="2025"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资金投入</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预算编制科学性</w:t>
            </w:r>
          </w:p>
        </w:tc>
        <w:tc>
          <w:tcPr>
            <w:tcW w:w="101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c>
          <w:tcPr>
            <w:tcW w:w="1018"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auto" w:sz="4" w:space="0"/>
              <w:bottom w:val="single" w:color="auto"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p>
        </w:tc>
        <w:tc>
          <w:tcPr>
            <w:tcW w:w="2025" w:type="dxa"/>
            <w:vMerge w:val="continue"/>
            <w:tcBorders>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p>
        </w:tc>
        <w:tc>
          <w:tcPr>
            <w:tcW w:w="280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预算分配合理性</w:t>
            </w:r>
          </w:p>
        </w:tc>
        <w:tc>
          <w:tcPr>
            <w:tcW w:w="1018" w:type="dxa"/>
            <w:tcBorders>
              <w:top w:val="single" w:color="000000" w:sz="4" w:space="0"/>
              <w:left w:val="single" w:color="000000" w:sz="4" w:space="0"/>
              <w:bottom w:val="single" w:color="auto" w:sz="4" w:space="0"/>
              <w:right w:val="single" w:color="auto"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w:t>
            </w:r>
          </w:p>
        </w:tc>
        <w:tc>
          <w:tcPr>
            <w:tcW w:w="1018"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92" w:type="dxa"/>
            <w:gridSpan w:val="3"/>
            <w:tcBorders>
              <w:top w:val="single" w:color="auto" w:sz="4" w:space="0"/>
              <w:left w:val="single" w:color="auto" w:sz="4" w:space="0"/>
              <w:bottom w:val="single" w:color="auto" w:sz="4" w:space="0"/>
              <w:right w:val="single" w:color="000000" w:sz="4" w:space="0"/>
            </w:tcBorders>
            <w:noWrap/>
            <w:vAlign w:val="center"/>
          </w:tcPr>
          <w:p>
            <w:pPr>
              <w:ind w:firstLine="480" w:firstLineChars="200"/>
              <w:jc w:val="center"/>
              <w:rPr>
                <w:rFonts w:hint="eastAsia" w:ascii="仿宋" w:hAnsi="仿宋" w:eastAsia="仿宋" w:cs="仿宋"/>
                <w:b w:val="0"/>
                <w:bCs w:val="0"/>
                <w:color w:val="auto"/>
                <w:kern w:val="2"/>
                <w:sz w:val="24"/>
                <w:szCs w:val="24"/>
                <w:vertAlign w:val="baseline"/>
                <w:lang w:val="en-US" w:eastAsia="zh-CN" w:bidi="ar-SA"/>
              </w:rPr>
            </w:pPr>
            <w:r>
              <w:rPr>
                <w:rFonts w:hint="eastAsia" w:ascii="仿宋" w:hAnsi="仿宋" w:eastAsia="仿宋" w:cs="仿宋"/>
                <w:b w:val="0"/>
                <w:bCs w:val="0"/>
                <w:color w:val="auto"/>
                <w:sz w:val="24"/>
                <w:szCs w:val="24"/>
                <w:vertAlign w:val="baseline"/>
                <w:lang w:val="en-US" w:eastAsia="zh-CN"/>
              </w:rPr>
              <w:t>合计</w:t>
            </w:r>
          </w:p>
        </w:tc>
        <w:tc>
          <w:tcPr>
            <w:tcW w:w="1018"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15</w:t>
            </w:r>
          </w:p>
        </w:tc>
        <w:tc>
          <w:tcPr>
            <w:tcW w:w="1018"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14.5</w:t>
            </w:r>
          </w:p>
        </w:tc>
      </w:tr>
    </w:tbl>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1.项目立项依据充分性。</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立项依据文件主要包括：岐政发〔2023〕3号岐规〔2023〕001号－县政府001，符合《中央储备粮管理条例》、《中央储备粮油财政管理暂行办法》、《粮油仓储管理办法》、《陕西省省级储备粮管理办法》等法规政策要求；项目立项与发改局（粮食物资储备局）的部门职责范围“提出储备粮的规模建议，监督检查粮食和物资储备数量、质量和储存安全承担粮食安全目标责任制考核的具体工作”相符；项目立项依据充分。</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该指标满分5.50分，根据评分标准得5.50分。</w:t>
      </w:r>
    </w:p>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2.立项程序的规范性。</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本项目按照规定的程序申请设立专项资金，审批文件、材料符合相关要求，并已进行必要立项程序规范。</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该指标满分1.50分，根据评分标准得1.50分。</w:t>
      </w:r>
    </w:p>
    <w:p>
      <w:pPr>
        <w:pStyle w:val="6"/>
        <w:bidi w:val="0"/>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kern w:val="2"/>
          <w:sz w:val="28"/>
          <w:szCs w:val="28"/>
          <w:lang w:val="en-US" w:eastAsia="zh-CN" w:bidi="ar-SA"/>
        </w:rPr>
        <w:t>3.绩效目标合理性</w:t>
      </w:r>
      <w:r>
        <w:rPr>
          <w:rFonts w:hint="eastAsia" w:ascii="仿宋" w:hAnsi="仿宋" w:eastAsia="仿宋" w:cs="仿宋"/>
          <w:b w:val="0"/>
          <w:bCs w:val="0"/>
          <w:sz w:val="28"/>
          <w:szCs w:val="28"/>
          <w:highlight w:val="none"/>
          <w:lang w:val="en-US" w:eastAsia="zh-CN"/>
        </w:rPr>
        <w:t>。</w:t>
      </w:r>
    </w:p>
    <w:p>
      <w:pPr>
        <w:bidi w:val="0"/>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本项目设有绩效目标，绩效</w:t>
      </w:r>
      <w:r>
        <w:rPr>
          <w:rFonts w:hint="eastAsia" w:ascii="仿宋" w:hAnsi="仿宋" w:eastAsia="仿宋" w:cs="仿宋"/>
          <w:sz w:val="28"/>
          <w:szCs w:val="28"/>
          <w:lang w:val="en-US" w:eastAsia="zh-CN"/>
        </w:rPr>
        <w:t>目标与实际工作内容具有相关性，预期产出效益和效果符合正常的运营水平，与预算确定的项目投资额或资金量相匹配，但绩效目标过于笼统，未将绩效目标进行细化分解，未结合项目实际情况制定清晰化、可量化的绩效目标。</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该指标满分2.00分，根据评分标准得1.5分。</w:t>
      </w:r>
    </w:p>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4.绩效目标明确性。</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本项目已建立了较为清晰的绩效目标，目标准确、合理。</w:t>
      </w:r>
    </w:p>
    <w:p>
      <w:pPr>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该指标满分3.00分，根据评分标准得3.00分。</w:t>
      </w:r>
    </w:p>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5.预算编制科学性</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预算的编制科学性分为相关性和严谨性两方面。单位应按照往年的资金发生规律和项目特点，安排2022年资金预算并执行，预算编制整体应与项目的目标和任务相符合，申报、审批程序合规。</w:t>
      </w:r>
    </w:p>
    <w:p>
      <w:pPr>
        <w:bidi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lang w:val="en-US" w:eastAsia="zh-CN"/>
        </w:rPr>
        <w:t>该指标满分2.00分，根据评分标准得2.00分。</w:t>
      </w:r>
    </w:p>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6.预算资金分配合理性的合理性。</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据岐财办预〔2022〕1号、各承储企业测算相关的文件和测算表完备，补贴资金计算依据合理。</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该指标满分1.00分，根据评分标准得1.00分。</w:t>
      </w:r>
    </w:p>
    <w:p>
      <w:pPr>
        <w:pStyle w:val="4"/>
        <w:bidi w:val="0"/>
        <w:rPr>
          <w:rFonts w:hint="eastAsia" w:ascii="仿宋" w:hAnsi="仿宋" w:eastAsia="仿宋" w:cs="仿宋"/>
          <w:b/>
          <w:bCs/>
          <w:sz w:val="28"/>
          <w:szCs w:val="28"/>
          <w:lang w:val="en-US" w:eastAsia="zh-CN"/>
        </w:rPr>
      </w:pPr>
      <w:bookmarkStart w:id="11" w:name="_Toc26925"/>
      <w:bookmarkStart w:id="12" w:name="_Toc24371"/>
      <w:r>
        <w:rPr>
          <w:rFonts w:hint="eastAsia" w:ascii="仿宋" w:hAnsi="仿宋" w:eastAsia="仿宋" w:cs="仿宋"/>
          <w:b/>
          <w:bCs/>
          <w:sz w:val="28"/>
          <w:szCs w:val="28"/>
          <w:lang w:val="en-US" w:eastAsia="zh-CN"/>
        </w:rPr>
        <w:t>（二）过程</w:t>
      </w:r>
      <w:bookmarkEnd w:id="11"/>
      <w:bookmarkEnd w:id="12"/>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本项目决策指标设置分值20分，得分17.68分，得分率88.4%。</w:t>
      </w:r>
    </w:p>
    <w:p>
      <w:pPr>
        <w:pStyle w:val="2"/>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表四  项目过程指标得分表</w:t>
      </w:r>
    </w:p>
    <w:tbl>
      <w:tblPr>
        <w:tblStyle w:val="7"/>
        <w:tblW w:w="8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6"/>
        <w:gridCol w:w="2025"/>
        <w:gridCol w:w="2801"/>
        <w:gridCol w:w="918"/>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一级指标</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二级指标</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三级指标</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分值</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restart"/>
            <w:tcBorders>
              <w:top w:val="single" w:color="000000" w:sz="4" w:space="0"/>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过程</w:t>
            </w:r>
          </w:p>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sz w:val="24"/>
                <w:szCs w:val="24"/>
                <w:highlight w:val="none"/>
                <w:u w:val="none"/>
                <w:lang w:val="en-US" w:eastAsia="zh-CN"/>
              </w:rPr>
              <w:t>20</w:t>
            </w:r>
          </w:p>
        </w:tc>
        <w:tc>
          <w:tcPr>
            <w:tcW w:w="2025"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资金管理</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资金到位率</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5</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p>
        </w:tc>
        <w:tc>
          <w:tcPr>
            <w:tcW w:w="2025" w:type="dxa"/>
            <w:vMerge w:val="continue"/>
            <w:tcBorders>
              <w:left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p>
        </w:tc>
        <w:tc>
          <w:tcPr>
            <w:tcW w:w="280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预算执行率</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5</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p>
        </w:tc>
        <w:tc>
          <w:tcPr>
            <w:tcW w:w="2025"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p>
        </w:tc>
        <w:tc>
          <w:tcPr>
            <w:tcW w:w="280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资金使用合规性</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6</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p>
        </w:tc>
        <w:tc>
          <w:tcPr>
            <w:tcW w:w="2025"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组织实施</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管理制度健全性</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bottom w:val="single" w:color="auto"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p>
        </w:tc>
        <w:tc>
          <w:tcPr>
            <w:tcW w:w="2025" w:type="dxa"/>
            <w:vMerge w:val="continue"/>
            <w:tcBorders>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p>
        </w:tc>
        <w:tc>
          <w:tcPr>
            <w:tcW w:w="280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ab/>
            </w:r>
            <w:r>
              <w:rPr>
                <w:rFonts w:hint="eastAsia" w:ascii="仿宋" w:hAnsi="仿宋" w:eastAsia="仿宋" w:cs="仿宋"/>
                <w:kern w:val="2"/>
                <w:sz w:val="24"/>
                <w:szCs w:val="24"/>
                <w:highlight w:val="none"/>
                <w:u w:val="none"/>
                <w:lang w:val="en-US" w:eastAsia="zh-CN" w:bidi="ar-SA"/>
              </w:rPr>
              <w:t>制度执行有效性</w:t>
            </w:r>
            <w:r>
              <w:rPr>
                <w:rFonts w:hint="eastAsia" w:ascii="仿宋" w:hAnsi="仿宋" w:eastAsia="仿宋" w:cs="仿宋"/>
                <w:kern w:val="2"/>
                <w:sz w:val="24"/>
                <w:szCs w:val="24"/>
                <w:highlight w:val="none"/>
                <w:u w:val="none"/>
                <w:lang w:val="en-US" w:eastAsia="zh-CN" w:bidi="ar-SA"/>
              </w:rPr>
              <w:tab/>
            </w:r>
          </w:p>
        </w:tc>
        <w:tc>
          <w:tcPr>
            <w:tcW w:w="9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9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合计</w:t>
            </w:r>
          </w:p>
        </w:tc>
        <w:tc>
          <w:tcPr>
            <w:tcW w:w="918"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20</w:t>
            </w:r>
          </w:p>
        </w:tc>
        <w:tc>
          <w:tcPr>
            <w:tcW w:w="9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17.68</w:t>
            </w:r>
          </w:p>
        </w:tc>
      </w:tr>
    </w:tbl>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1.资金到位率。</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2022年粮食利费补贴300万元，实际到位县级资金300万元，资金到位率=（300/300)*100%=100%，资金到位率为100%。</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该指标满分5.00分，根据评分标准得5.00分。</w:t>
      </w:r>
    </w:p>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2.预算执行率。</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根据岐山县财政局关于拨付2022年一季度至第四季度县级储备粮食利费补贴资金的通知相关文件,实际支出资金为244.265554万元，实际到位资金为300万元，结余资金55.734446 万元，并收回。</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预算执行率=(244.265554/300)*100%=81.42%，预算执行率为81.42%。</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该指标满分5.00分，根据评分标准得2.68分。</w:t>
      </w:r>
    </w:p>
    <w:p>
      <w:pPr>
        <w:pStyle w:val="6"/>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3.资金使用合规性。</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储备粮油补贴资金的使用符合各相关部门内部财务管理制度的规定；补贴资金的拨付有完整的审批程序和手续；储备粮油补贴用途进行了细化。</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该指标满分5.00分，根据评分标准得5.00分。</w:t>
      </w:r>
    </w:p>
    <w:p>
      <w:pPr>
        <w:pStyle w:val="6"/>
        <w:bidi w:val="0"/>
        <w:rPr>
          <w:rFonts w:hint="eastAsia" w:ascii="仿宋" w:hAnsi="仿宋" w:eastAsia="仿宋" w:cs="仿宋"/>
          <w:sz w:val="28"/>
          <w:szCs w:val="28"/>
          <w:lang w:val="en-US" w:eastAsia="zh-CN"/>
        </w:rPr>
      </w:pPr>
      <w:bookmarkStart w:id="13" w:name="_Toc19281"/>
      <w:r>
        <w:rPr>
          <w:rFonts w:hint="eastAsia" w:ascii="仿宋" w:hAnsi="仿宋" w:eastAsia="仿宋" w:cs="仿宋"/>
          <w:sz w:val="28"/>
          <w:szCs w:val="28"/>
          <w:lang w:val="en-US" w:eastAsia="zh-CN"/>
        </w:rPr>
        <w:t>4.组织实施。</w:t>
      </w:r>
      <w:bookmarkEnd w:id="13"/>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（1）管理制度的健全性。</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相关主管部门已制定了相应的储备粮管理和轮换制度，且制度合法、合规；承储单位已制定粮油质量安全管理制度、仓储管理制度及出入库台账，承储单位已具有相应的财务和储备粮管理制度，且制度合法、合规。</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该指标满分2.00分，根据评分标准得2.00分。</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（2）制度执行有效性。</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项目资金使用符合国家财经法规和财务管理制度以及有关专项资金管理办法的规定，拨付有完整的审批程序和手续，且符合项目预算批复的用途，未发现截留、挤占、挪用、虚列支出现象。</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该指标满分2.00分，根据评分标准得2.00分。</w:t>
      </w:r>
    </w:p>
    <w:p>
      <w:pPr>
        <w:pStyle w:val="4"/>
        <w:bidi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（三）产出</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本项目决策指标设置分值20分，得分20分，得分率100%。</w:t>
      </w:r>
    </w:p>
    <w:p>
      <w:pPr>
        <w:pStyle w:val="2"/>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表五  项目产出指标得分表</w:t>
      </w:r>
    </w:p>
    <w:tbl>
      <w:tblPr>
        <w:tblStyle w:val="7"/>
        <w:tblW w:w="86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6"/>
        <w:gridCol w:w="2025"/>
        <w:gridCol w:w="2801"/>
        <w:gridCol w:w="851"/>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一级指标</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二级指标</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三级指标</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分值</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restart"/>
            <w:tcBorders>
              <w:top w:val="single" w:color="000000" w:sz="4" w:space="0"/>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产出</w:t>
            </w:r>
          </w:p>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sz w:val="24"/>
                <w:szCs w:val="24"/>
                <w:highlight w:val="none"/>
                <w:u w:val="none"/>
                <w:lang w:val="en-US" w:eastAsia="zh-CN"/>
              </w:rPr>
              <w:t>20</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产出质量</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质量达标率</w:t>
            </w:r>
            <w:r>
              <w:rPr>
                <w:rFonts w:hint="eastAsia" w:ascii="仿宋" w:hAnsi="仿宋" w:eastAsia="仿宋" w:cs="仿宋"/>
                <w:kern w:val="2"/>
                <w:sz w:val="24"/>
                <w:szCs w:val="24"/>
                <w:highlight w:val="none"/>
                <w:u w:val="none"/>
                <w:lang w:val="en-US" w:eastAsia="zh-CN" w:bidi="ar-SA"/>
              </w:rPr>
              <w:tab/>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166" w:type="dxa"/>
            <w:vMerge w:val="continue"/>
            <w:tcBorders>
              <w:left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产出时效</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完成及时性</w:t>
            </w:r>
            <w:r>
              <w:rPr>
                <w:rFonts w:hint="eastAsia" w:ascii="仿宋" w:hAnsi="仿宋" w:eastAsia="仿宋" w:cs="仿宋"/>
                <w:kern w:val="2"/>
                <w:sz w:val="24"/>
                <w:szCs w:val="24"/>
                <w:highlight w:val="none"/>
                <w:u w:val="none"/>
                <w:lang w:val="en-US" w:eastAsia="zh-CN" w:bidi="ar-SA"/>
              </w:rPr>
              <w:tab/>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66" w:type="dxa"/>
            <w:vMerge w:val="continue"/>
            <w:tcBorders>
              <w:left w:val="single" w:color="000000" w:sz="4" w:space="0"/>
              <w:bottom w:val="single" w:color="auto"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p>
        </w:tc>
        <w:tc>
          <w:tcPr>
            <w:tcW w:w="202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产出成本</w:t>
            </w:r>
          </w:p>
        </w:tc>
        <w:tc>
          <w:tcPr>
            <w:tcW w:w="2801"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粮油成本</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92"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合计</w:t>
            </w:r>
          </w:p>
        </w:tc>
        <w:tc>
          <w:tcPr>
            <w:tcW w:w="851"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20</w:t>
            </w:r>
          </w:p>
        </w:tc>
      </w:tr>
    </w:tbl>
    <w:p>
      <w:pPr>
        <w:pStyle w:val="2"/>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auto"/>
          <w:kern w:val="2"/>
          <w:sz w:val="28"/>
          <w:szCs w:val="28"/>
          <w:highlight w:val="yellow"/>
          <w:lang w:val="en-US" w:eastAsia="zh-CN" w:bidi="ar-SA"/>
        </w:rPr>
      </w:pPr>
    </w:p>
    <w:p>
      <w:pPr>
        <w:pStyle w:val="6"/>
        <w:bidi w:val="0"/>
        <w:rPr>
          <w:rFonts w:hint="eastAsia" w:ascii="仿宋" w:hAnsi="仿宋" w:eastAsia="仿宋" w:cs="仿宋"/>
          <w:sz w:val="28"/>
          <w:szCs w:val="28"/>
          <w:lang w:val="en-US" w:eastAsia="zh-CN"/>
        </w:rPr>
      </w:pPr>
      <w:bookmarkStart w:id="14" w:name="_Toc31833"/>
      <w:r>
        <w:rPr>
          <w:rFonts w:hint="eastAsia" w:ascii="仿宋" w:hAnsi="仿宋" w:eastAsia="仿宋" w:cs="仿宋"/>
          <w:sz w:val="28"/>
          <w:szCs w:val="28"/>
          <w:lang w:val="en-US" w:eastAsia="zh-CN"/>
        </w:rPr>
        <w:t>1.产出质量。</w:t>
      </w:r>
      <w:bookmarkEnd w:id="14"/>
    </w:p>
    <w:p>
      <w:pPr>
        <w:pStyle w:val="2"/>
        <w:pageBreakBefore w:val="0"/>
        <w:numPr>
          <w:ilvl w:val="0"/>
          <w:numId w:val="0"/>
        </w:numPr>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（1）质量达标率。</w:t>
      </w:r>
    </w:p>
    <w:p>
      <w:pPr>
        <w:pStyle w:val="2"/>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小麦为国家三级以上标准，食用油为四级菜籽油，面粉为特一级，均达标。</w:t>
      </w:r>
    </w:p>
    <w:p>
      <w:p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该指标满分10.00分，根据评分标准得10.00分。</w:t>
      </w:r>
    </w:p>
    <w:p>
      <w:pPr>
        <w:pStyle w:val="6"/>
        <w:bidi w:val="0"/>
        <w:rPr>
          <w:rFonts w:hint="eastAsia" w:ascii="仿宋" w:hAnsi="仿宋" w:eastAsia="仿宋" w:cs="仿宋"/>
          <w:sz w:val="28"/>
          <w:szCs w:val="28"/>
          <w:lang w:val="en-US" w:eastAsia="zh-CN"/>
        </w:rPr>
      </w:pPr>
      <w:bookmarkStart w:id="15" w:name="_Toc3018"/>
      <w:r>
        <w:rPr>
          <w:rFonts w:hint="eastAsia" w:ascii="仿宋" w:hAnsi="仿宋" w:eastAsia="仿宋" w:cs="仿宋"/>
          <w:sz w:val="28"/>
          <w:szCs w:val="28"/>
          <w:lang w:val="en-US" w:eastAsia="zh-CN"/>
        </w:rPr>
        <w:t>2.产出时效。</w:t>
      </w:r>
      <w:bookmarkEnd w:id="15"/>
    </w:p>
    <w:p>
      <w:pPr>
        <w:pStyle w:val="2"/>
        <w:pageBreakBefore w:val="0"/>
        <w:numPr>
          <w:ilvl w:val="0"/>
          <w:numId w:val="0"/>
        </w:numPr>
        <w:kinsoku/>
        <w:wordWrap/>
        <w:overflowPunct/>
        <w:topLinePunct w:val="0"/>
        <w:autoSpaceDE/>
        <w:autoSpaceDN/>
        <w:bidi w:val="0"/>
        <w:adjustRightInd/>
        <w:snapToGrid/>
        <w:spacing w:line="560" w:lineRule="exact"/>
        <w:ind w:firstLine="280" w:firstLineChars="1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（1）完成及时率。</w:t>
      </w:r>
    </w:p>
    <w:p>
      <w:pPr>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按照《岐山县县级储备粮管理办法》第四章“轮换”县级成品储备粮的轮换实行动态管理。承储企业应当在轮换计划规定的时间内完成县级储备粮的轮换，各承储单位在365天内达到县级储备粮的轮换。</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该指标满分6.00分，根据评分标准得6.00分。</w:t>
      </w:r>
    </w:p>
    <w:p>
      <w:pPr>
        <w:pStyle w:val="6"/>
        <w:bidi w:val="0"/>
        <w:rPr>
          <w:rFonts w:hint="eastAsia" w:ascii="仿宋" w:hAnsi="仿宋" w:eastAsia="仿宋" w:cs="仿宋"/>
          <w:sz w:val="28"/>
          <w:szCs w:val="28"/>
          <w:lang w:val="en-US" w:eastAsia="zh-CN"/>
        </w:rPr>
      </w:pPr>
      <w:bookmarkStart w:id="16" w:name="_Toc13695"/>
      <w:r>
        <w:rPr>
          <w:rFonts w:hint="eastAsia" w:ascii="仿宋" w:hAnsi="仿宋" w:eastAsia="仿宋" w:cs="仿宋"/>
          <w:sz w:val="28"/>
          <w:szCs w:val="28"/>
          <w:lang w:val="en-US" w:eastAsia="zh-CN"/>
        </w:rPr>
        <w:t>3.产出成本。</w:t>
      </w:r>
      <w:bookmarkEnd w:id="16"/>
    </w:p>
    <w:p>
      <w:pPr>
        <w:pStyle w:val="2"/>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（1）粮油成本。</w:t>
      </w:r>
    </w:p>
    <w:p>
      <w:pPr>
        <w:pStyle w:val="2"/>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按照入库成本核算，核算金额真实、有据可寻。</w:t>
      </w:r>
    </w:p>
    <w:p>
      <w:pPr>
        <w:pStyle w:val="2"/>
        <w:rPr>
          <w:rFonts w:hint="eastAsia" w:ascii="仿宋" w:hAnsi="仿宋" w:eastAsia="仿宋" w:cs="仿宋"/>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该指标满分4.00分，根据评分标准得4.00分。</w:t>
      </w:r>
    </w:p>
    <w:p>
      <w:pPr>
        <w:pStyle w:val="4"/>
        <w:bidi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（四）效益</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本项目决策指标设置分值25分，得分25分，得分率100%。</w:t>
      </w:r>
    </w:p>
    <w:p>
      <w:pPr>
        <w:pStyle w:val="2"/>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表六  项目效益指标得分表</w:t>
      </w:r>
    </w:p>
    <w:tbl>
      <w:tblPr>
        <w:tblStyle w:val="7"/>
        <w:tblW w:w="88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6"/>
        <w:gridCol w:w="2025"/>
        <w:gridCol w:w="2801"/>
        <w:gridCol w:w="951"/>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一级指标</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二级指标</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三级指标</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分值</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16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sz w:val="24"/>
                <w:szCs w:val="24"/>
                <w:highlight w:val="none"/>
                <w:u w:val="none"/>
                <w:lang w:val="en-US" w:eastAsia="zh-CN"/>
              </w:rPr>
              <w:t>效益指标25</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社会效益</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 xml:space="preserve"> 保障县粮食供给安全充足</w:t>
            </w:r>
            <w:r>
              <w:rPr>
                <w:rFonts w:hint="eastAsia" w:ascii="仿宋" w:hAnsi="仿宋" w:eastAsia="仿宋" w:cs="仿宋"/>
                <w:kern w:val="2"/>
                <w:sz w:val="24"/>
                <w:szCs w:val="24"/>
                <w:highlight w:val="none"/>
                <w:u w:val="none"/>
                <w:lang w:val="en-US" w:eastAsia="zh-CN" w:bidi="ar-SA"/>
              </w:rPr>
              <w:tab/>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25</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99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合计</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25</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25</w:t>
            </w:r>
          </w:p>
        </w:tc>
      </w:tr>
    </w:tbl>
    <w:p>
      <w:pPr>
        <w:bidi w:val="0"/>
        <w:rPr>
          <w:rFonts w:hint="eastAsia" w:ascii="仿宋" w:hAnsi="仿宋" w:eastAsia="仿宋" w:cs="仿宋"/>
          <w:sz w:val="28"/>
          <w:szCs w:val="28"/>
          <w:lang w:val="en-US" w:eastAsia="zh-CN"/>
        </w:rPr>
      </w:pPr>
      <w:r>
        <w:rPr>
          <w:rFonts w:hint="eastAsia" w:ascii="仿宋" w:hAnsi="仿宋" w:eastAsia="仿宋" w:cs="仿宋"/>
          <w:color w:val="000000"/>
          <w:kern w:val="2"/>
          <w:sz w:val="28"/>
          <w:szCs w:val="28"/>
          <w:highlight w:val="none"/>
          <w:u w:val="none"/>
          <w:lang w:val="en-US" w:eastAsia="zh-CN" w:bidi="ar-SA"/>
        </w:rPr>
        <w:t>据</w:t>
      </w:r>
      <w:r>
        <w:rPr>
          <w:rFonts w:hint="eastAsia" w:ascii="仿宋" w:hAnsi="仿宋" w:eastAsia="仿宋" w:cs="仿宋"/>
          <w:sz w:val="28"/>
          <w:szCs w:val="28"/>
          <w:lang w:val="en-US" w:eastAsia="zh-CN"/>
        </w:rPr>
        <w:t>各承储企业提供文件材料以及库存台账，岐山县储备粮数量计划数与实际储存数量一致，质量完好。粮油储备对于确保粮食安全和社会稳定发挥重大战略作</w:t>
      </w:r>
      <w:r>
        <w:rPr>
          <w:rFonts w:hint="eastAsia" w:ascii="仿宋" w:hAnsi="仿宋" w:eastAsia="仿宋" w:cs="仿宋"/>
          <w:color w:val="auto"/>
          <w:sz w:val="28"/>
          <w:szCs w:val="28"/>
          <w:lang w:val="en-US" w:eastAsia="zh-CN"/>
        </w:rPr>
        <w:t>用，岐山县的</w:t>
      </w:r>
      <w:r>
        <w:rPr>
          <w:rFonts w:hint="eastAsia" w:ascii="仿宋" w:hAnsi="仿宋" w:eastAsia="仿宋" w:cs="仿宋"/>
          <w:sz w:val="28"/>
          <w:szCs w:val="28"/>
          <w:lang w:val="en-US" w:eastAsia="zh-CN"/>
        </w:rPr>
        <w:t>粮油储备工作，可以满足突发事件导致的粮食短缺情况，在确保政府调控粮食市场供给的主动性，满足重大自然灾害、重大疫情、战争等突发事件应急需求以及保证社会民心稳定方面发挥重大作用。</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该指标满分25.00分，根据评分标准得25.00分</w:t>
      </w:r>
    </w:p>
    <w:p>
      <w:pPr>
        <w:pStyle w:val="4"/>
        <w:bidi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（五）满意度</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本项目决策指标设置分值20分，得分18分，得分率94%。</w:t>
      </w:r>
    </w:p>
    <w:p>
      <w:pPr>
        <w:pStyle w:val="2"/>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表七  项目满意度指标得分表</w:t>
      </w:r>
    </w:p>
    <w:tbl>
      <w:tblPr>
        <w:tblStyle w:val="7"/>
        <w:tblW w:w="85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6"/>
        <w:gridCol w:w="2025"/>
        <w:gridCol w:w="2801"/>
        <w:gridCol w:w="801"/>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6"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一级指标</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二级指标</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三级指标</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分值</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spacing w:line="560" w:lineRule="exact"/>
              <w:ind w:firstLine="0" w:firstLineChars="0"/>
              <w:jc w:val="center"/>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166"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ind w:firstLine="0" w:firstLineChars="0"/>
              <w:jc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sz w:val="24"/>
                <w:szCs w:val="24"/>
                <w:highlight w:val="none"/>
                <w:u w:val="none"/>
                <w:lang w:val="en-US" w:eastAsia="zh-CN"/>
              </w:rPr>
              <w:t>满意度20</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服务对象满意度</w:t>
            </w:r>
          </w:p>
        </w:tc>
        <w:tc>
          <w:tcPr>
            <w:tcW w:w="2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服务对象认可程度</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20</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99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合计</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20</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0" w:firstLineChars="0"/>
              <w:jc w:val="center"/>
              <w:textAlignment w:val="center"/>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18</w:t>
            </w:r>
          </w:p>
        </w:tc>
      </w:tr>
    </w:tbl>
    <w:p>
      <w:pPr>
        <w:pStyle w:val="2"/>
        <w:rPr>
          <w:rFonts w:hint="eastAsia" w:ascii="仿宋" w:hAnsi="仿宋" w:eastAsia="仿宋" w:cs="仿宋"/>
          <w:sz w:val="28"/>
          <w:szCs w:val="28"/>
          <w:lang w:val="en-US" w:eastAsia="zh-CN"/>
        </w:rPr>
      </w:pP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主要承储企业的满意度，对于该指标评价组向主管部门岐山县发展和改革局和承储单位（蔡家坡粮库17号库、蔡家坡粮库马江点1、2、3号库、蔡家坡粮库2号库、青化粮库3、5号库、青化粮库2号库、青化粮库京当库区2号、岐山县太子油脂有限公司、鲁班桥粮库蒲村库区31号库、鲁班桥粮库蒲村库区31号库、宝鸡祥和面粉有限责任公司代储、五丈原粮站3、6、9、14号库）通过随机拨打电话的形式进行了评价，分析结果：评价组对各单位最终满意率进行统计分析，整体满意度较高，根据问卷调查结果统计，满意度为90.00%。</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该指标满分20.00分，根据评分标准得18.00分</w:t>
      </w:r>
    </w:p>
    <w:p>
      <w:pPr>
        <w:pStyle w:val="3"/>
        <w:bidi w:val="0"/>
        <w:rPr>
          <w:rFonts w:hint="eastAsia" w:ascii="仿宋" w:hAnsi="仿宋" w:eastAsia="仿宋" w:cs="仿宋"/>
          <w:sz w:val="28"/>
          <w:szCs w:val="28"/>
          <w:lang w:val="en-US" w:eastAsia="zh-CN"/>
        </w:rPr>
      </w:pPr>
      <w:bookmarkStart w:id="17" w:name="_Toc3572"/>
      <w:bookmarkStart w:id="18" w:name="_Toc23895"/>
      <w:bookmarkStart w:id="19" w:name="_Toc31909"/>
      <w:r>
        <w:rPr>
          <w:rFonts w:hint="eastAsia" w:ascii="仿宋" w:hAnsi="仿宋" w:eastAsia="仿宋" w:cs="仿宋"/>
          <w:sz w:val="28"/>
          <w:szCs w:val="28"/>
          <w:lang w:val="en-US" w:eastAsia="zh-CN"/>
        </w:rPr>
        <w:t>五、主要经验及做法</w:t>
      </w:r>
      <w:bookmarkEnd w:id="17"/>
      <w:bookmarkEnd w:id="18"/>
      <w:r>
        <w:rPr>
          <w:rFonts w:hint="eastAsia" w:ascii="仿宋" w:hAnsi="仿宋" w:eastAsia="仿宋" w:cs="仿宋"/>
          <w:sz w:val="28"/>
          <w:szCs w:val="28"/>
          <w:lang w:val="en-US" w:eastAsia="zh-CN"/>
        </w:rPr>
        <w:t>、存在到问题、及原因分析</w:t>
      </w:r>
      <w:bookmarkEnd w:id="19"/>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2022年按计划确保了地方储备粮数量真实、质量良好和储备安全。主要体现在：一是完成储备粮数量真实的目标，做到确定的储备粮规模与实物库存账相符合；二是完成储备粮质量良好的目标，项目通过定期检查储备粮，质量均符合要求；三是完成储安全的目标，项目健全完善了监管机制，落实对仓储库的安全设施、仓储条件、室温等检查工作，确保粮库能够满足粮食储存需要。</w:t>
      </w:r>
    </w:p>
    <w:p>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立健全粮食应急机制，保障了粮食安全需要。岐山县财政局岐山县发展和改革局关于进一步加强县级涉粮专项资金管理的通知（岐财办〔2022〕4号文）、《岐山县县级储备粮管理办法》，形成布局合理、运转高效、保障有力的粮食应急网络，健全粮食监测预警体系和市场信息发布机制，构建三级应急预案体系，增强应急处置能力，推动专业化队伍建设，保障各项应急措施能够贯彻落实。</w:t>
      </w:r>
    </w:p>
    <w:p>
      <w:pPr>
        <w:spacing w:before="175" w:line="334" w:lineRule="auto"/>
        <w:ind w:right="13" w:firstLine="670"/>
        <w:jc w:val="both"/>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粮食应急机制的建立，不仅为严重自然灾害或紧急状态时的粮食应急供应提供了保障机制，还有利于强化粮食市场管理，保证粮食市场</w:t>
      </w:r>
      <w:r>
        <w:rPr>
          <w:rFonts w:hint="eastAsia" w:ascii="仿宋" w:hAnsi="仿宋" w:eastAsia="仿宋" w:cs="仿宋"/>
          <w:color w:val="auto"/>
          <w:sz w:val="28"/>
          <w:szCs w:val="28"/>
          <w:lang w:val="en-US" w:eastAsia="zh-CN"/>
        </w:rPr>
        <w:t>供应和价格稳定。但通过我们本次的调查还存在以下问题：</w:t>
      </w:r>
    </w:p>
    <w:p>
      <w:pPr>
        <w:pStyle w:val="2"/>
        <w:keepNext w:val="0"/>
        <w:keepLines w:val="0"/>
        <w:pageBreakBefore w:val="0"/>
        <w:widowControl w:val="0"/>
        <w:kinsoku/>
        <w:wordWrap/>
        <w:overflowPunct/>
        <w:topLinePunct w:val="0"/>
        <w:autoSpaceDE/>
        <w:autoSpaceDN/>
        <w:bidi w:val="0"/>
        <w:adjustRightInd/>
        <w:snapToGrid/>
        <w:spacing w:line="560" w:lineRule="exact"/>
        <w:ind w:left="20" w:leftChars="7" w:firstLine="562" w:firstLineChars="200"/>
        <w:textAlignment w:val="auto"/>
        <w:outlineLvl w:val="1"/>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b/>
          <w:bCs/>
          <w:color w:val="auto"/>
          <w:sz w:val="28"/>
          <w:szCs w:val="28"/>
          <w:highlight w:val="none"/>
          <w:u w:val="none"/>
          <w:lang w:val="en-US" w:eastAsia="zh-CN"/>
        </w:rPr>
        <w:t xml:space="preserve"> </w:t>
      </w:r>
      <w:bookmarkStart w:id="20" w:name="_Toc20833"/>
      <w:bookmarkStart w:id="21" w:name="_Toc25315"/>
      <w:r>
        <w:rPr>
          <w:rFonts w:hint="eastAsia" w:ascii="仿宋" w:hAnsi="仿宋" w:eastAsia="仿宋" w:cs="仿宋"/>
          <w:color w:val="auto"/>
          <w:kern w:val="2"/>
          <w:sz w:val="28"/>
          <w:szCs w:val="28"/>
          <w:lang w:val="en-US" w:eastAsia="zh-CN" w:bidi="ar-SA"/>
        </w:rPr>
        <w:t>绩效目标设置方面。</w:t>
      </w:r>
      <w:bookmarkEnd w:id="20"/>
      <w:bookmarkEnd w:id="21"/>
      <w:r>
        <w:rPr>
          <w:rFonts w:hint="eastAsia" w:ascii="仿宋" w:hAnsi="仿宋" w:eastAsia="仿宋" w:cs="仿宋"/>
          <w:color w:val="auto"/>
          <w:kern w:val="2"/>
          <w:sz w:val="28"/>
          <w:szCs w:val="28"/>
          <w:lang w:val="en-US" w:eastAsia="zh-CN" w:bidi="ar-SA"/>
        </w:rPr>
        <w:t>绩效目标过于笼统，未将绩效目标进行细化分解，未结合项目实际情况制定清晰化、可量化的绩效目标。</w:t>
      </w:r>
    </w:p>
    <w:p>
      <w:pPr>
        <w:pStyle w:val="3"/>
        <w:keepNext/>
        <w:keepLines/>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sz w:val="28"/>
          <w:szCs w:val="28"/>
          <w:lang w:val="en-US" w:eastAsia="zh-CN"/>
        </w:rPr>
      </w:pPr>
      <w:bookmarkStart w:id="22" w:name="_Toc12575"/>
      <w:r>
        <w:rPr>
          <w:rFonts w:hint="eastAsia" w:ascii="仿宋" w:hAnsi="仿宋" w:eastAsia="仿宋" w:cs="仿宋"/>
          <w:sz w:val="28"/>
          <w:szCs w:val="28"/>
          <w:lang w:val="en-US" w:eastAsia="zh-CN"/>
        </w:rPr>
        <w:t>六、有关建议</w:t>
      </w:r>
      <w:bookmarkEnd w:id="22"/>
    </w:p>
    <w:p>
      <w:pPr>
        <w:pStyle w:val="2"/>
        <w:keepNext w:val="0"/>
        <w:keepLines w:val="0"/>
        <w:pageBreakBefore w:val="0"/>
        <w:widowControl w:val="0"/>
        <w:kinsoku/>
        <w:wordWrap/>
        <w:overflowPunct/>
        <w:topLinePunct w:val="0"/>
        <w:autoSpaceDE/>
        <w:autoSpaceDN/>
        <w:bidi w:val="0"/>
        <w:adjustRightInd/>
        <w:snapToGrid/>
        <w:spacing w:line="560" w:lineRule="exact"/>
        <w:ind w:left="20" w:leftChars="7" w:firstLine="280" w:firstLineChars="100"/>
        <w:textAlignment w:val="auto"/>
        <w:outlineLvl w:val="1"/>
        <w:rPr>
          <w:rFonts w:hint="eastAsia" w:ascii="仿宋" w:hAnsi="仿宋" w:eastAsia="仿宋" w:cs="仿宋"/>
          <w:b w:val="0"/>
          <w:bCs w:val="0"/>
          <w:color w:val="000000"/>
          <w:kern w:val="2"/>
          <w:sz w:val="28"/>
          <w:szCs w:val="28"/>
          <w:highlight w:val="none"/>
          <w:u w:val="none"/>
          <w:lang w:val="en-US" w:eastAsia="zh-CN" w:bidi="ar-SA"/>
        </w:rPr>
      </w:pPr>
      <w:r>
        <w:rPr>
          <w:rFonts w:hint="eastAsia" w:ascii="仿宋" w:hAnsi="仿宋" w:eastAsia="仿宋" w:cs="仿宋"/>
          <w:b w:val="0"/>
          <w:bCs w:val="0"/>
          <w:color w:val="000000"/>
          <w:kern w:val="2"/>
          <w:sz w:val="28"/>
          <w:szCs w:val="28"/>
          <w:highlight w:val="none"/>
          <w:u w:val="none"/>
          <w:lang w:val="en-US" w:eastAsia="zh-CN" w:bidi="ar-SA"/>
        </w:rPr>
        <w:t xml:space="preserve"> </w:t>
      </w:r>
      <w:bookmarkStart w:id="23" w:name="_Toc8099"/>
      <w:bookmarkStart w:id="24" w:name="_Toc10688"/>
      <w:r>
        <w:rPr>
          <w:rFonts w:hint="eastAsia" w:ascii="仿宋" w:hAnsi="仿宋" w:eastAsia="仿宋" w:cs="仿宋"/>
          <w:b w:val="0"/>
          <w:bCs w:val="0"/>
          <w:color w:val="000000"/>
          <w:kern w:val="2"/>
          <w:sz w:val="28"/>
          <w:szCs w:val="28"/>
          <w:highlight w:val="none"/>
          <w:u w:val="none"/>
          <w:lang w:val="en-US" w:eastAsia="zh-CN" w:bidi="ar-SA"/>
        </w:rPr>
        <w:t>1.绩效目标设置方面。</w:t>
      </w:r>
      <w:bookmarkEnd w:id="23"/>
      <w:bookmarkEnd w:id="24"/>
    </w:p>
    <w:p>
      <w:pPr>
        <w:pStyle w:val="2"/>
        <w:keepNext w:val="0"/>
        <w:keepLines w:val="0"/>
        <w:pageBreakBefore w:val="0"/>
        <w:widowControl w:val="0"/>
        <w:kinsoku/>
        <w:wordWrap/>
        <w:overflowPunct/>
        <w:topLinePunct w:val="0"/>
        <w:autoSpaceDE/>
        <w:autoSpaceDN/>
        <w:bidi w:val="0"/>
        <w:adjustRightInd/>
        <w:snapToGrid/>
        <w:spacing w:line="560" w:lineRule="exact"/>
        <w:ind w:left="20" w:leftChars="7"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全面树立绩效管理意识，强化绩效目标管理，加强对项目实施单位绩效目标的审核，项目单位应按照项目实际需求合理设置可达成的绩效目标，提升绩效目标的科学性和规范性，做到绩效目标指向明确、细化量化、合理可行、相应匹配，切实有效地发挥绩效目标的牵引作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1"/>
        <w:rPr>
          <w:rFonts w:hint="eastAsia" w:ascii="仿宋" w:hAnsi="仿宋" w:eastAsia="仿宋" w:cs="仿宋"/>
          <w:b w:val="0"/>
          <w:bCs w:val="0"/>
          <w:sz w:val="28"/>
          <w:szCs w:val="28"/>
          <w:lang w:val="en-US" w:eastAsia="zh-CN"/>
        </w:rPr>
      </w:pPr>
      <w:bookmarkStart w:id="25" w:name="_Toc12953"/>
      <w:bookmarkStart w:id="26" w:name="_Toc801"/>
      <w:r>
        <w:rPr>
          <w:rFonts w:hint="eastAsia" w:ascii="仿宋" w:hAnsi="仿宋" w:eastAsia="仿宋" w:cs="仿宋"/>
          <w:b w:val="0"/>
          <w:bCs w:val="0"/>
          <w:sz w:val="28"/>
          <w:szCs w:val="28"/>
          <w:highlight w:val="none"/>
          <w:u w:val="none"/>
          <w:lang w:val="en-US" w:eastAsia="zh-CN"/>
        </w:rPr>
        <w:t>2.增强绩效管理意识，重视绩效评审工作。</w:t>
      </w:r>
      <w:bookmarkEnd w:id="25"/>
      <w:bookmarkEnd w:id="26"/>
    </w:p>
    <w:p>
      <w:pPr>
        <w:spacing w:before="175" w:line="334" w:lineRule="auto"/>
        <w:ind w:right="13" w:firstLine="67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议项目单位增强绩效管理意识，构建完整、完善的全过程绩效管理模式。建议用款单位加强项目绩效评价工作的学习，充分掌握绩效评价工作的重点和要点。建议项目单位成立项目自评工作评价小组和自评工作实施小组，落实小组具体职责分工，小组成员应认真学习项目绩效评价知识，充分把握绩效评价的要求，提供充分详实的评价材料，规范自评表的填报及自评报告的编制，以便全面反映项目的实施效果。</w:t>
      </w:r>
    </w:p>
    <w:p>
      <w:pPr>
        <w:spacing w:before="175" w:line="334" w:lineRule="auto"/>
        <w:ind w:right="13" w:firstLine="670"/>
        <w:jc w:val="both"/>
        <w:rPr>
          <w:rFonts w:hint="eastAsia" w:ascii="仿宋" w:hAnsi="仿宋" w:eastAsia="仿宋" w:cs="仿宋"/>
          <w:sz w:val="28"/>
          <w:szCs w:val="28"/>
          <w:lang w:val="en-US" w:eastAsia="zh-CN"/>
        </w:rPr>
      </w:pPr>
    </w:p>
    <w:p>
      <w:pPr>
        <w:spacing w:before="175" w:line="334" w:lineRule="auto"/>
        <w:ind w:right="13"/>
        <w:jc w:val="both"/>
        <w:rPr>
          <w:rFonts w:hint="eastAsia" w:ascii="仿宋" w:hAnsi="仿宋" w:eastAsia="仿宋" w:cs="仿宋"/>
          <w:sz w:val="28"/>
          <w:szCs w:val="28"/>
          <w:lang w:val="en-US" w:eastAsia="zh-CN"/>
        </w:rPr>
      </w:pPr>
    </w:p>
    <w:p>
      <w:pPr>
        <w:spacing w:before="175" w:line="334" w:lineRule="auto"/>
        <w:ind w:right="13" w:firstLine="67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附件：粮食利费补贴绩效评价得分表</w:t>
      </w:r>
    </w:p>
    <w:p>
      <w:pPr>
        <w:spacing w:before="175" w:line="334" w:lineRule="auto"/>
        <w:ind w:right="13" w:firstLine="670"/>
        <w:jc w:val="both"/>
        <w:rPr>
          <w:rFonts w:hint="eastAsia" w:ascii="仿宋" w:hAnsi="仿宋" w:eastAsia="仿宋" w:cs="仿宋"/>
          <w:sz w:val="28"/>
          <w:szCs w:val="28"/>
          <w:lang w:val="en-US" w:eastAsia="zh-CN"/>
        </w:rPr>
        <w:sectPr>
          <w:pgSz w:w="11906" w:h="16838"/>
          <w:pgMar w:top="1440" w:right="1800" w:bottom="1440" w:left="1800" w:header="851" w:footer="992" w:gutter="0"/>
          <w:cols w:space="425" w:num="1"/>
          <w:docGrid w:type="lines" w:linePitch="312" w:charSpace="0"/>
        </w:sectPr>
      </w:pPr>
    </w:p>
    <w:tbl>
      <w:tblPr>
        <w:tblStyle w:val="7"/>
        <w:tblW w:w="15004" w:type="dxa"/>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6"/>
        <w:gridCol w:w="1316"/>
        <w:gridCol w:w="1434"/>
        <w:gridCol w:w="983"/>
        <w:gridCol w:w="1767"/>
        <w:gridCol w:w="983"/>
        <w:gridCol w:w="4733"/>
        <w:gridCol w:w="1384"/>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004" w:type="dxa"/>
            <w:gridSpan w:val="9"/>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粮食利费补贴绩效评价得分表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86" w:type="dxa"/>
            <w:tcBorders>
              <w:top w:val="single" w:color="auto"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131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分值</w:t>
            </w:r>
          </w:p>
        </w:tc>
        <w:tc>
          <w:tcPr>
            <w:tcW w:w="143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二级指标</w:t>
            </w:r>
          </w:p>
        </w:tc>
        <w:tc>
          <w:tcPr>
            <w:tcW w:w="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分值</w:t>
            </w:r>
          </w:p>
        </w:tc>
        <w:tc>
          <w:tcPr>
            <w:tcW w:w="176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三级指标</w:t>
            </w:r>
          </w:p>
        </w:tc>
        <w:tc>
          <w:tcPr>
            <w:tcW w:w="98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分值</w:t>
            </w:r>
          </w:p>
        </w:tc>
        <w:tc>
          <w:tcPr>
            <w:tcW w:w="473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评价标准</w:t>
            </w:r>
          </w:p>
        </w:tc>
        <w:tc>
          <w:tcPr>
            <w:tcW w:w="138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评价得分</w:t>
            </w:r>
          </w:p>
        </w:tc>
        <w:tc>
          <w:tcPr>
            <w:tcW w:w="1218" w:type="dxa"/>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扣分原因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186"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决策</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项目立项</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立项依据充分性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1.项目立项是否符合国家法律法规、国民经济发展规划和相关政策1分；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2.项目立项是否符合行业发展规划和政策要求 1分；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3.项目立项是否与部门职责范围相符，属于部门履职所需 1分；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4.项目是否属于公共财政支持范围，是否符合中央、地方事权支出责任划分原则1分；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5.项目是否与相关部门同类项目或部门内部相关项目重复1.5分。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立项程序规范性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1.项目是否按照规定的程序申请设立0.5分；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2.事前是否已经过必要的可行性研究、专家论证、风险评估、集体决策等0.5分；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3.项目申请是否经过批准0.5分。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绩效目标</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绩效目标合理性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1.项目是否有绩效目标0.5分；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2.是否与项目实施单位或委托单位职责密切相关0.5分；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3.项目是否为促进事业性发展所必需 0.5分；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4.项目预期产出效益和效果是否符合正常的业绩水平0.5分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1.5</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ind w:left="0" w:leftChars="0" w:firstLine="0" w:firstLineChars="0"/>
              <w:jc w:val="both"/>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绩效目标过于笼统，未将绩效目标进行细化分解，未结合项目实际情况制定清晰化、可量化的绩效目标，扣0.5分。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绩效指标明确性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1.是否将项目绩效目标细化分解为具体的绩效指标1分；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2.是否通过清晰、可衡量的指标值予以体现0.5分；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3.是否与项目年度任务数或计划数相对应1分；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4.是否与预算确定的项目投资额或资金相匹配0.5分。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资金投入</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预算编制科学性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1.预算编制是否经过科学论证0.5分；</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2.预算内容与项目内容是否匹配0.5分；</w:t>
            </w:r>
          </w:p>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3.预算额度测算依据是否充分，是否按照标准编制 0.5分；</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4.预算确定的项目投资额或资金量是否与工作任务相匹配0.5分。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18"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资金分配合理性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1.预算资金分配依据是否充分0.5分；</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2.资金分配额度是否合理，与项目单位或地方实际是否相适应0.5分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186"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过程</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资金管理</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资金到位率</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1.资金到位率(a=(实际到位资金/合同金额)X100%)小于60%不得分</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2.大于等于60%的按超过的比重赋分，得分=(资金到位率一60%)/(1-60%)*指标分值</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18"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预算执行率</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1.预算执行率(a=实际支出资金/合同金额X100%)小于60%不得分；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2.大于等于60%的按超过的比重赋分，得分=(预算执行率一60%)/(1-60%)*指标分值</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2.68</w:t>
            </w:r>
          </w:p>
        </w:tc>
        <w:tc>
          <w:tcPr>
            <w:tcW w:w="121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预算执行率为81.42%，扣2.32分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资金使用合规性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1.资金使用是否符合国家财经法规和财务管理制度以及有关专项资金管理办法的规定2分；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2.资金的拨付是否有完整的审批程序和手续 2分；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3.项目的重大开支是否经过集体研究 1分；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4.是否符合项目预算批复或合同规定的用途1分；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5.资金使用出现截留、挤占、挪用、虚列支出任何一种情况，本指标得分为0。</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组织实施</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管理制度健全性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1.是否已制定或具有相应的业务管理制度1分；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2.业务管理制度是否健全、完整1</w:t>
            </w:r>
            <w:bookmarkStart w:id="27" w:name="_GoBack"/>
            <w:bookmarkEnd w:id="27"/>
            <w:r>
              <w:rPr>
                <w:rFonts w:hint="eastAsia" w:ascii="仿宋" w:hAnsi="仿宋" w:eastAsia="仿宋" w:cs="仿宋"/>
                <w:i w:val="0"/>
                <w:iCs w:val="0"/>
                <w:color w:val="000000"/>
                <w:kern w:val="0"/>
                <w:sz w:val="24"/>
                <w:szCs w:val="24"/>
                <w:u w:val="none"/>
                <w:lang w:val="en-US" w:eastAsia="zh-CN" w:bidi="ar"/>
              </w:rPr>
              <w:t>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制度执行有效性</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1.是否遵守相关法律法规和业务管理规定0.5分；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2.项目调整及支出调整手续是否完备 0.5分；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3.项目合同书、验收报告、技术鉴定等资料是否齐全并及时归档0.5分；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4.是否建立了投资、建设、验收、后期管护、问题反馈等机制0.5分。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86"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产出</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产出质量</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质量达标率</w:t>
            </w:r>
            <w:r>
              <w:rPr>
                <w:rFonts w:hint="eastAsia" w:ascii="仿宋" w:hAnsi="仿宋" w:eastAsia="仿宋" w:cs="仿宋"/>
                <w:i w:val="0"/>
                <w:iCs w:val="0"/>
                <w:color w:val="000000"/>
                <w:kern w:val="0"/>
                <w:sz w:val="24"/>
                <w:szCs w:val="24"/>
                <w:u w:val="none"/>
                <w:lang w:val="en-US" w:eastAsia="zh-CN" w:bidi="ar"/>
              </w:rPr>
              <w:tab/>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1.计算公式:实际完成率=(实际产出数/计划产出数)X100%；</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2.评分标准实际完成率小于 60%不得分;大于等于 60%的按超过的比重赋分，得分=(实际完成率-60%)/(1-60%)X 指标分值。</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产出时效</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完成及时性</w:t>
            </w:r>
            <w:r>
              <w:rPr>
                <w:rFonts w:hint="eastAsia" w:ascii="仿宋" w:hAnsi="仿宋" w:eastAsia="仿宋" w:cs="仿宋"/>
                <w:i w:val="0"/>
                <w:iCs w:val="0"/>
                <w:color w:val="000000"/>
                <w:kern w:val="0"/>
                <w:sz w:val="24"/>
                <w:szCs w:val="24"/>
                <w:u w:val="none"/>
                <w:lang w:val="en-US" w:eastAsia="zh-CN" w:bidi="ar"/>
              </w:rPr>
              <w:tab/>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1.落实质量安全管理主体责任 （2.5分）；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2.符合国家相关工程质量标准（2.5分）；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3.质量达标率小于60%不得分，大于等于60%的按超过比重赋分，得分=(质量达标率一60%)/(1-60%)*指标分值。</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86"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产出成本</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粮油成本</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1.按计划建成投入使用（5分）；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2.完成及时率小于60%不得分；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3.大于等于60%的按超过比重赋分，得分=(完成及时率一60%)/(1-60%)*指标分值</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86" w:type="dxa"/>
            <w:tcBorders>
              <w:top w:val="single" w:color="000000" w:sz="4" w:space="0"/>
              <w:left w:val="single" w:color="auto"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效益</w:t>
            </w:r>
          </w:p>
        </w:tc>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43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社会效益</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25</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保障粮食供给安全充足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保障粮食供给安全充足（25分）。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18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满意度</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服务对象满意度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服务对象认可程度</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按照区间进行赋分: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1.满意度≥95%得20分；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2.90%≤满意度&lt;95%得18分；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3.80%≤满意度&lt;90%得15分；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4.60%≤满意度&lt;80%得10分；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4.满意度&lt;60%不得分。</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218"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ind w:left="0" w:leftChars="0" w:firstLine="0" w:firstLineChars="0"/>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满意度为</w:t>
            </w:r>
            <w:r>
              <w:rPr>
                <w:rFonts w:hint="eastAsia" w:ascii="仿宋" w:hAnsi="仿宋" w:eastAsia="仿宋" w:cs="仿宋"/>
                <w:i w:val="0"/>
                <w:iCs w:val="0"/>
                <w:color w:val="000000"/>
                <w:sz w:val="24"/>
                <w:szCs w:val="24"/>
                <w:u w:val="none"/>
                <w:lang w:val="en-US" w:eastAsia="zh-CN"/>
              </w:rPr>
              <w:t>94%,故扣2分。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86"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3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43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7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47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95.18</w:t>
            </w:r>
          </w:p>
        </w:tc>
        <w:tc>
          <w:tcPr>
            <w:tcW w:w="1218"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rPr>
          <w:rFonts w:hint="eastAsia" w:ascii="仿宋" w:hAnsi="仿宋" w:eastAsia="仿宋" w:cs="仿宋"/>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264"/>
      <w:rPr>
        <w:rFonts w:ascii="宋体" w:hAnsi="宋体" w:eastAsia="宋体" w:cs="宋体"/>
        <w:sz w:val="14"/>
        <w:szCs w:val="14"/>
      </w:rPr>
    </w:pPr>
    <w:r>
      <w:rPr>
        <w:rFonts w:ascii="宋体" w:hAnsi="宋体" w:eastAsia="宋体" w:cs="宋体"/>
        <w:sz w:val="14"/>
        <w:szCs w:val="14"/>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DQzYmRlNzg4YzhlOGY2MDljYzMxZTc0ZTRlZjMifQ=="/>
  </w:docVars>
  <w:rsids>
    <w:rsidRoot w:val="72B06590"/>
    <w:rsid w:val="03293C27"/>
    <w:rsid w:val="043F70F9"/>
    <w:rsid w:val="05270158"/>
    <w:rsid w:val="054162A1"/>
    <w:rsid w:val="05AD1B88"/>
    <w:rsid w:val="093258A2"/>
    <w:rsid w:val="0A2763AD"/>
    <w:rsid w:val="0B6B4077"/>
    <w:rsid w:val="0D414CF2"/>
    <w:rsid w:val="0E8211A4"/>
    <w:rsid w:val="12502219"/>
    <w:rsid w:val="15A610FD"/>
    <w:rsid w:val="15F01D49"/>
    <w:rsid w:val="17480065"/>
    <w:rsid w:val="17542220"/>
    <w:rsid w:val="17ED689C"/>
    <w:rsid w:val="190A1374"/>
    <w:rsid w:val="19102702"/>
    <w:rsid w:val="1B972C67"/>
    <w:rsid w:val="1D880AB9"/>
    <w:rsid w:val="1D9236E6"/>
    <w:rsid w:val="20FA7ADE"/>
    <w:rsid w:val="211650E6"/>
    <w:rsid w:val="22193F24"/>
    <w:rsid w:val="232B0864"/>
    <w:rsid w:val="23CD36CA"/>
    <w:rsid w:val="250749B9"/>
    <w:rsid w:val="25B16AD5"/>
    <w:rsid w:val="26305851"/>
    <w:rsid w:val="275F6D2E"/>
    <w:rsid w:val="29D073FE"/>
    <w:rsid w:val="2AD04030"/>
    <w:rsid w:val="2AD90BA6"/>
    <w:rsid w:val="2B4763F0"/>
    <w:rsid w:val="2C0E487F"/>
    <w:rsid w:val="2E1D524D"/>
    <w:rsid w:val="327F30D0"/>
    <w:rsid w:val="353521C7"/>
    <w:rsid w:val="3739226A"/>
    <w:rsid w:val="3B84690C"/>
    <w:rsid w:val="3DD863C0"/>
    <w:rsid w:val="3E4F64F3"/>
    <w:rsid w:val="3EA456E7"/>
    <w:rsid w:val="3FDF36F2"/>
    <w:rsid w:val="401D0494"/>
    <w:rsid w:val="40494205"/>
    <w:rsid w:val="412152EE"/>
    <w:rsid w:val="418340EB"/>
    <w:rsid w:val="42437907"/>
    <w:rsid w:val="437234EE"/>
    <w:rsid w:val="45886FF9"/>
    <w:rsid w:val="464E3D9E"/>
    <w:rsid w:val="466435C2"/>
    <w:rsid w:val="480E669F"/>
    <w:rsid w:val="49271519"/>
    <w:rsid w:val="4CB15087"/>
    <w:rsid w:val="4D4772DF"/>
    <w:rsid w:val="51952B09"/>
    <w:rsid w:val="524226A3"/>
    <w:rsid w:val="526C4C77"/>
    <w:rsid w:val="547D75C0"/>
    <w:rsid w:val="572D3E71"/>
    <w:rsid w:val="594341A4"/>
    <w:rsid w:val="5A3B5997"/>
    <w:rsid w:val="5A4E23EE"/>
    <w:rsid w:val="5DF9688E"/>
    <w:rsid w:val="5EE94B54"/>
    <w:rsid w:val="5F013C4C"/>
    <w:rsid w:val="637E72EA"/>
    <w:rsid w:val="63E022EB"/>
    <w:rsid w:val="65540C76"/>
    <w:rsid w:val="657F4183"/>
    <w:rsid w:val="6A2637D5"/>
    <w:rsid w:val="6C0C59DE"/>
    <w:rsid w:val="6F175D12"/>
    <w:rsid w:val="72B06590"/>
    <w:rsid w:val="782459F2"/>
    <w:rsid w:val="7973709D"/>
    <w:rsid w:val="79CB6ED9"/>
    <w:rsid w:val="7A5E67B8"/>
    <w:rsid w:val="7B116B6D"/>
    <w:rsid w:val="7F08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898" w:firstLineChars="200"/>
      <w:jc w:val="both"/>
    </w:pPr>
    <w:rPr>
      <w:rFonts w:ascii="Calibri" w:hAnsi="Calibri" w:eastAsia="宋体" w:cs="Times New Roman"/>
      <w:kern w:val="2"/>
      <w:sz w:val="28"/>
      <w:szCs w:val="24"/>
      <w:lang w:val="en-US" w:eastAsia="zh-CN" w:bidi="ar-SA"/>
    </w:rPr>
  </w:style>
  <w:style w:type="paragraph" w:styleId="3">
    <w:name w:val="heading 1"/>
    <w:basedOn w:val="1"/>
    <w:next w:val="1"/>
    <w:qFormat/>
    <w:uiPriority w:val="0"/>
    <w:pPr>
      <w:keepNext/>
      <w:keepLines/>
      <w:adjustRightInd w:val="0"/>
      <w:spacing w:before="340" w:beforeLines="0" w:beforeAutospacing="0" w:after="330" w:afterLines="0" w:afterAutospacing="0" w:line="576" w:lineRule="auto"/>
      <w:ind w:firstLine="0" w:firstLineChars="0"/>
      <w:outlineLvl w:val="0"/>
    </w:pPr>
    <w:rPr>
      <w:rFonts w:eastAsia="黑体"/>
      <w:b/>
      <w:kern w:val="44"/>
      <w:sz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黑体"/>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240" w:lineRule="auto"/>
      <w:ind w:firstLine="0" w:firstLineChars="0"/>
      <w:outlineLvl w:val="3"/>
    </w:pPr>
    <w:rPr>
      <w:rFonts w:ascii="Arial" w:hAnsi="Arial" w:eastAsia="宋体"/>
      <w:sz w:val="3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tabs>
        <w:tab w:val="left" w:pos="0"/>
      </w:tabs>
    </w:pPr>
    <w:rPr>
      <w:rFonts w:ascii="宋体" w:hAnsi="宋体" w:eastAsia="仿宋_GB2312"/>
      <w:color w:val="00000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瑞琪表头"/>
    <w:basedOn w:val="1"/>
    <w:qFormat/>
    <w:uiPriority w:val="0"/>
    <w:pPr>
      <w:keepNext w:val="0"/>
      <w:keepLines w:val="0"/>
      <w:widowControl/>
      <w:suppressLineNumbers w:val="0"/>
      <w:spacing w:before="0" w:beforeAutospacing="0" w:after="0" w:afterAutospacing="0" w:line="400" w:lineRule="exact"/>
      <w:ind w:left="0" w:right="0"/>
      <w:jc w:val="center"/>
    </w:pPr>
    <w:rPr>
      <w:rFonts w:hint="eastAsia" w:ascii="宋体" w:hAnsi="宋体" w:eastAsia="仿宋" w:cs="Times New Roman"/>
      <w:b/>
      <w:kern w:val="0"/>
      <w:sz w:val="24"/>
      <w:szCs w:val="24"/>
      <w:lang w:val="en-US" w:eastAsia="zh-CN" w:bidi="ar"/>
    </w:rPr>
  </w:style>
  <w:style w:type="character" w:customStyle="1" w:styleId="11">
    <w:name w:val="font01"/>
    <w:basedOn w:val="9"/>
    <w:qFormat/>
    <w:uiPriority w:val="0"/>
    <w:rPr>
      <w:rFonts w:ascii="仿宋_GB2312" w:eastAsia="仿宋_GB2312" w:cs="仿宋_GB2312"/>
      <w:color w:val="000000"/>
      <w:sz w:val="24"/>
      <w:szCs w:val="24"/>
      <w:u w:val="none"/>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7200</Words>
  <Characters>8341</Characters>
  <Lines>0</Lines>
  <Paragraphs>0</Paragraphs>
  <TotalTime>0</TotalTime>
  <ScaleCrop>false</ScaleCrop>
  <LinksUpToDate>false</LinksUpToDate>
  <CharactersWithSpaces>8440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2023-10-12T10:33:00Z</dcterms:created>
  <dc:creator>荔枝</dc:creator>
  <cp:lastModifiedBy>Administrator</cp:lastModifiedBy>
  <dcterms:modified xsi:type="dcterms:W3CDTF">2023-10-19T01:09:06Z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08B4883662E54CC688E15A115F5D942B_13</vt:lpwstr>
  </property>
</Properties>
</file>