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32" w:lineRule="auto"/>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岐山县城北抽水泵更新改造工程项目</w:t>
      </w:r>
    </w:p>
    <w:p>
      <w:pPr>
        <w:keepNext w:val="0"/>
        <w:keepLines w:val="0"/>
        <w:pageBreakBefore w:val="0"/>
        <w:widowControl w:val="0"/>
        <w:kinsoku/>
        <w:wordWrap/>
        <w:overflowPunct/>
        <w:topLinePunct w:val="0"/>
        <w:autoSpaceDE/>
        <w:autoSpaceDN/>
        <w:bidi w:val="0"/>
        <w:adjustRightInd w:val="0"/>
        <w:snapToGrid w:val="0"/>
        <w:spacing w:line="432" w:lineRule="auto"/>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事后绩效评价报告</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b/>
          <w:bCs/>
          <w:color w:val="auto"/>
          <w:sz w:val="28"/>
          <w:szCs w:val="36"/>
          <w:lang w:val="en-US" w:eastAsia="zh-CN"/>
        </w:rPr>
      </w:pPr>
      <w:r>
        <w:rPr>
          <w:rFonts w:hint="eastAsia" w:ascii="仿宋" w:hAnsi="仿宋" w:eastAsia="仿宋" w:cs="仿宋"/>
          <w:color w:val="auto"/>
          <w:sz w:val="28"/>
          <w:szCs w:val="36"/>
          <w:lang w:val="en-US" w:eastAsia="zh-CN"/>
        </w:rPr>
        <w:t>按照《岐山县财政局关于开展2022年度县级财政项目绩效评价的通知》（岐财办绩[2023]20号）等相关文件要求，遵循科学性、规范性、客观性和公正性的原则，我局组织对岐山县城北抽水泵更新改造工程项目开展了事后绩效评价。现将评价情况如下：</w:t>
      </w:r>
    </w:p>
    <w:p>
      <w:pPr>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一、项目概况</w:t>
      </w:r>
    </w:p>
    <w:p>
      <w:pPr>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（一）项目背景、规模及内容</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岐山县城北抽水管理站位于宝鸡市岐山县凤鸣镇境内，于上世纪</w:t>
      </w:r>
      <w:bookmarkStart w:id="0" w:name="_GoBack"/>
      <w:bookmarkEnd w:id="0"/>
      <w:r>
        <w:rPr>
          <w:rFonts w:hint="eastAsia" w:ascii="仿宋" w:hAnsi="仿宋" w:eastAsia="仿宋" w:cs="仿宋"/>
          <w:color w:val="auto"/>
          <w:sz w:val="28"/>
          <w:szCs w:val="36"/>
          <w:lang w:val="en-US" w:eastAsia="zh-CN"/>
        </w:rPr>
        <w:t>七十年代建成投运，原设计分四级提水灌激，灌溉范围涉及凤鸣镇 14 个村87 个小组、受益人口 3.8万人。城北抽泵站位于原一级站站址，设计流量 0.88m³/s，灌溉面积 2.21 万亩，装机功率 1005kW。2017年3月宝鸡市水利局组织专家对岐山县城北抽泵站进行了安全鉴定，四座泵站均被综合评定为四类泵站，因此需要维修改造工程。岐山县城北抽水泵更新改造工程项目由岐山县发展和改革局以《岐发改发[2017]181号》文件批准建设，建设单位为岐山县城北抽泵站更新改造工程项目建设办公室。主要建设内容为对原城北抽泵站四级提水合并为一级分高、中、低池供水，在一级站原址拆除重建城北抽泵站，拆除重建进水池 1座、出水池3 座，厂房 320 平方米、压力出水管道5.5公里，更新10 千伏变电站1座，增设泵站计算机监控系统和视频系统，安装水泵机组3 台套，泵站装机总功率1130千瓦，设计流量0.88m³/s；工程总投资：2485.86万元；资金来源：自上级专项资金和县级财政配套资金；建设地址：岐山县；建设年限：2012-2019年。</w:t>
      </w:r>
    </w:p>
    <w:p>
      <w:pPr>
        <w:keepNext w:val="0"/>
        <w:keepLines w:val="0"/>
        <w:pageBreakBefore w:val="0"/>
        <w:widowControl w:val="0"/>
        <w:kinsoku/>
        <w:wordWrap/>
        <w:overflowPunct/>
        <w:topLinePunct w:val="0"/>
        <w:autoSpaceDE/>
        <w:autoSpaceDN/>
        <w:bidi w:val="0"/>
        <w:adjustRightInd w:val="0"/>
        <w:snapToGrid w:val="0"/>
        <w:spacing w:line="432" w:lineRule="auto"/>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（二）项目实施及资金使用</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该项目相关立项手续批复后，岐山县城北抽泵站更新改造工程项目建设办公室能够按照政府投资项目建设有关规定，从设计、招标、施工、验收、移交等环节管理严格。项目于2017年12月份办理了相关手续，进行了招标工作；2018年2月22日工程开工，2019年8月31日竣工、验收合格。根据县政府对该工程的要求，岐山县发展和改革局以岐发改发(2017)181 号文件对设计进行批复，核定工程总投资 2485.86万元。①工程审计完成施工总投资 2057.2203 万元，截止目前已支付工程款 853 万元,未支付 1204.22 万元;②监理费 40.56 万元,已支付10.24万元,未支付 30.32万元;③设计费122.64万元已支付 60 万元,未支付 62.64 万元;④检测费 4.8 万元已完成支付。截止目前,工程费、监理费、设计费、检测费总计支付 928.04万元，未支付 1297.18 万元。在财务管理方面严格按照国家有关建设资金管理等方面的规定执行，在保证工程质量的前提下，严格控制资金使用，确保了资金使用安全。</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（三）项目绩效目标</w:t>
      </w:r>
    </w:p>
    <w:p>
      <w:pPr>
        <w:keepNext w:val="0"/>
        <w:keepLines w:val="0"/>
        <w:pageBreakBefore w:val="0"/>
        <w:widowControl w:val="0"/>
        <w:kinsoku/>
        <w:wordWrap/>
        <w:overflowPunct/>
        <w:topLinePunct w:val="0"/>
        <w:autoSpaceDE/>
        <w:autoSpaceDN/>
        <w:bidi w:val="0"/>
        <w:adjustRightInd w:val="0"/>
        <w:snapToGrid w:val="0"/>
        <w:spacing w:line="432"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总体绩效目标：对原城北抽泵站四级提水合并为一级分高、中、低池供水，在一级站原址拆除重建城北抽泵站，拆除重建进水池 1座、出水池3 座，厂房 320 平方米、压力出水管道5.5公里，更新10 千伏变电站1座，增设泵站计算机监控系统和视频系统，安装水泵机组3 台套，泵站装机总功率1130千瓦，设计流量0.88m³/s；岐山县城北抽泵站更新改造工程的实施，将极大的改善泵站基础设施建设，提高灌区农业用水效率和效益，增强农业综合生产能力，保障我县粮食安全和生态安全，符合中、省、市、县建立现代化灌溉区，发展高效灌溉的政策方向。</w:t>
      </w:r>
    </w:p>
    <w:p>
      <w:pPr>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二、绩效评价工程情况</w:t>
      </w:r>
    </w:p>
    <w:p>
      <w:pPr>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（一）评价目的</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本次绩效评价的目的是分析和综合评价政府投资公共产品在资金使用管理以及给广大人民群众服务带来的实际效益为后续类似项目资金投入、分配和管理提供参考依据。</w:t>
      </w:r>
    </w:p>
    <w:p>
      <w:pPr>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（二）评价对象、范围</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本次绩效评价的对象为岐山县城北抽泵站更新改造工程；评价范围为《岐发改发[2017]181》号文件涉及资金，主要对项目决策、过程、成本、产出、效益、满意度等方面进行评价。</w:t>
      </w:r>
    </w:p>
    <w:p>
      <w:pPr>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（三）评价工作的思路与重点</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充分了解项目内容，建立评价指标体系，实际现场作业，收集有效资料，客观公正评价，分析存在问题，得出评价结论撰写评价报告。</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根据项目具体情况和事后绩效评价要求，评价的重点是项目完成后产生的效益和市民对项目满意度。</w:t>
      </w:r>
    </w:p>
    <w:p>
      <w:pPr>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（四）评价指标体系、标准和方法及过程</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1.指标体系设定情况</w:t>
      </w:r>
    </w:p>
    <w:p>
      <w:pPr>
        <w:ind w:firstLine="560" w:firstLineChars="200"/>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lang w:val="en-US" w:eastAsia="zh-CN"/>
        </w:rPr>
        <w:t>根据财政部《项目支出绩效评价管理办法》（财预[2020]10号）《预算绩效评价共性指标体系框架》（财预[2013]53号）和陕西省《分行业分领域绩效指标和标准体系》（陕财办绩[2020]18号）等文件要求，结合项目实际设定了本项目绩效评价指标体系。具体情况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758"/>
        <w:gridCol w:w="2513"/>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758"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513"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决策（12分）</w:t>
            </w: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项目立项（4分）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立项依据充分性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立项规范性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绩效目标（5分）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绩效目标合理性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绩效指标明确性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资金投入（3分）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预算编制规范性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资金分配合理性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过程（13分）</w:t>
            </w: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资金管理（10分）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资金到位率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预算执行率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资金使用合规性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组织实施（3分）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管理制度健全性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制度执行有效性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成本（10分）</w:t>
            </w: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经济成本（2分）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单位成本节约率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社会成本（4分）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社会发展负作用</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生态成本（2分）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自然生态环境负作用</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产出（25分）</w:t>
            </w: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产出数量（10分）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实际完成率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产出质量（10分）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质量达标率</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产出时效（5分）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完成及时性</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效益（30分）</w:t>
            </w:r>
          </w:p>
        </w:tc>
        <w:tc>
          <w:tcPr>
            <w:tcW w:w="2758" w:type="dxa"/>
            <w:vMerge w:val="restart"/>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项目效益（30分）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经济效益</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社会效益</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生态效益</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满意度（10分）</w:t>
            </w:r>
          </w:p>
        </w:tc>
        <w:tc>
          <w:tcPr>
            <w:tcW w:w="2758"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服务对象满意度（10分）</w:t>
            </w:r>
          </w:p>
        </w:tc>
        <w:tc>
          <w:tcPr>
            <w:tcW w:w="251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服务对象认可程度</w:t>
            </w:r>
          </w:p>
        </w:tc>
        <w:tc>
          <w:tcPr>
            <w:tcW w:w="1121"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bl>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2.评价方法、标准</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结合岐山县城北抽泵站更新改造工程特点、评价目的、信息采集等客观情况，采取计划标准作为评价的标准。根据评价对象具体情况，评价方法主要采用成本效益分析法、因素分析法、公众评判法等。</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3.评价等级设置情况</w:t>
      </w: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为更好地反映项目单位的绩效目标实现情况，绩效评价结果采取评分和评级相结合的方式，具体分值和等级划分为四档标准如下:</w:t>
      </w:r>
    </w:p>
    <w:tbl>
      <w:tblPr>
        <w:tblStyle w:val="3"/>
        <w:tblW w:w="9889"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1238"/>
        <w:gridCol w:w="2550"/>
        <w:gridCol w:w="260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75" w:type="dxa"/>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w:rPr>
                <w:rFonts w:hint="eastAsia" w:ascii="仿宋" w:hAnsi="仿宋" w:eastAsia="仿宋" w:cs="仿宋"/>
                <w:b w:val="0"/>
                <w:bCs w:val="0"/>
                <w:color w:val="auto"/>
                <w:sz w:val="28"/>
                <w:szCs w:val="36"/>
                <w:vertAlign w:val="baseline"/>
                <w:lang w:val="en-US" w:eastAsia="zh-CN"/>
              </w:rPr>
            </w:pPr>
          </w:p>
          <w:p>
            <w:pPr>
              <w:snapToGrid w:val="0"/>
              <w:spacing w:line="240" w:lineRule="auto"/>
              <mc:AlternateContent>
                <mc:Choice Requires="wpsCustomData">
                  <wpsCustomData:diagonalParaType/>
                </mc:Choice>
              </mc:AlternateContent>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分值</w:t>
            </w:r>
          </w:p>
          <w:p>
            <w:pP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等级</w:t>
            </w:r>
          </w:p>
        </w:tc>
        <w:tc>
          <w:tcPr>
            <w:tcW w:w="1238"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优秀</w:t>
            </w:r>
          </w:p>
        </w:tc>
        <w:tc>
          <w:tcPr>
            <w:tcW w:w="2550"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良好</w:t>
            </w:r>
          </w:p>
        </w:tc>
        <w:tc>
          <w:tcPr>
            <w:tcW w:w="2606"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一般</w:t>
            </w:r>
          </w:p>
        </w:tc>
        <w:tc>
          <w:tcPr>
            <w:tcW w:w="1620"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区间</w:t>
            </w:r>
          </w:p>
        </w:tc>
        <w:tc>
          <w:tcPr>
            <w:tcW w:w="1238"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≥90分</w:t>
            </w:r>
          </w:p>
        </w:tc>
        <w:tc>
          <w:tcPr>
            <w:tcW w:w="2550" w:type="dxa"/>
          </w:tcPr>
          <w:p>
            <w:pP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90分＜分值≥80分</w:t>
            </w:r>
          </w:p>
        </w:tc>
        <w:tc>
          <w:tcPr>
            <w:tcW w:w="2606" w:type="dxa"/>
          </w:tcPr>
          <w:p>
            <w:pP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80分＜分值≥60分</w:t>
            </w:r>
          </w:p>
        </w:tc>
        <w:tc>
          <w:tcPr>
            <w:tcW w:w="1620" w:type="dxa"/>
          </w:tcPr>
          <w:p>
            <w:pPr>
              <w:jc w:val="center"/>
              <w:rPr>
                <w:rFonts w:hint="eastAsia" w:ascii="仿宋" w:hAnsi="仿宋" w:eastAsia="仿宋" w:cs="仿宋"/>
                <w:b w:val="0"/>
                <w:bCs w:val="0"/>
                <w:color w:val="auto"/>
                <w:sz w:val="28"/>
                <w:szCs w:val="36"/>
                <w:vertAlign w:val="baseline"/>
                <w:lang w:val="en-US" w:eastAsia="zh-CN"/>
              </w:rPr>
            </w:pPr>
            <w:r>
              <w:rPr>
                <w:rFonts w:hint="eastAsia" w:ascii="仿宋" w:hAnsi="仿宋" w:eastAsia="仿宋" w:cs="仿宋"/>
                <w:b w:val="0"/>
                <w:bCs w:val="0"/>
                <w:color w:val="auto"/>
                <w:sz w:val="28"/>
                <w:szCs w:val="36"/>
                <w:vertAlign w:val="baseline"/>
                <w:lang w:val="en-US" w:eastAsia="zh-CN"/>
              </w:rPr>
              <w:t>＜60分</w:t>
            </w:r>
          </w:p>
        </w:tc>
      </w:tr>
    </w:tbl>
    <w:p>
      <w:pPr>
        <w:ind w:firstLine="560" w:firstLineChars="200"/>
        <w:rPr>
          <w:rFonts w:hint="eastAsia" w:ascii="仿宋" w:hAnsi="仿宋" w:eastAsia="仿宋" w:cs="仿宋"/>
          <w:b w:val="0"/>
          <w:bCs w:val="0"/>
          <w:color w:val="auto"/>
          <w:sz w:val="28"/>
          <w:szCs w:val="36"/>
          <w:lang w:val="en-US" w:eastAsia="zh-CN"/>
        </w:rPr>
      </w:pPr>
    </w:p>
    <w:p>
      <w:p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4.评价工程过程</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为了使绩效评价工作顺利开展，成立了本项目绩效评价工作小组，认真研究分析项目，根据中省市相关政策的规定结合项目实际制定绩效评分体系。2023年9月26日至28日评价组对岐山县城北抽泵站更新改造工程实施了现场勘察和评价打分，结合实施单位项目自查报告信息采集、查阅资料、统计分析、交流、电话询访等方法，进一步核实相关资料的真实性、合法性、合理性，对项目资料中反映的或分析中发现的问题进行重点核查。在全面分析整理被评价项目的相关数据资料的基础上，比照评价指标和标准，进行了定性定量综合分析，综合评议与打分。通过行业专家、财政局和项目单位三方交换意见，经评价小组分析后得出评价结论，撰写评价报告。</w:t>
      </w:r>
    </w:p>
    <w:p>
      <w:pPr>
        <w:keepNext w:val="0"/>
        <w:keepLines w:val="0"/>
        <w:pageBreakBefore w:val="0"/>
        <w:widowControl w:val="0"/>
        <w:kinsoku/>
        <w:wordWrap w:val="0"/>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（五）评价工作的局限性</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b/>
          <w:bCs/>
          <w:color w:val="auto"/>
          <w:sz w:val="28"/>
          <w:szCs w:val="36"/>
          <w:lang w:val="en-US" w:eastAsia="zh-CN"/>
        </w:rPr>
      </w:pPr>
      <w:r>
        <w:rPr>
          <w:rFonts w:hint="eastAsia" w:ascii="仿宋" w:hAnsi="仿宋" w:eastAsia="仿宋" w:cs="仿宋"/>
          <w:b w:val="0"/>
          <w:bCs w:val="0"/>
          <w:color w:val="auto"/>
          <w:sz w:val="28"/>
          <w:szCs w:val="36"/>
          <w:lang w:val="en-US" w:eastAsia="zh-CN"/>
        </w:rPr>
        <w:t>本次项目内容涉及新建泵房、拆除泵房、重建</w:t>
      </w:r>
      <w:r>
        <w:rPr>
          <w:rFonts w:hint="eastAsia" w:ascii="仿宋" w:hAnsi="仿宋" w:eastAsia="仿宋" w:cs="仿宋"/>
          <w:color w:val="auto"/>
          <w:sz w:val="28"/>
          <w:szCs w:val="36"/>
          <w:lang w:val="en-US" w:eastAsia="zh-CN"/>
        </w:rPr>
        <w:t>进水池及出水池、新建厂房、新铺管道等。项目将极大的改善泵站基础设施建设，提高灌区农业用水效率和效益，增强农业综合生产能力，保障粮食安全和生态安全。因项目内容和功能较多，在三级评价指标设置中难免有个别指标设定不够精准，存在固有局限性。</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三、绩效评价指标分析</w:t>
      </w:r>
    </w:p>
    <w:p>
      <w:pPr>
        <w:keepNext w:val="0"/>
        <w:keepLines w:val="0"/>
        <w:pageBreakBefore w:val="0"/>
        <w:widowControl w:val="0"/>
        <w:kinsoku/>
        <w:wordWrap w:val="0"/>
        <w:overflowPunct/>
        <w:topLinePunct w:val="0"/>
        <w:autoSpaceDE/>
        <w:autoSpaceDN/>
        <w:bidi w:val="0"/>
        <w:adjustRightInd/>
        <w:snapToGrid/>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（一）决策</w:t>
      </w:r>
    </w:p>
    <w:p>
      <w:pPr>
        <w:keepNext w:val="0"/>
        <w:keepLines w:val="0"/>
        <w:pageBreakBefore w:val="0"/>
        <w:widowControl w:val="0"/>
        <w:kinsoku/>
        <w:wordWrap w:val="0"/>
        <w:overflowPunct/>
        <w:topLinePunct w:val="0"/>
        <w:autoSpaceDE/>
        <w:autoSpaceDN/>
        <w:bidi w:val="0"/>
        <w:adjustRightInd/>
        <w:snapToGrid/>
        <w:ind w:firstLine="560" w:firstLineChars="200"/>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从项目立项、绩效目标、资金投入三个方面进行评价，满分12分，实际得分11.00分。评分结果详见下表：</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表1 决策指标得分表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决策（12分）</w:t>
            </w: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项目立项（4分）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立项依据充分性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立项规范性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绩效目标（8分）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绩效目标合理性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绩效指标明确性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资金投入（3分）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预算编制规范性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资金分配合理性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11.00</w:t>
            </w:r>
          </w:p>
        </w:tc>
      </w:tr>
    </w:tbl>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项目立项方面：从立项依据充分性、立项程序规范性方面进行评价。项目可行性研究报告于2017年9月1日批复（岐发改发[2017]181号），初步设计于2017 年12月7日批复（岐发改发[2017]313号）。项目实施依据充分，立项程序规范。</w:t>
      </w:r>
    </w:p>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绩效目标方面：项目设定绩效目标依据充分，符合客观实际，符合客观实际，能够在一定期限内实现。</w:t>
      </w:r>
    </w:p>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资金投入方面：从预算编制科学性、资金分配合理性进行评价。项目初步设计的投资概算为3129.61万元，最终审核项目总投资为：2485.86万元，初步设计总投资与最终审核投资概算资金相差较大为扣分原因。</w:t>
      </w:r>
    </w:p>
    <w:p>
      <w:pPr>
        <w:keepNext w:val="0"/>
        <w:keepLines w:val="0"/>
        <w:pageBreakBefore w:val="0"/>
        <w:widowControl w:val="0"/>
        <w:kinsoku/>
        <w:wordWrap w:val="0"/>
        <w:overflowPunct/>
        <w:topLinePunct w:val="0"/>
        <w:autoSpaceDE/>
        <w:autoSpaceDN/>
        <w:bidi w:val="0"/>
        <w:adjustRightInd/>
        <w:snapToGrid/>
        <w:ind w:firstLine="562" w:firstLineChars="200"/>
        <w:jc w:val="both"/>
        <w:textAlignment w:val="auto"/>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（二）过程</w:t>
      </w:r>
    </w:p>
    <w:p>
      <w:pPr>
        <w:keepNext w:val="0"/>
        <w:keepLines w:val="0"/>
        <w:pageBreakBefore w:val="0"/>
        <w:widowControl w:val="0"/>
        <w:kinsoku/>
        <w:wordWrap w:val="0"/>
        <w:overflowPunct/>
        <w:topLinePunct w:val="0"/>
        <w:autoSpaceDE/>
        <w:autoSpaceDN/>
        <w:bidi w:val="0"/>
        <w:adjustRightInd/>
        <w:snapToGrid/>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 xml:space="preserve">  从资金管理、组织实施两个方面进行评价，满分13分，实际得分11.00分。评分结果详见下表：</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表2 过程指标得分表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过程（13分）</w:t>
            </w: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资金管理（10分）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资金到位率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预算执行率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jc w:val="both"/>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资金使用合规性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jc w:val="both"/>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组织实施（3分）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管理制度健全性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制度执行有效性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13</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11.00</w:t>
            </w:r>
          </w:p>
        </w:tc>
      </w:tr>
    </w:tbl>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资金管理方面。从资金到位率、预算执行率、资金使用合规性进行评价。资金到位率方面，2019年共拨付资金928.04万元，本项目决算总金额为 2057.2203万元，未结1297.18万元。资金使用合规性方面，各项支出符合财务管理制度及有关规定，资金拨付有完整的审批程序和手续，资金使用未发现截留、虚列支出等现象。</w:t>
      </w:r>
    </w:p>
    <w:p>
      <w:pPr>
        <w:keepNext w:val="0"/>
        <w:keepLines w:val="0"/>
        <w:pageBreakBefore w:val="0"/>
        <w:widowControl w:val="0"/>
        <w:kinsoku/>
        <w:wordWrap w:val="0"/>
        <w:overflowPunct/>
        <w:topLinePunct w:val="0"/>
        <w:autoSpaceDE/>
        <w:autoSpaceDN/>
        <w:bidi w:val="0"/>
        <w:adjustRightInd/>
        <w:snapToGrid/>
        <w:ind w:firstLine="560" w:firstLineChars="200"/>
        <w:jc w:val="both"/>
        <w:textAlignment w:val="auto"/>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组织实施方面。从管理制度健全性、制度执行有效性进行评价。项目有相应的管理制度，并能较好的组织实施。项目于2019年8月31日全部项目完工，验收合格，所有项目结算均通过第三方审核，竣工决算、资产移交等均按相关规定实施完毕。</w:t>
      </w:r>
    </w:p>
    <w:p>
      <w:pPr>
        <w:numPr>
          <w:ilvl w:val="0"/>
          <w:numId w:val="0"/>
        </w:numPr>
        <w:ind w:firstLine="562" w:firstLineChars="200"/>
        <w:rPr>
          <w:rFonts w:hint="eastAsia" w:ascii="仿宋" w:hAnsi="仿宋" w:eastAsia="仿宋" w:cs="仿宋"/>
          <w:b/>
          <w:bCs/>
          <w:color w:val="auto"/>
          <w:sz w:val="28"/>
          <w:szCs w:val="36"/>
          <w:lang w:val="en-US" w:eastAsia="zh-CN"/>
        </w:rPr>
      </w:pPr>
      <w:r>
        <w:rPr>
          <w:rFonts w:hint="eastAsia" w:ascii="仿宋" w:hAnsi="仿宋" w:eastAsia="仿宋" w:cs="仿宋"/>
          <w:b/>
          <w:bCs/>
          <w:color w:val="auto"/>
          <w:kern w:val="2"/>
          <w:sz w:val="28"/>
          <w:szCs w:val="36"/>
          <w:lang w:val="en-US" w:eastAsia="zh-CN" w:bidi="ar-SA"/>
        </w:rPr>
        <w:t>（三）</w:t>
      </w:r>
      <w:r>
        <w:rPr>
          <w:rFonts w:hint="eastAsia" w:ascii="仿宋" w:hAnsi="仿宋" w:eastAsia="仿宋" w:cs="仿宋"/>
          <w:b/>
          <w:bCs/>
          <w:color w:val="auto"/>
          <w:sz w:val="28"/>
          <w:szCs w:val="36"/>
          <w:lang w:val="en-US" w:eastAsia="zh-CN"/>
        </w:rPr>
        <w:t>成本</w:t>
      </w:r>
    </w:p>
    <w:p>
      <w:pPr>
        <w:numPr>
          <w:ilvl w:val="0"/>
          <w:numId w:val="0"/>
        </w:numPr>
        <w:ind w:firstLine="560" w:firstLineChars="200"/>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从经济成本、社会成本、生态环境成本三个方面进行评价满分为10 分，实际得分 8分。评分结果详见下表:</w:t>
      </w:r>
    </w:p>
    <w:p>
      <w:pPr>
        <w:numPr>
          <w:ilvl w:val="0"/>
          <w:numId w:val="0"/>
        </w:num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表3 成本指标得分表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154"/>
        <w:gridCol w:w="2503"/>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154"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503"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成本（10分）</w:t>
            </w:r>
          </w:p>
        </w:tc>
        <w:tc>
          <w:tcPr>
            <w:tcW w:w="2154"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经济成本（2分）</w:t>
            </w:r>
          </w:p>
        </w:tc>
        <w:tc>
          <w:tcPr>
            <w:tcW w:w="250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单位成本节约率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154"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社会成本（4分）</w:t>
            </w:r>
          </w:p>
        </w:tc>
        <w:tc>
          <w:tcPr>
            <w:tcW w:w="250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社会发展负作用</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154"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生态成本（2分）</w:t>
            </w:r>
          </w:p>
        </w:tc>
        <w:tc>
          <w:tcPr>
            <w:tcW w:w="2503"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自然生态环境负作用</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8</w:t>
            </w:r>
          </w:p>
        </w:tc>
      </w:tr>
    </w:tbl>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从经济成本看，项目建设经费略有结余，控制得比较好，项目节约经费占批准的概算 17%。</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从社会发展负作用看，目前未发现项目对社会造成安全影响，无人员因项目改造缺陷导致安全事故的风险事件。</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从自然生态环境负作用看,建设单位已按设计要求完成项目建设，各项质量指标验收合格。</w:t>
      </w:r>
    </w:p>
    <w:p>
      <w:pPr>
        <w:numPr>
          <w:ilvl w:val="0"/>
          <w:numId w:val="0"/>
        </w:numPr>
        <w:ind w:firstLine="562" w:firstLineChars="200"/>
        <w:jc w:val="both"/>
        <w:rPr>
          <w:rFonts w:hint="eastAsia" w:ascii="仿宋" w:hAnsi="仿宋" w:eastAsia="仿宋" w:cs="仿宋"/>
          <w:b/>
          <w:bCs/>
          <w:color w:val="auto"/>
          <w:sz w:val="28"/>
          <w:szCs w:val="36"/>
          <w:lang w:val="en-US" w:eastAsia="zh-CN"/>
        </w:rPr>
      </w:pPr>
      <w:r>
        <w:rPr>
          <w:rFonts w:hint="eastAsia" w:ascii="仿宋" w:hAnsi="仿宋" w:eastAsia="仿宋" w:cs="仿宋"/>
          <w:b/>
          <w:bCs/>
          <w:color w:val="auto"/>
          <w:kern w:val="2"/>
          <w:sz w:val="28"/>
          <w:szCs w:val="36"/>
          <w:lang w:val="en-US" w:eastAsia="zh-CN" w:bidi="ar-SA"/>
        </w:rPr>
        <w:t>（四）</w:t>
      </w:r>
      <w:r>
        <w:rPr>
          <w:rFonts w:hint="eastAsia" w:ascii="仿宋" w:hAnsi="仿宋" w:eastAsia="仿宋" w:cs="仿宋"/>
          <w:b/>
          <w:bCs/>
          <w:color w:val="auto"/>
          <w:sz w:val="28"/>
          <w:szCs w:val="36"/>
          <w:lang w:val="en-US" w:eastAsia="zh-CN"/>
        </w:rPr>
        <w:t>产出</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从产出数量、产出质量、产出时效三个方面进行评价，满分为25分，实际得分25 分。评分结果详见下表：</w:t>
      </w:r>
    </w:p>
    <w:p>
      <w:p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表4 产出指标得分表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产出（25分）</w:t>
            </w:r>
          </w:p>
        </w:tc>
        <w:tc>
          <w:tcPr>
            <w:tcW w:w="2437"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产出数量（10分）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实际完成率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产出质量（10分）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质量达标率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产出时效（5分）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完成及时性</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25</w:t>
            </w:r>
          </w:p>
        </w:tc>
      </w:tr>
    </w:tbl>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本项目产出数量、质量、时效三个指标均按合同约定完成。</w:t>
      </w:r>
    </w:p>
    <w:p>
      <w:pPr>
        <w:numPr>
          <w:ilvl w:val="0"/>
          <w:numId w:val="0"/>
        </w:numPr>
        <w:ind w:firstLine="562" w:firstLineChars="200"/>
        <w:jc w:val="both"/>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（五）效益</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从项目社会效益、经济效益、生态效益三方面进行评价满分为30分，实际得分 30分。评分结果详见下表:</w:t>
      </w:r>
    </w:p>
    <w:p>
      <w:pPr>
        <w:numPr>
          <w:ilvl w:val="0"/>
          <w:numId w:val="0"/>
        </w:numPr>
        <w:jc w:val="center"/>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表5 效益指标得分表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效益（30分）</w:t>
            </w:r>
          </w:p>
        </w:tc>
        <w:tc>
          <w:tcPr>
            <w:tcW w:w="2437" w:type="dxa"/>
            <w:vMerge w:val="restart"/>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项目效益（30分）</w:t>
            </w: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经济效益</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社会效益</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rPr>
                <w:rFonts w:hint="eastAsia" w:ascii="仿宋" w:hAnsi="仿宋" w:eastAsia="仿宋" w:cs="仿宋"/>
                <w:b w:val="0"/>
                <w:bCs w:val="0"/>
                <w:color w:val="auto"/>
                <w:sz w:val="24"/>
                <w:szCs w:val="24"/>
                <w:vertAlign w:val="baseline"/>
                <w:lang w:val="en-US" w:eastAsia="zh-CN"/>
              </w:rPr>
            </w:pPr>
          </w:p>
        </w:tc>
        <w:tc>
          <w:tcPr>
            <w:tcW w:w="2220" w:type="dxa"/>
            <w:vAlign w:val="center"/>
          </w:tcPr>
          <w:p>
            <w:pP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生态效益</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jc w:val="cente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w:t>
            </w:r>
          </w:p>
        </w:tc>
        <w:tc>
          <w:tcPr>
            <w:tcW w:w="990" w:type="dxa"/>
            <w:vAlign w:val="center"/>
          </w:tcPr>
          <w:p>
            <w:pPr>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w:t>
            </w:r>
          </w:p>
        </w:tc>
      </w:tr>
    </w:tbl>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经济效益方面:项目实施后，项目区粮食增产884万元，夏杂、秋杂及经济作物增收221万元，按水利分摊系数0.4计，年增产效益442万元经济效益提高，达到了该项目建设方案的预期目标。</w:t>
      </w:r>
    </w:p>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社会效益方面:项目的实施，不仅节约了水源，更重要的是通过工程的实施提高了工程运行可靠性，提高了灌溉标准，改善了灌溉条件，保证了农业的稳产高产,保障了粮食安全，对项目区群众增产增收社会安定团结和全面建设小康社会也起到了促进作用。</w:t>
      </w:r>
    </w:p>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生态效益方面: 项目实施后，抽泵站可以有效地防止水患的发生，从而保障人民生命财产安全。在洪水期间，抽泵站可以减少洪峰流量，减轻下游地区的洪水压力。该项目可以提高水资源的利用效率，减少浪费和污染，有助于缓解水资源短缺的问题，促进可持续发展。</w:t>
      </w:r>
    </w:p>
    <w:p>
      <w:pPr>
        <w:numPr>
          <w:ilvl w:val="0"/>
          <w:numId w:val="0"/>
        </w:numPr>
        <w:ind w:firstLine="560" w:firstLineChars="200"/>
        <w:jc w:val="left"/>
        <w:rPr>
          <w:rFonts w:hint="eastAsia" w:ascii="仿宋" w:hAnsi="仿宋" w:eastAsia="仿宋" w:cs="仿宋"/>
          <w:b/>
          <w:bCs/>
          <w:color w:val="auto"/>
          <w:sz w:val="28"/>
          <w:szCs w:val="36"/>
          <w:lang w:val="en-US" w:eastAsia="zh-CN"/>
        </w:rPr>
      </w:pPr>
      <w:r>
        <w:rPr>
          <w:rFonts w:hint="eastAsia" w:ascii="仿宋" w:hAnsi="仿宋" w:eastAsia="仿宋" w:cs="仿宋"/>
          <w:b w:val="0"/>
          <w:bCs w:val="0"/>
          <w:color w:val="auto"/>
          <w:sz w:val="28"/>
          <w:szCs w:val="36"/>
          <w:lang w:val="en-US" w:eastAsia="zh-CN"/>
        </w:rPr>
        <w:t>满意度方面:通过现场随机询问的调查方式，被调查群众10人，满意度100%。</w:t>
      </w:r>
    </w:p>
    <w:p>
      <w:pPr>
        <w:numPr>
          <w:ilvl w:val="0"/>
          <w:numId w:val="0"/>
        </w:numPr>
        <w:jc w:val="left"/>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四、综合评价和结论</w:t>
      </w:r>
    </w:p>
    <w:p>
      <w:pPr>
        <w:numPr>
          <w:ilvl w:val="0"/>
          <w:numId w:val="0"/>
        </w:numPr>
        <w:ind w:firstLine="560" w:firstLineChars="200"/>
        <w:jc w:val="left"/>
        <w:rPr>
          <w:rFonts w:hint="eastAsia" w:ascii="仿宋" w:hAnsi="仿宋" w:eastAsia="仿宋" w:cs="仿宋"/>
          <w:b/>
          <w:bCs/>
          <w:color w:val="auto"/>
          <w:sz w:val="28"/>
          <w:szCs w:val="36"/>
          <w:lang w:val="en-US" w:eastAsia="zh-CN"/>
        </w:rPr>
      </w:pPr>
      <w:r>
        <w:rPr>
          <w:rFonts w:hint="eastAsia" w:ascii="仿宋" w:hAnsi="仿宋" w:eastAsia="仿宋" w:cs="仿宋"/>
          <w:b w:val="0"/>
          <w:bCs w:val="0"/>
          <w:color w:val="auto"/>
          <w:sz w:val="28"/>
          <w:szCs w:val="36"/>
          <w:lang w:val="en-US" w:eastAsia="zh-CN"/>
        </w:rPr>
        <w:t>岐山县城北抽泵站更新改造工程立项程序和项目管理规范，工程建设任务完成情况良好，资金管理规范，社会效益和生态效益明显，周边居民反响好。但也存在一些薄弱环节，主要是:前期初步设计投资概算与最终审核投资概算相差较大，资金到位慢，项目建设过程中变更较多，导致批准的项目概算与项目实际结算相差17%，结合项目单位自评，问卷调查等情况，经评价组综合分析岐山县城北抽泵站更新改造工程绩效评价得分为95分，绩效等级为优秀。</w:t>
      </w:r>
    </w:p>
    <w:p>
      <w:pPr>
        <w:numPr>
          <w:ilvl w:val="0"/>
          <w:numId w:val="0"/>
        </w:numPr>
        <w:jc w:val="left"/>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五、存在问题</w:t>
      </w:r>
    </w:p>
    <w:p>
      <w:pPr>
        <w:numPr>
          <w:ilvl w:val="0"/>
          <w:numId w:val="0"/>
        </w:numPr>
        <w:ind w:firstLine="560" w:firstLineChars="200"/>
        <w:jc w:val="left"/>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一是项目在建设前期存在建设标准、设计理念等方面的偏差，导致初步设计概算比投资估算大的现象以及工程实施过程中变更较多，影响了工程造价。</w:t>
      </w:r>
    </w:p>
    <w:p>
      <w:pPr>
        <w:numPr>
          <w:ilvl w:val="0"/>
          <w:numId w:val="0"/>
        </w:numPr>
        <w:jc w:val="both"/>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六、相关建议</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从严控制政府投资项目成本。在今后类似项目投资方面，应严格以投资估算控制设计概算、以设计概算控制预（决）算，从严对工程项目进行造价控制。统一设计理念，实行限额设计，减少项目在实施过程中的变更和签证。</w:t>
      </w:r>
    </w:p>
    <w:p>
      <w:pPr>
        <w:numPr>
          <w:ilvl w:val="0"/>
          <w:numId w:val="0"/>
        </w:numPr>
        <w:ind w:firstLine="560" w:firstLineChars="200"/>
        <w:jc w:val="both"/>
        <w:rPr>
          <w:rFonts w:hint="eastAsia" w:ascii="仿宋" w:hAnsi="仿宋" w:eastAsia="仿宋" w:cs="仿宋"/>
          <w:b w:val="0"/>
          <w:bCs w:val="0"/>
          <w:color w:val="auto"/>
          <w:sz w:val="28"/>
          <w:szCs w:val="36"/>
          <w:lang w:val="en-US" w:eastAsia="zh-CN"/>
        </w:rPr>
      </w:pPr>
      <w:r>
        <w:rPr>
          <w:rFonts w:hint="eastAsia" w:ascii="仿宋" w:hAnsi="仿宋" w:eastAsia="仿宋" w:cs="仿宋"/>
          <w:b w:val="0"/>
          <w:bCs w:val="0"/>
          <w:color w:val="auto"/>
          <w:sz w:val="28"/>
          <w:szCs w:val="36"/>
          <w:lang w:val="en-US" w:eastAsia="zh-CN"/>
        </w:rPr>
        <w:t>附件：岐山县城北抽泵站更新改造工程绩效评分得分表</w:t>
      </w:r>
    </w:p>
    <w:p>
      <w:pPr>
        <w:numPr>
          <w:ilvl w:val="0"/>
          <w:numId w:val="0"/>
        </w:numPr>
        <w:jc w:val="both"/>
        <w:rPr>
          <w:rFonts w:hint="eastAsia" w:ascii="仿宋" w:hAnsi="仿宋" w:eastAsia="仿宋" w:cs="仿宋"/>
          <w:b w:val="0"/>
          <w:bCs w:val="0"/>
          <w:color w:val="auto"/>
          <w:sz w:val="28"/>
          <w:szCs w:val="36"/>
          <w:lang w:val="en-US" w:eastAsia="zh-CN"/>
        </w:rPr>
        <w:sectPr>
          <w:pgSz w:w="11906" w:h="16838"/>
          <w:pgMar w:top="1440" w:right="1800" w:bottom="1440" w:left="1800" w:header="851" w:footer="992" w:gutter="0"/>
          <w:cols w:space="425" w:num="1"/>
          <w:docGrid w:type="lines" w:linePitch="312" w:charSpace="0"/>
        </w:sectPr>
      </w:pPr>
    </w:p>
    <w:tbl>
      <w:tblPr>
        <w:tblStyle w:val="2"/>
        <w:tblW w:w="16493" w:type="dxa"/>
        <w:tblInd w:w="-4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600"/>
        <w:gridCol w:w="1218"/>
        <w:gridCol w:w="548"/>
        <w:gridCol w:w="1796"/>
        <w:gridCol w:w="793"/>
        <w:gridCol w:w="6917"/>
        <w:gridCol w:w="1096"/>
        <w:gridCol w:w="1211"/>
        <w:gridCol w:w="1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270" w:hRule="atLeast"/>
        </w:trPr>
        <w:tc>
          <w:tcPr>
            <w:tcW w:w="825"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附件：</w:t>
            </w:r>
          </w:p>
        </w:tc>
        <w:tc>
          <w:tcPr>
            <w:tcW w:w="600"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1218"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548"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1796"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793"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6917"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1096"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c>
          <w:tcPr>
            <w:tcW w:w="1211" w:type="dxa"/>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493"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40"/>
                <w:szCs w:val="40"/>
                <w:u w:val="none"/>
              </w:rPr>
            </w:pPr>
            <w:r>
              <w:rPr>
                <w:rFonts w:hint="eastAsia" w:ascii="仿宋" w:hAnsi="仿宋" w:eastAsia="仿宋" w:cs="仿宋"/>
                <w:b/>
                <w:bCs/>
                <w:i w:val="0"/>
                <w:iCs w:val="0"/>
                <w:color w:val="000000"/>
                <w:kern w:val="0"/>
                <w:sz w:val="28"/>
                <w:szCs w:val="28"/>
                <w:u w:val="none"/>
                <w:lang w:val="en-US" w:eastAsia="zh-CN" w:bidi="ar"/>
              </w:rPr>
              <w:t>岐山县城北抽泵站更新改造工程绩效评价得分表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66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分值</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二级指标</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分值</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三级指标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分值</w:t>
            </w:r>
          </w:p>
        </w:tc>
        <w:tc>
          <w:tcPr>
            <w:tcW w:w="6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评价标准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评价得分</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扣分原因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92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决策</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项目立项</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立项依据充分性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1.项目立项是否符合国家法律法规、国民经济发展规划和相关政策0.5分；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2.项目立项是否符合行业发展规划和政策要求 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3.项目立项是否与部门职责范围相符，属于部门履职所需 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4.项目是否属于公共财政支持范围，是否符合中央、地方事权支出责任划分原则0.5分；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5.项目是否与相关部门同类项目或部门内部相关项目重复0.5分。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35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立项程序规范性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1.项目是否按照规定的程序申请设立0.5分；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2.事前是否已经过必要的可行性研究、专家论证、风险评估、集体决策等0.5分；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3.项目申请是否经过批准0.5分。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绩效目标</w:t>
            </w:r>
          </w:p>
        </w:tc>
        <w:tc>
          <w:tcPr>
            <w:tcW w:w="54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绩效目标合理性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1.项目是否有绩效目标0.5分；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2.是否与项目实施单位或委托单位职责密切相关0.5分；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3.项目是否为促进事业性发展所必需 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4.项目预期产出效益和效果是否符合正常的业绩水平0.5分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绩效指标明确性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1.是否将项目绩效目标细化分解为具体的绩效指标1分；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2.是否通过清晰、可衡量的指标值予以体现0.5分；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3.是否与项目年度任务数或计划数相对应1分；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4.是否与预算确定的项目投资额或资金相匹配05分。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资金投入</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预算编制科学性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1.预算编制是否经过科学论证0.5分；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2.预算内容与项目内容是否匹配0.5分；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3.预算额度测算依据是否充分，是否按照标准编制 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4.预算确定的项目投资额或资金量是否与工作任务相匹配0.5分。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预算额度超出实际投资额扣1分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资金分配合理性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1.预算资金分配依据是否充分0.5分；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2.资金分配额度是否合理，与项目单位或地方实际是否相适应0.5分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81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过程</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资金管理</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资金到位率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1.资金到位率(a=(实际到位资金/合同金额)X100%)小于60%不得分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2.大于等于60%的按超过的比重赋分，得分=(资金到位率一60%)/(1-60%)*指标分值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资金到位率45.11%，扣2分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81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预算执行率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1.预算执行率(a=实际支出资金/合同金额X100%)小于60%不得分；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2.大于等于60%的按超过的比重赋分，得分=(预算执行率一60%)/(1-60%)*指标分值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189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资金使用合规性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1.资金使用是否符合国家财经法规和财务管理制度以及有关专项资金管理办法的规定1分；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2.资金的拨付是否有完整的审批程序和手续 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3.项目的重大开支是否经过集体研究 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4.是否符合项目预算批复或合同规定的用途1分；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5.资金使用出现截留、挤占、挪用、虚列支出任何一种情况，本指标得分为0。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组织实施</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管理制度健全性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1.是否已制定或具有相应的业务管理制度0.5分；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2.业务管理制度是否健全、完整0.5分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62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制度执行有效性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1.是否遵守相关法律法规和业务管理规定0.5分；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2.项目调整及支出调整手续是否完备 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3.项目合同书、验收报告、技术鉴定等资料是否齐全并及时归档0.5分；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4.是否建立了投资、建设、验收、后期管护、问题反馈等机制0.5分。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54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成本节约率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1.成本节约率=（原成本-节约成本）/原成本；</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2.成本节约率小于0%扣4分，小于30%大于等于10%小于等于30%扣2分，大于等于30%不扣分。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成本节约率17%扣2分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社会发展负作用</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1.相对未改造之前对灌区用水效率和效益提升效果不明显扣60%分值，提升效果一般扣40%，咨询专家确定标准；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2.有使人员发生安全风险事件较小的，扣 40%，未采取措施或措施无效的扣 50%分值，较大的扣 80%</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生态环境成本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自然生态环境负作用</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1.改造后比之前水土流失增加的扣1分；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2.预期对灌区有阻碍的扣 1分: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81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产出数量</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实际完成率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1.计算公式:实际完成率=(实际产出数/计划产出数)X100%；</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2.评分标准实际完成率小于 60%不得分;大于等于 60%的按超过的比重赋分，得分=(实际完成率-60%)/(1-60%)X 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产出质量</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质量达标率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1.落实质量安全管理主体责任 （5分）；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2.符合国家相关工程质量标准（5分）；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3.质量达标率小于60%不得分，大于等于60%的按超过比重赋分，得分=(质量达标率一60%)/(1-60%)*指标分值。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产出时效</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完成及时率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1.按计划建成投入使用（5分）；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2.完成及时率小于60%不得分；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3.大于等于60%的按超过比重赋分，得分=(完成及时率一60%)/(1-60%)*指标分值</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81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效益</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项目效益</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经济效益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1.预期周边商业经济增长大于零小于5% (1分)，大于5%(5分)；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2.投资、旅游、购物能否反映项目投入成本、维护费用支出 (6分)；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3.改善投资环境，优化营商环境，助推经济发展(2分)。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108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1.预期民众散步、休闲、运动等人数增加 100%以上 (6分)；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2.完善城市服务功能，促进城市服务质量和水平的提高，整体提升城市形象(2分)；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3.居民幸福感提升（2分）。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54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生态效益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1.减少洪峰流量，减轻下游地区的洪水压力（5分）；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2.提高水资源的利用效率（5分）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89" w:type="dxa"/>
          <w:trHeight w:val="135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服务对象满意度</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项目区域民众及社会公众认可度</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按照区间进行赋分: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1.满意度≥90%得10分: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2.80%&lt;满意度&lt;90%得8分: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3.60%≤满意度&lt;80%得 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4.满意度&lt;60%不得分。</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489" w:type="dxa"/>
          <w:trHeight w:val="725"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总分</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95</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i w:val="0"/>
                <w:iCs w:val="0"/>
                <w:color w:val="000000"/>
                <w:sz w:val="22"/>
                <w:szCs w:val="22"/>
                <w:u w:val="none"/>
              </w:rPr>
            </w:pPr>
          </w:p>
        </w:tc>
      </w:tr>
    </w:tbl>
    <w:p>
      <w:pPr>
        <w:numPr>
          <w:ilvl w:val="0"/>
          <w:numId w:val="0"/>
        </w:numPr>
        <w:jc w:val="both"/>
        <w:rPr>
          <w:rFonts w:hint="eastAsia" w:ascii="仿宋" w:hAnsi="仿宋" w:eastAsia="仿宋" w:cs="仿宋"/>
          <w:b w:val="0"/>
          <w:bCs w:val="0"/>
          <w:color w:val="auto"/>
          <w:sz w:val="28"/>
          <w:szCs w:val="36"/>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lMTAyMjg3OWJhYzE4NmU3YTRiMTFmYWQwN2I4YmQifQ=="/>
  </w:docVars>
  <w:rsids>
    <w:rsidRoot w:val="00000000"/>
    <w:rsid w:val="1339256F"/>
    <w:rsid w:val="16C96E7F"/>
    <w:rsid w:val="204F622C"/>
    <w:rsid w:val="265B7B12"/>
    <w:rsid w:val="2FB8241F"/>
    <w:rsid w:val="30C858F9"/>
    <w:rsid w:val="33A04F29"/>
    <w:rsid w:val="3B5E54FC"/>
    <w:rsid w:val="3C2D0C01"/>
    <w:rsid w:val="3E9A1A29"/>
    <w:rsid w:val="5DB51BFD"/>
    <w:rsid w:val="5DDD390F"/>
    <w:rsid w:val="68201413"/>
    <w:rsid w:val="6949762B"/>
    <w:rsid w:val="769008D4"/>
    <w:rsid w:val="78DE182B"/>
    <w:rsid w:val="79E306C6"/>
    <w:rsid w:val="7AC16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6537</Words>
  <Characters>7218</Characters>
  <Lines>0</Lines>
  <Paragraphs>0</Paragraphs>
  <TotalTime>1</TotalTime>
  <ScaleCrop>false</ScaleCrop>
  <LinksUpToDate>false</LinksUpToDate>
  <CharactersWithSpaces>7294</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2023-10-13T00:39:00Z</dcterms:created>
  <dc:creator>Administrator</dc:creator>
  <cp:lastModifiedBy>若寒</cp:lastModifiedBy>
  <dcterms:modified xsi:type="dcterms:W3CDTF">2023-10-19T03:45:18Z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5C2DDBEDA6764FB2B748698699CCB613_13</vt:lpwstr>
  </property>
</Properties>
</file>